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B0" w:rsidRPr="00FD60CA" w:rsidRDefault="006E085E">
      <w:pPr>
        <w:pStyle w:val="a3"/>
        <w:rPr>
          <w:lang w:val="bg-BG"/>
        </w:rPr>
      </w:pPr>
      <w:r w:rsidRPr="00FD60CA"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267335</wp:posOffset>
                </wp:positionV>
                <wp:extent cx="2487930" cy="10151110"/>
                <wp:effectExtent l="4445" t="1270" r="3175" b="1270"/>
                <wp:wrapNone/>
                <wp:docPr id="31" name="Гру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930" cy="10151110"/>
                          <a:chOff x="0" y="0"/>
                          <a:chExt cx="2194560" cy="9125712"/>
                        </a:xfrm>
                      </wpg:grpSpPr>
                      <wps:wsp>
                        <wps:cNvPr id="256" name="Правоъгълник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7" name="Петоъгълник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F16" w:rsidRPr="005C57B0" w:rsidRDefault="00691F16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bg-BG"/>
                                </w:rPr>
                                <w:t>30.06 2017 година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258" name="Група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259" name="Група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60" name="Свободна форма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Свободна форма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Свободна форма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Свободна форма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Свободна форма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Свободна форма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Свободна форма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Свободна форма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Свободна форма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Свободна форма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Свободна форма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Свободна форма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2" name="Група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73" name="Свободна форма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Свободна форма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Свободна форма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Свободна форма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Свободна форма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Свободна форма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Свободна форма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Свободна форма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Свободна форма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Свободна форма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Свободна форма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Група 2" o:spid="_x0000_s1026" style="position:absolute;margin-left:23.8pt;margin-top:21.05pt;width:195.9pt;height:799.3pt;z-index:-25165926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">
                <v:rect id="Правоъгъл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NlcQA&#10;AADcAAAADwAAAGRycy9kb3ducmV2LnhtbESP3YrCMBSE7xd8h3AEbxZNV3dFqlH8QenF3vjzAIfm&#10;2BSbk9Jka317Iwh7OczMN8xi1dlKtNT40rGCr1ECgjh3uuRCweW8H85A+ICssXJMCh7kYbXsfSww&#10;1e7OR2pPoRARwj5FBSaEOpXS54Ys+pGriaN3dY3FEGVTSN3gPcJtJcdJMpUWS44LBmvaGspvpz+r&#10;YP+b6bY7fGqzcdn3VtvjbhI2Sg363XoOIlAX/sPvdqYVjH+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DZXEAAAA3AAAAA8AAAAAAAAAAAAAAAAAmAIAAGRycy9k&#10;b3ducmV2LnhtbFBLBQYAAAAABAAEAPUAAACJAw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етоъгъл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a8UA&#10;AADcAAAADwAAAGRycy9kb3ducmV2LnhtbESPT2vCQBTE74LfYXmCN90oWCW6ikhbCj3U/3h8ZJ9J&#10;MPs2za4m+undgtDjMDO/YWaLxhTiRpXLLSsY9CMQxInVOacK9ruP3gSE88gaC8uk4E4OFvN2a4ax&#10;tjVv6Lb1qQgQdjEqyLwvYyldkpFB17clcfDOtjLog6xSqSusA9wUchhFb9JgzmEhw5JWGSWX7dUo&#10;+Bz/rE/v9+WDvg+kr+lmUP8eC6W6nWY5BeGp8f/hV/tLKxiOxvB3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rJrxQAAANwAAAAPAAAAAAAAAAAAAAAAAJgCAABkcnMv&#10;ZG93bnJldi54bWxQSwUGAAAAAAQABAD1AAAAigMAAAAA&#10;" adj="18883" fillcolor="#4472c4" stroked="f" strokeweight="1pt">
                  <v:textbox inset=",0,14.4pt,0">
                    <w:txbxContent>
                      <w:p w:rsidR="00691F16" w:rsidRPr="005C57B0" w:rsidRDefault="00691F16">
                        <w:pPr>
                          <w:pStyle w:val="a3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bg-BG"/>
                          </w:rPr>
                          <w:t>30.06 2017 година</w:t>
                        </w:r>
                      </w:p>
                    </w:txbxContent>
                  </v:textbox>
                </v:shape>
                <v:group id="Гру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group id="Гру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o:lock v:ext="edit" aspectratio="t"/>
                    <v:shape id="Свободна форма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yD8IA&#10;AADcAAAADwAAAGRycy9kb3ducmV2LnhtbESPwW7CMAyG75P2DpEncRvpkICpIyA0gbTdoNsDWI1p&#10;KhqnakKbvf18QOJo/f4/+9vssu/USENsAxt4mxegiOtgW24M/P4cX99BxYRssQtMBv4owm77/LTB&#10;0oaJzzRWqVEC4ViiAZdSX2oda0ce4zz0xJJdwuAxyTg02g44Cdx3elEUK+2xZbngsKdPR/W1unmh&#10;+MOhveSuxymfKj9+n5Zu3Rgze8n7D1CJcnos39tf1sBiJe+LjIiA3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rIPwgAAANwAAAAPAAAAAAAAAAAAAAAAAJgCAABkcnMvZG93&#10;bnJldi54bWxQSwUGAAAAAAQABAD1AAAAhwMAAAAA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Свободна форма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xQsYA&#10;AADcAAAADwAAAGRycy9kb3ducmV2LnhtbESPQUsDMRSE74L/ITzBm01aZJG1aSmirQi1tPWgt8fm&#10;dbO4edkmcbv++0YQehxm5htmOh9cK3oKsfGsYTxSIIgrbxquNXzsX+4eQMSEbLD1TBp+KcJ8dn01&#10;xdL4E2+p36VaZAjHEjXYlLpSylhZchhHviPO3sEHhynLUEsT8JThrpUTpQrpsOG8YLGjJ0vV9+7H&#10;aVh+rvf92/378Px1XBVh06ml7ZXWtzfD4hFEoiFdwv/tV6NhUozh70w+AnJ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GxQsYAAADcAAAADwAAAAAAAAAAAAAAAACYAgAAZHJz&#10;L2Rvd25yZXYueG1sUEsFBgAAAAAEAAQA9QAAAIsDAAAAAA==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Свободна форма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YhMIA&#10;AADcAAAADwAAAGRycy9kb3ducmV2LnhtbESPT4vCMBTE78J+h/AWvNm0Pah0jSILBS8r67/7o3nb&#10;FJuX0kRbv71ZEDwOM/MbZrUZbSvu1PvGsYIsSUEQV043XCs4n8rZEoQPyBpbx6TgQR4264/JCgvt&#10;Bj7Q/RhqESHsC1RgQugKKX1lyKJPXEccvT/XWwxR9rXUPQ4RbluZp+lcWmw4Lhjs6NtQdT3erIJb&#10;+WMvJS72WZmlBk+H4XfXDkpNP8ftF4hAY3iHX+2dVpDPc/g/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3NiEwgAAANwAAAAPAAAAAAAAAAAAAAAAAJgCAABkcnMvZG93&#10;bnJldi54bWxQSwUGAAAAAAQABAD1AAAAhwM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7;269657513,2147483647;340221888,2147483647;352821875,2147483647;347781563,2147483647;264617200,2147483647;194052825,2147483647;133569075,1995963750;88206263,1597779063;50403125,1199594375;22682200,798890325;5040313,400705638;0,199093138;0,0" o:connectangles="0,0,0,0,0,0,0,0,0,0,0,0,0,0,0,0,0,0,0,0,0,0"/>
                    </v:shape>
                    <v:shape id="Свободна форма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wQsUA&#10;AADcAAAADwAAAGRycy9kb3ducmV2LnhtbESPQWvCQBSE7wX/w/IEb3WjFpHoKhIQAu2lqQe9PbPP&#10;JJh9G3e3Me2v7xYKPQ4z8w2z2Q2mFT0531hWMJsmIIhLqxuuFBw/Ds8rED4ga2wtk4Iv8rDbjp42&#10;mGr74Hfqi1CJCGGfooI6hC6V0pc1GfRT2xFH72qdwRClq6R2+Ihw08p5kiylwYbjQo0dZTWVt+LT&#10;KMhP2bc7mOLl7Z6fL+z6zL66QqnJeNivQQQawn/4r51rBfPlA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Y7BCxQAAANwAAAAPAAAAAAAAAAAAAAAAAJgCAABkcnMv&#10;ZG93bnJldi54bWxQSwUGAAAAAAQABAD1AAAAigMAAAAA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7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Свободна форма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//MMA&#10;AADcAAAADwAAAGRycy9kb3ducmV2LnhtbESPQYvCMBSE78L+h/AWvMiaKtJdqlGWFUEPHqz7Ax7N&#10;s602LyWJ2v57Iwgeh5n5hlmsOtOIGzlfW1YwGScgiAuray4V/B83Xz8gfEDW2FgmBT15WC0/BgvM&#10;tL3zgW55KEWEsM9QQRVCm0npi4oM+rFtiaN3ss5giNKVUju8R7hp5DRJUmmw5rhQYUt/FRWX/GoU&#10;fM/OTYlnc9qP3K7v03Un6+Sg1PCz+52DCNSFd/jV3moF03QG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//MMAAADcAAAADwAAAAAAAAAAAAAAAACYAgAAZHJzL2Rv&#10;d25yZXYueG1sUEsFBgAAAAAEAAQA9QAAAIgD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Свободна форма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38cYA&#10;AADcAAAADwAAAGRycy9kb3ducmV2LnhtbESPT2sCMRTE70K/Q3gFL1KzXVF0NUopKhbswT/g9ZE8&#10;d5duXpZN1LWfvikIHoeZ+Q0zW7S2EldqfOlYwXs/AUGsnSk5V3A8rN7GIHxANlg5JgV38rCYv3Rm&#10;mBl34x1d9yEXEcI+QwVFCHUmpdcFWfR9VxNH7+waiyHKJpemwVuE20qmSTKSFkuOCwXW9FmQ/tlf&#10;rAIz2S0H4zSsNZ6+ft33Zluvelqp7mv7MQURqA3P8KO9MQrS0RD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g38cYAAADcAAAADwAAAAAAAAAAAAAAAACYAgAAZHJz&#10;L2Rvd25yZXYueG1sUEsFBgAAAAAEAAQA9QAAAIsDAAAAAA=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Свободна форма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HUcIA&#10;AADcAAAADwAAAGRycy9kb3ducmV2LnhtbESPQWvCQBSE7wX/w/KE3uquCkFSV9HSSvFWI54f2dck&#10;JPs2ZF81/vtuQehxmJlvmPV29J260hCbwBbmMwOKuAyu4crCufh4WYGKguywC0wW7hRhu5k8rTF3&#10;4cZfdD1JpRKEY44WapE+1zqWNXmMs9ATJ+87DB4lyaHSbsBbgvtOL4zJtMeG00KNPb3VVLanH29B&#10;zEpCe7zr991SH/ZdYeRStNY+T8fdKyihUf7Dj/ans7DIMvg7k4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EdRwgAAANwAAAAPAAAAAAAAAAAAAAAAAJgCAABkcnMvZG93&#10;bnJldi54bWxQSwUGAAAAAAQABAD1AAAAhwM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Свободна форма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HxMQA&#10;AADcAAAADwAAAGRycy9kb3ducmV2LnhtbESPS4vCQBCE74L/YWhhbzpRFh/RUUTcZdGT8XFuMm0S&#10;zfSEzKzGf+8Igseiqr6iZovGlOJGtSssK+j3IhDEqdUFZwoO+5/uGITzyBpLy6TgQQ4W83ZrhrG2&#10;d97RLfGZCBB2MSrIva9iKV2ak0HXsxVx8M62NuiDrDOpa7wHuCnlIIqG0mDBYSHHilY5pdfk3yi4&#10;bNej/WRb4HdyWu+Ov5vHZFklSn11muUUhKfGf8Lv9p9WMBiO4H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x8TEAAAA3A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Свободна форма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l8IA&#10;AADcAAAADwAAAGRycy9kb3ducmV2LnhtbERPz2vCMBS+D/wfwhO8zbQ9dKMaRQqOHWSwKurx0Tyb&#10;YvNSmli7/345DHb8+H6vt5PtxEiDbx0rSJcJCOLa6ZYbBafj/vUdhA/IGjvHpOCHPGw3s5c1Fto9&#10;+ZvGKjQihrAvUIEJoS+k9LUhi37peuLI3dxgMUQ4NFIP+IzhtpNZkuTSYsuxwWBPpaH6Xj2sgov5&#10;0lomx/J6GOUt/bic37JHptRiPu1WIAJN4V/85/7UCrI8ro1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UCXwgAAANwAAAAPAAAAAAAAAAAAAAAAAJgCAABkcnMvZG93&#10;bnJldi54bWxQSwUGAAAAAAQABAD1AAAAhwMAAAAA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Свободна форма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HPsMA&#10;AADcAAAADwAAAGRycy9kb3ducmV2LnhtbESPW2sCMRSE34X+h3AKvmmi4KVbo4il4GO94PNhc7rZ&#10;dnOybNK4/vtGEHwcZuYbZrXpXSMSdaH2rGEyViCIS29qrjScT5+jJYgQkQ02nknDjQJs1i+DFRbG&#10;X/lA6RgrkSEcCtRgY2wLKUNpyWEY+5Y4e9++cxiz7CppOrxmuGvkVKm5dFhzXrDY0s5S+Xv8cxqW&#10;p5+tVbuY0pdVk480W1wucqH18LXfvoOI1Mdn+NHeGw3T+Rvcz+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EHPsMAAADcAAAADwAAAAAAAAAAAAAAAACYAgAAZHJzL2Rv&#10;d25yZXYueG1sUEsFBgAAAAAEAAQA9QAAAIgDAAAAAA==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Свободна форма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N3MAA&#10;AADcAAAADwAAAGRycy9kb3ducmV2LnhtbERPy4rCMBTdC/5DuMLsNFVBpRrFx4huRKpu3F2ba1ts&#10;bkoTtfP3k4Xg8nDes0VjSvGi2hWWFfR7EQji1OqCMwWX87Y7AeE8ssbSMin4IweLebs1w1jbNyf0&#10;OvlMhBB2MSrIva9iKV2ak0HXsxVx4O62NugDrDOpa3yHcFPKQRSNpMGCQ0OOFa1zSh+np1FwW09+&#10;7WqJx9390JfJdcPJsBwq9dNpllMQnhr/FX/ce61gMA7zw5lw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IN3MAAAADcAAAADwAAAAAAAAAAAAAAAACYAgAAZHJzL2Rvd25y&#10;ZXYueG1sUEsFBgAAAAAEAAQA9QAAAIUDAAAAAA==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Свободна форма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axJMUA&#10;AADcAAAADwAAAGRycy9kb3ducmV2LnhtbESPW4vCMBSE3xf8D+EI+7amirhSjeIFWZ928YLg26E5&#10;psXmpDSp1n+/EQQfh5n5hpnOW1uKG9W+cKyg30tAEGdOF2wUHA+brzEIH5A1lo5JwYM8zGedjymm&#10;2t15R7d9MCJC2KeoIA+hSqX0WU4Wfc9VxNG7uNpiiLI2Utd4j3BbykGSjKTFguNCjhWtcsqu+8Yq&#10;WIXHzqx/T6ZpLj9/x+V5eMLRVqnPbruYgAjUhnf41d5qBYPvPj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rEkxQAAANwAAAAPAAAAAAAAAAAAAAAAAJgCAABkcnMv&#10;ZG93bnJldi54bWxQSwUGAAAAAAQABAD1AAAAigMAAAAA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Гру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<o:lock v:ext="edit" aspectratio="t"/>
                    <v:shape id="Свободна форма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QBsEA&#10;AADcAAAADwAAAGRycy9kb3ducmV2LnhtbESP3YrCMBSE7xd8h3AE79bE+rd0m4oIwt6J1Qc4NGfb&#10;ss1JaWKtb78RBC+HmfmGyXajbcVAvW8ca1jMFQji0pmGKw3Xy/HzC4QPyAZbx6ThQR52+eQjw9S4&#10;O59pKEIlIoR9ihrqELpUSl/WZNHPXUccvV/XWwxR9pU0Pd4j3LYyUWojLTYcF2rs6FBT+VfcrIaV&#10;Udt1Yc7+hOMtcW2nBnworWfTcf8NItAY3uFX+8doSLZLeJ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0AbBAAAA3AAAAA8AAAAAAAAAAAAAAAAAmAIAAGRycy9kb3du&#10;cmV2LnhtbFBLBQYAAAAABAAEAPUAAACGAwAAAAA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Свободна форма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Iq8YA&#10;AADcAAAADwAAAGRycy9kb3ducmV2LnhtbESPT2vCQBTE70K/w/IKXqRuKtLU1FWCINpbtYIeX7Mv&#10;f2j2bciuJubTdwuFHoeZ+Q2zXPemFjdqXWVZwfM0AkGcWV1xoeD0uX16BeE8ssbaMim4k4P16mG0&#10;xETbjg90O/pCBAi7BBWU3jeJlC4ryaCb2oY4eLltDfog20LqFrsAN7WcRdGLNFhxWCixoU1J2ffx&#10;ahTk56/FJDWn9EPml/fd0NtYDxelxo99+gbCU+//w3/tvVYwi+f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rIq8YAAADcAAAADwAAAAAAAAAAAAAAAACYAgAAZHJz&#10;L2Rvd25yZXYueG1sUEsFBgAAAAAEAAQA9QAAAIsD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Свободна форма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jIMMA&#10;AADcAAAADwAAAGRycy9kb3ducmV2LnhtbESPUWvCQBCE3wv+h2OFvulFobVET1GxUBC0UX/AmluT&#10;YG435E6N/75XKPRxmJlvmNmic7W6U+srYQOjYQKKOBdbcWHgdPwcfIDyAdliLUwGnuRhMe+9zDC1&#10;8uCM7odQqAhhn6KBMoQm1drnJTn0Q2mIo3eR1mGIsi20bfER4a7W4yR51w4rjgslNrQuKb8ebs6A&#10;u3wHvdrZ1UYyKW676357lr0xr/1uOQUVqAv/4b/2lzUwnrzB75l4BP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IjIMMAAADcAAAADwAAAAAAAAAAAAAAAACYAgAAZHJzL2Rv&#10;d25yZXYueG1sUEsFBgAAAAAEAAQA9QAAAIgD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Свободна форма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8GcUA&#10;AADcAAAADwAAAGRycy9kb3ducmV2LnhtbESPUWvCMBSF3wf+h3AHe5vphHWjGkUEx9gQsRv4emmu&#10;TbW5CU1WO3+9EQZ7PJxzvsOZLQbbip660DhW8DTOQBBXTjdcK/j+Wj++gggRWWPrmBT8UoDFfHQ3&#10;w0K7M++oL2MtEoRDgQpMjL6QMlSGLIax88TJO7jOYkyyq6Xu8JzgtpWTLMulxYbTgkFPK0PVqfyx&#10;Csq31edma3Z7fYx59fzR+8uw9Uo93A/LKYhIQ/wP/7XftYLJSw6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XwZxQAAANwAAAAPAAAAAAAAAAAAAAAAAJgCAABkcnMv&#10;ZG93bnJldi54bWxQSwUGAAAAAAQABAD1AAAAigM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Свободна форма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oJcMA&#10;AADcAAAADwAAAGRycy9kb3ducmV2LnhtbESP0YrCMBRE3wX/IVzBF9mmq6K2GmVxEfRRtx9waa5t&#10;d5ub0kTb/XsjCD4OM3OG2ex6U4s7ta6yrOAzikEQ51ZXXCjIfg4fKxDOI2usLZOCf3Kw2w4HG0y1&#10;7fhM94svRICwS1FB6X2TSunykgy6yDbEwbva1qAPsi2kbrELcFPLaRwvpMGKw0KJDe1Lyv8uN6MA&#10;J/PmvKL5LTudDhn9dv57liRKjUf91xqEp96/w6/2USuYLpfwPB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6oJcMAAADcAAAADwAAAAAAAAAAAAAAAACYAgAAZHJzL2Rv&#10;d25yZXYueG1sUEsFBgAAAAAEAAQA9QAAAIgD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Свободна форма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x4MEA&#10;AADcAAAADwAAAGRycy9kb3ducmV2LnhtbERPS2vCQBC+F/wPywje6kaFVqOriFARSqE+wOuQHbPB&#10;7GzITk3aX989FHr8+N6rTe9r9aA2VoENTMYZKOIi2IpLA5fz2/McVBRki3VgMvBNETbrwdMKcxs6&#10;PtLjJKVKIRxzNOBEmlzrWDjyGMehIU7cLbQeJcG21LbFLoX7Wk+z7EV7rDg1OGxo56i4n768AaEw&#10;D25RvQt9/vhutr/qxcfVmNGw3y5BCfXyL/5zH6yB6Wtam86kI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68eDBAAAA3AAAAA8AAAAAAAAAAAAAAAAAmAIAAGRycy9kb3du&#10;cmV2LnhtbFBLBQYAAAAABAAEAPUAAACGAw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Свободна форма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Gp8UA&#10;AADcAAAADwAAAGRycy9kb3ducmV2LnhtbESP0WrCQBRE34X+w3ILvummgqmNriIFtVREGv2AS/aa&#10;DWbvhuyqsV/fLQg+DjNzhpktOluLK7W+cqzgbZiAIC6crrhUcDysBhMQPiBrrB2Tgjt5WMxfejPM&#10;tLvxD13zUIoIYZ+hAhNCk0npC0MW/dA1xNE7udZiiLItpW7xFuG2lqMkSaXFiuOCwYY+DRXn/GIV&#10;2N12n1bLJt2sJ2ZcjPPDt93+KtV/7ZZTEIG68Aw/2l9awej9A/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AanxQAAANw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Свободна форма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cH8IA&#10;AADcAAAADwAAAGRycy9kb3ducmV2LnhtbERPy4rCMBTdC/5DuIKbMqZ2MUg1yiDMw1mNrwF3l+ba&#10;lmluapM+/HuzGHB5OO/VZjCV6KhxpWUF81kMgjizuuRcwen4/rIA4TyyxsoyKbiTg816PFphqm3P&#10;e+oOPhchhF2KCgrv61RKlxVk0M1sTRy4q20M+gCbXOoG+xBuKpnE8as0WHJoKLCmbUHZ36E1Cm67&#10;8/En+v70g/u4tNtfpFPWRUpNJ8PbEoSnwT/F/+4vrSBZhPnh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5wfwgAAANwAAAAPAAAAAAAAAAAAAAAAAJgCAABkcnMvZG93&#10;bnJldi54bWxQSwUGAAAAAAQABAD1AAAAhwM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Свободна форма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LZcUA&#10;AADcAAAADwAAAGRycy9kb3ducmV2LnhtbESPS2vDMBCE74X8B7GBXkoix6VJcKOEVlDoKdA87htr&#10;a5tYK2PJj/77KhDIcZiZb5jNbrS16Kn1lWMFi3kCgjh3puJCwen4NVuD8AHZYO2YFPyRh9128rTB&#10;zLiBf6g/hEJECPsMFZQhNJmUPi/Jop+7hjh6v661GKJsC2laHCLc1jJNkqW0WHFcKLEhXVJ+PXRW&#10;wdAPuhuvi8vq802/Vnv5cta6U+p5On68gwg0hkf43v42CtJ1Crcz8Qj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EtlxQAAANwAAAAPAAAAAAAAAAAAAAAAAJgCAABkcnMv&#10;ZG93bnJldi54bWxQSwUGAAAAAAQABAD1AAAAigMAAAAA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Свободна форма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YH8QA&#10;AADcAAAADwAAAGRycy9kb3ducmV2LnhtbESPQWsCMRSE70L/Q3iF3jSrRZHVKG1pi4oXtVC8PTbP&#10;zdrNy5Kkuv57Iwgeh5n5hpnOW1uLE/lQOVbQ72UgiAunKy4V/Oy+umMQISJrrB2TggsFmM+eOlPM&#10;tTvzhk7bWIoE4ZCjAhNjk0sZCkMWQ881xMk7OG8xJulLqT2eE9zWcpBlI2mx4rRgsKEPQ8Xf9t8q&#10;OByxMfS7WuP+238O17v9u+wvlXp5bt8mICK18RG+txdawWD8C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mB/EAAAA3AAAAA8AAAAAAAAAAAAAAAAAmAIAAGRycy9k&#10;b3ducmV2LnhtbFBLBQYAAAAABAAEAPUAAACJAw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Свободна форма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k5sQA&#10;AADcAAAADwAAAGRycy9kb3ducmV2LnhtbESPT2vCQBTE74V+h+UJvTUbpWiIrtJaCvYg+P/8yD6z&#10;sdm3IbvV+O1dQfA4zMxvmMmss7U4U+srxwr6SQqCuHC64lLBbvvznoHwAVlj7ZgUXMnDbPr6MsFc&#10;uwuv6bwJpYgQ9jkqMCE0uZS+MGTRJ64hjt7RtRZDlG0pdYuXCLe1HKTpUFqsOC4YbGhuqPjb/FsF&#10;y++v1Umu9rvR79wuRttseFgbVOqt132OQQTqwjP8aC+0gkH2Afcz8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5ObEAAAA3AAAAA8AAAAAAAAAAAAAAAAAmAIAAGRycy9k&#10;b3ducmV2LnhtbFBLBQYAAAAABAAEAPUAAACJAw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1F2D99" w:rsidRPr="00FD60CA" w:rsidRDefault="006E085E" w:rsidP="00DA7313">
      <w:pPr>
        <w:rPr>
          <w:b/>
        </w:rPr>
      </w:pPr>
      <w:r w:rsidRPr="00FD60CA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9408795</wp:posOffset>
                </wp:positionV>
                <wp:extent cx="3958590" cy="504190"/>
                <wp:effectExtent l="0" t="0" r="3810" b="2540"/>
                <wp:wrapNone/>
                <wp:docPr id="30" name="Текстово 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F16" w:rsidRPr="00FD45B8" w:rsidRDefault="00691F16" w:rsidP="00FD45B8">
                            <w:pPr>
                              <w:pStyle w:val="a3"/>
                              <w:jc w:val="center"/>
                              <w:rPr>
                                <w:b/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FD45B8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ДИАГНОСТИЧНО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 xml:space="preserve"> </w:t>
                            </w:r>
                            <w:r w:rsidRPr="00FD45B8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 xml:space="preserve"> </w:t>
                            </w:r>
                            <w:r w:rsidRPr="00FD45B8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 xml:space="preserve">КОНСУЛТАТИВЕН ЦЕНТЪР </w:t>
                            </w:r>
                            <w:r w:rsidRPr="00FD45B8"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FD45B8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 xml:space="preserve"> ВАРНА - СВЕТА ЕКАТЕРИНА“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 xml:space="preserve"> ЕООД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2" o:spid="_x0000_s1055" type="#_x0000_t202" style="position:absolute;margin-left:206.25pt;margin-top:740.85pt;width:311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" filled="f" stroked="f" strokeweight=".5pt">
                <v:textbox inset="0,0,0,0">
                  <w:txbxContent>
                    <w:p w:rsidR="00691F16" w:rsidRPr="00FD45B8" w:rsidRDefault="00691F16" w:rsidP="00FD45B8">
                      <w:pPr>
                        <w:pStyle w:val="a3"/>
                        <w:jc w:val="center"/>
                        <w:rPr>
                          <w:b/>
                          <w:color w:val="4472C4"/>
                          <w:sz w:val="32"/>
                          <w:szCs w:val="32"/>
                        </w:rPr>
                      </w:pPr>
                      <w:r w:rsidRPr="00FD45B8">
                        <w:rPr>
                          <w:b/>
                          <w:sz w:val="32"/>
                          <w:szCs w:val="32"/>
                          <w:lang w:val="bg-BG"/>
                        </w:rPr>
                        <w:t>ДИАГНОСТИЧНО</w:t>
                      </w:r>
                      <w:r>
                        <w:rPr>
                          <w:b/>
                          <w:sz w:val="32"/>
                          <w:szCs w:val="32"/>
                          <w:lang w:val="bg-BG"/>
                        </w:rPr>
                        <w:t xml:space="preserve"> </w:t>
                      </w:r>
                      <w:r w:rsidRPr="00FD45B8">
                        <w:rPr>
                          <w:b/>
                          <w:sz w:val="32"/>
                          <w:szCs w:val="32"/>
                          <w:lang w:val="bg-BG"/>
                        </w:rPr>
                        <w:t>-</w:t>
                      </w:r>
                      <w:r>
                        <w:rPr>
                          <w:b/>
                          <w:sz w:val="32"/>
                          <w:szCs w:val="32"/>
                          <w:lang w:val="bg-BG"/>
                        </w:rPr>
                        <w:t xml:space="preserve"> </w:t>
                      </w:r>
                      <w:r w:rsidRPr="00FD45B8">
                        <w:rPr>
                          <w:b/>
                          <w:sz w:val="32"/>
                          <w:szCs w:val="32"/>
                          <w:lang w:val="bg-BG"/>
                        </w:rPr>
                        <w:t xml:space="preserve">КОНСУЛТАТИВЕН ЦЕНТЪР </w:t>
                      </w:r>
                      <w:r w:rsidRPr="00FD45B8">
                        <w:rPr>
                          <w:b/>
                          <w:sz w:val="32"/>
                          <w:szCs w:val="32"/>
                        </w:rPr>
                        <w:t>V</w:t>
                      </w:r>
                      <w:r w:rsidRPr="00FD45B8">
                        <w:rPr>
                          <w:b/>
                          <w:sz w:val="32"/>
                          <w:szCs w:val="32"/>
                          <w:lang w:val="bg-BG"/>
                        </w:rPr>
                        <w:t xml:space="preserve"> ВАРНА - СВЕТА ЕКАТЕРИНА“</w:t>
                      </w:r>
                      <w:r>
                        <w:rPr>
                          <w:b/>
                          <w:sz w:val="32"/>
                          <w:szCs w:val="32"/>
                          <w:lang w:val="bg-BG"/>
                        </w:rPr>
                        <w:t xml:space="preserve"> ЕООД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60CA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3179445</wp:posOffset>
                </wp:positionH>
                <wp:positionV relativeFrom="page">
                  <wp:posOffset>1875790</wp:posOffset>
                </wp:positionV>
                <wp:extent cx="3402330" cy="5095875"/>
                <wp:effectExtent l="0" t="0" r="0" b="635"/>
                <wp:wrapNone/>
                <wp:docPr id="29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09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F16" w:rsidRPr="00E00159" w:rsidRDefault="00691F16" w:rsidP="00D22162">
                            <w:pPr>
                              <w:pStyle w:val="a3"/>
                              <w:jc w:val="center"/>
                              <w:rPr>
                                <w:rFonts w:ascii="Calibri Light" w:eastAsia="Times New Roman" w:hAnsi="Calibri Light" w:cs="Times New Roman"/>
                                <w:color w:val="4472C4"/>
                                <w:sz w:val="72"/>
                              </w:rPr>
                            </w:pPr>
                            <w:r>
                              <w:rPr>
                                <w:rFonts w:ascii="Calibri Light" w:eastAsia="Times New Roman" w:hAnsi="Calibri Light" w:cs="Times New Roman"/>
                                <w:b/>
                                <w:color w:val="4472C4"/>
                                <w:sz w:val="80"/>
                                <w:szCs w:val="80"/>
                                <w:lang w:val="bg-BG"/>
                              </w:rPr>
                              <w:t>Междинен</w:t>
                            </w:r>
                            <w:r w:rsidRPr="00E00159">
                              <w:rPr>
                                <w:rFonts w:ascii="Calibri Light" w:eastAsia="Times New Roman" w:hAnsi="Calibri Light" w:cs="Times New Roman"/>
                                <w:b/>
                                <w:color w:val="4472C4"/>
                                <w:sz w:val="80"/>
                                <w:szCs w:val="80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/>
                                <w:color w:val="4472C4"/>
                                <w:sz w:val="80"/>
                                <w:szCs w:val="80"/>
                                <w:lang w:val="bg-BG"/>
                              </w:rPr>
                              <w:t>доклад</w:t>
                            </w:r>
                            <w:r w:rsidR="00D22162">
                              <w:rPr>
                                <w:rFonts w:ascii="Calibri Light" w:eastAsia="Times New Roman" w:hAnsi="Calibri Light" w:cs="Times New Roman"/>
                                <w:b/>
                                <w:color w:val="4472C4"/>
                                <w:sz w:val="80"/>
                                <w:szCs w:val="80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/>
                                <w:color w:val="4472C4"/>
                                <w:sz w:val="80"/>
                                <w:szCs w:val="80"/>
                                <w:lang w:val="bg-BG"/>
                              </w:rPr>
                              <w:t>за</w:t>
                            </w:r>
                            <w:r w:rsidRPr="00E00159">
                              <w:rPr>
                                <w:rFonts w:ascii="Calibri Light" w:eastAsia="Times New Roman" w:hAnsi="Calibri Light" w:cs="Times New Roman"/>
                                <w:b/>
                                <w:color w:val="4472C4"/>
                                <w:sz w:val="80"/>
                                <w:szCs w:val="80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/>
                                <w:color w:val="4472C4"/>
                                <w:sz w:val="80"/>
                                <w:szCs w:val="80"/>
                                <w:lang w:val="bg-BG"/>
                              </w:rPr>
                              <w:t>дейността</w:t>
                            </w:r>
                          </w:p>
                          <w:p w:rsidR="00691F16" w:rsidRPr="005C57B0" w:rsidRDefault="00691F16" w:rsidP="00FD45B8">
                            <w:pPr>
                              <w:spacing w:before="144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/>
                                <w:sz w:val="36"/>
                                <w:szCs w:val="36"/>
                              </w:rPr>
                              <w:t>ЗА 1-во шестмесечие на 201</w:t>
                            </w:r>
                            <w:r>
                              <w:rPr>
                                <w:color w:val="404040"/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color w:val="404040"/>
                                <w:sz w:val="36"/>
                                <w:szCs w:val="36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56" type="#_x0000_t202" style="position:absolute;margin-left:250.35pt;margin-top:147.7pt;width:267.9pt;height:4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" filled="f" stroked="f" strokeweight=".5pt">
                <v:textbox inset="0,0,0,0">
                  <w:txbxContent>
                    <w:p w:rsidR="00691F16" w:rsidRPr="00E00159" w:rsidRDefault="00691F16" w:rsidP="00D22162">
                      <w:pPr>
                        <w:pStyle w:val="a3"/>
                        <w:jc w:val="center"/>
                        <w:rPr>
                          <w:rFonts w:ascii="Calibri Light" w:eastAsia="Times New Roman" w:hAnsi="Calibri Light" w:cs="Times New Roman"/>
                          <w:color w:val="4472C4"/>
                          <w:sz w:val="72"/>
                        </w:rPr>
                      </w:pPr>
                      <w:r>
                        <w:rPr>
                          <w:rFonts w:ascii="Calibri Light" w:eastAsia="Times New Roman" w:hAnsi="Calibri Light" w:cs="Times New Roman"/>
                          <w:b/>
                          <w:color w:val="4472C4"/>
                          <w:sz w:val="80"/>
                          <w:szCs w:val="80"/>
                          <w:lang w:val="bg-BG"/>
                        </w:rPr>
                        <w:t>Междинен</w:t>
                      </w:r>
                      <w:r w:rsidRPr="00E00159">
                        <w:rPr>
                          <w:rFonts w:ascii="Calibri Light" w:eastAsia="Times New Roman" w:hAnsi="Calibri Light" w:cs="Times New Roman"/>
                          <w:b/>
                          <w:color w:val="4472C4"/>
                          <w:sz w:val="80"/>
                          <w:szCs w:val="80"/>
                          <w:lang w:val="bg-BG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Times New Roman"/>
                          <w:b/>
                          <w:color w:val="4472C4"/>
                          <w:sz w:val="80"/>
                          <w:szCs w:val="80"/>
                          <w:lang w:val="bg-BG"/>
                        </w:rPr>
                        <w:t>доклад</w:t>
                      </w:r>
                      <w:r w:rsidR="00D22162">
                        <w:rPr>
                          <w:rFonts w:ascii="Calibri Light" w:eastAsia="Times New Roman" w:hAnsi="Calibri Light" w:cs="Times New Roman"/>
                          <w:b/>
                          <w:color w:val="4472C4"/>
                          <w:sz w:val="80"/>
                          <w:szCs w:val="80"/>
                          <w:lang w:val="bg-BG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Times New Roman"/>
                          <w:b/>
                          <w:color w:val="4472C4"/>
                          <w:sz w:val="80"/>
                          <w:szCs w:val="80"/>
                          <w:lang w:val="bg-BG"/>
                        </w:rPr>
                        <w:t>за</w:t>
                      </w:r>
                      <w:r w:rsidRPr="00E00159">
                        <w:rPr>
                          <w:rFonts w:ascii="Calibri Light" w:eastAsia="Times New Roman" w:hAnsi="Calibri Light" w:cs="Times New Roman"/>
                          <w:b/>
                          <w:color w:val="4472C4"/>
                          <w:sz w:val="80"/>
                          <w:szCs w:val="80"/>
                          <w:lang w:val="bg-BG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Times New Roman"/>
                          <w:b/>
                          <w:color w:val="4472C4"/>
                          <w:sz w:val="80"/>
                          <w:szCs w:val="80"/>
                          <w:lang w:val="bg-BG"/>
                        </w:rPr>
                        <w:t>дейността</w:t>
                      </w:r>
                    </w:p>
                    <w:p w:rsidR="00691F16" w:rsidRPr="005C57B0" w:rsidRDefault="00691F16" w:rsidP="00FD45B8">
                      <w:pPr>
                        <w:spacing w:before="1440"/>
                        <w:rPr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color w:val="404040"/>
                          <w:sz w:val="36"/>
                          <w:szCs w:val="36"/>
                        </w:rPr>
                        <w:t>ЗА 1-во шестмесечие на 201</w:t>
                      </w:r>
                      <w:r>
                        <w:rPr>
                          <w:color w:val="404040"/>
                          <w:sz w:val="36"/>
                          <w:szCs w:val="36"/>
                          <w:lang w:val="en-US"/>
                        </w:rPr>
                        <w:t>7</w:t>
                      </w:r>
                      <w:r>
                        <w:rPr>
                          <w:color w:val="404040"/>
                          <w:sz w:val="36"/>
                          <w:szCs w:val="36"/>
                        </w:rPr>
                        <w:t xml:space="preserve"> ГОДИНА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57B0" w:rsidRPr="00FD60CA">
        <w:rPr>
          <w:noProof/>
          <w:lang w:eastAsia="bg-BG"/>
        </w:rPr>
        <w:br w:type="page"/>
      </w:r>
      <w:r w:rsidR="00A32656">
        <w:rPr>
          <w:b/>
        </w:rPr>
        <w:lastRenderedPageBreak/>
        <w:t>Междинният  доклад</w:t>
      </w:r>
      <w:r w:rsidR="001F2D99" w:rsidRPr="00FD60CA">
        <w:rPr>
          <w:b/>
        </w:rPr>
        <w:t xml:space="preserve"> за дейността на “</w:t>
      </w:r>
      <w:r w:rsidR="00A73049" w:rsidRPr="00FD60CA">
        <w:rPr>
          <w:b/>
        </w:rPr>
        <w:t>ДКЦ V Варна Света Екатерина</w:t>
      </w:r>
      <w:r w:rsidR="001F2D99" w:rsidRPr="00FD60CA">
        <w:rPr>
          <w:b/>
        </w:rPr>
        <w:t>”</w:t>
      </w:r>
      <w:r w:rsidR="00FD45B8" w:rsidRPr="00FD60CA">
        <w:rPr>
          <w:b/>
        </w:rPr>
        <w:t xml:space="preserve"> </w:t>
      </w:r>
      <w:r w:rsidR="00A73049" w:rsidRPr="00FD60CA">
        <w:rPr>
          <w:b/>
        </w:rPr>
        <w:t>Е</w:t>
      </w:r>
      <w:r w:rsidR="004E48C3" w:rsidRPr="00FD60CA">
        <w:rPr>
          <w:b/>
        </w:rPr>
        <w:t>ОО</w:t>
      </w:r>
      <w:r w:rsidR="001F2D99" w:rsidRPr="00FD60CA">
        <w:rPr>
          <w:b/>
        </w:rPr>
        <w:t xml:space="preserve">Д, </w:t>
      </w:r>
      <w:proofErr w:type="spellStart"/>
      <w:r w:rsidR="001F2D99" w:rsidRPr="00FD60CA">
        <w:rPr>
          <w:b/>
        </w:rPr>
        <w:t>гр</w:t>
      </w:r>
      <w:proofErr w:type="spellEnd"/>
      <w:r w:rsidR="0015210B" w:rsidRPr="00FD60CA">
        <w:rPr>
          <w:b/>
        </w:rPr>
        <w:t xml:space="preserve"> </w:t>
      </w:r>
      <w:r w:rsidR="00A73049" w:rsidRPr="00FD60CA">
        <w:rPr>
          <w:b/>
        </w:rPr>
        <w:t>Варна</w:t>
      </w:r>
      <w:r w:rsidR="001F2D99" w:rsidRPr="00FD60CA">
        <w:rPr>
          <w:b/>
        </w:rPr>
        <w:t xml:space="preserve"> за </w:t>
      </w:r>
      <w:r w:rsidR="00D22162">
        <w:rPr>
          <w:b/>
        </w:rPr>
        <w:t xml:space="preserve">1-во шестмесечие на </w:t>
      </w:r>
      <w:r w:rsidR="00AC15BC" w:rsidRPr="00FD60CA">
        <w:rPr>
          <w:b/>
        </w:rPr>
        <w:t>201</w:t>
      </w:r>
      <w:r w:rsidR="00D22162">
        <w:rPr>
          <w:b/>
        </w:rPr>
        <w:t>7</w:t>
      </w:r>
      <w:r w:rsidR="00AC15BC" w:rsidRPr="00FD60CA">
        <w:rPr>
          <w:b/>
        </w:rPr>
        <w:t>г.</w:t>
      </w:r>
      <w:r w:rsidR="001F2D99" w:rsidRPr="00FD60CA">
        <w:rPr>
          <w:b/>
        </w:rPr>
        <w:t xml:space="preserve"> е изготвен съгласно изискванията на чл. 100</w:t>
      </w:r>
      <w:r w:rsidR="00A32656">
        <w:rPr>
          <w:b/>
        </w:rPr>
        <w:t>о.</w:t>
      </w:r>
      <w:r w:rsidR="001F2D99" w:rsidRPr="00FD60CA">
        <w:rPr>
          <w:b/>
        </w:rPr>
        <w:t xml:space="preserve"> ал</w:t>
      </w:r>
      <w:r w:rsidR="00A32656">
        <w:rPr>
          <w:b/>
        </w:rPr>
        <w:t xml:space="preserve"> 4 т.</w:t>
      </w:r>
      <w:r w:rsidR="002A699D">
        <w:rPr>
          <w:b/>
        </w:rPr>
        <w:t>2</w:t>
      </w:r>
      <w:r w:rsidR="001F2D99" w:rsidRPr="00FD60CA">
        <w:rPr>
          <w:b/>
        </w:rPr>
        <w:t xml:space="preserve"> от ЗППЦК </w:t>
      </w:r>
      <w:r w:rsidR="00A32656">
        <w:rPr>
          <w:b/>
        </w:rPr>
        <w:t xml:space="preserve">и чл.33 </w:t>
      </w:r>
      <w:r w:rsidR="001F2D99" w:rsidRPr="00FD60CA">
        <w:rPr>
          <w:b/>
        </w:rPr>
        <w:t>Наредба N:2 от 17.09.2003г. за проспектите при публично предлагане и допускане до търговия на регулиран пазар на ценни книжа и за разкриването на информация</w:t>
      </w:r>
      <w:r w:rsidR="00965ADD" w:rsidRPr="00FD60CA">
        <w:rPr>
          <w:b/>
        </w:rPr>
        <w:t xml:space="preserve">, </w:t>
      </w:r>
      <w:r w:rsidR="001F2D99" w:rsidRPr="00FD60CA">
        <w:rPr>
          <w:b/>
        </w:rPr>
        <w:t xml:space="preserve">на база анализ на развитието, пазарните тенденции и присъствие, обществената, макро- и </w:t>
      </w:r>
      <w:proofErr w:type="spellStart"/>
      <w:r w:rsidR="001F2D99" w:rsidRPr="00FD60CA">
        <w:rPr>
          <w:b/>
        </w:rPr>
        <w:t>микро-икономическата</w:t>
      </w:r>
      <w:proofErr w:type="spellEnd"/>
      <w:r w:rsidR="001F2D99" w:rsidRPr="00FD60CA">
        <w:rPr>
          <w:b/>
        </w:rPr>
        <w:t xml:space="preserve"> среда, финансово-икономическото състоянието на дружеството</w:t>
      </w:r>
      <w:r w:rsidR="00D22162">
        <w:rPr>
          <w:b/>
        </w:rPr>
        <w:t xml:space="preserve"> </w:t>
      </w:r>
      <w:r w:rsidR="001F2D99" w:rsidRPr="00FD60CA">
        <w:rPr>
          <w:b/>
        </w:rPr>
        <w:t xml:space="preserve"> и перспективите за развитие.</w:t>
      </w:r>
    </w:p>
    <w:p w:rsidR="001F2D99" w:rsidRPr="00FD60CA" w:rsidRDefault="001F2D99" w:rsidP="001F2D99">
      <w:pPr>
        <w:pStyle w:val="21"/>
        <w:tabs>
          <w:tab w:val="clear" w:pos="540"/>
        </w:tabs>
        <w:rPr>
          <w:rFonts w:ascii="Calibri" w:hAnsi="Calibri"/>
          <w:b/>
          <w:lang w:val="bg-BG"/>
        </w:rPr>
      </w:pPr>
    </w:p>
    <w:p w:rsidR="001F2D99" w:rsidRPr="00FD60CA" w:rsidRDefault="001F2D99" w:rsidP="001F2D99">
      <w:pPr>
        <w:pStyle w:val="21"/>
        <w:tabs>
          <w:tab w:val="clear" w:pos="540"/>
        </w:tabs>
        <w:rPr>
          <w:rFonts w:ascii="Calibri" w:hAnsi="Calibri"/>
          <w:b/>
          <w:lang w:val="bg-BG"/>
        </w:rPr>
      </w:pPr>
    </w:p>
    <w:p w:rsidR="001F2D99" w:rsidRPr="00FD60CA" w:rsidRDefault="00423E28" w:rsidP="001F2D99">
      <w:pPr>
        <w:pStyle w:val="21"/>
        <w:tabs>
          <w:tab w:val="clear" w:pos="540"/>
        </w:tabs>
        <w:rPr>
          <w:rFonts w:ascii="Calibri" w:hAnsi="Calibri"/>
          <w:b/>
          <w:lang w:val="bg-BG"/>
        </w:rPr>
      </w:pPr>
      <w:r>
        <w:rPr>
          <w:rFonts w:ascii="Calibri" w:hAnsi="Calibri"/>
          <w:b/>
          <w:lang w:val="en-US"/>
        </w:rPr>
        <w:t>3</w:t>
      </w:r>
      <w:r w:rsidR="00A04953">
        <w:rPr>
          <w:rFonts w:ascii="Calibri" w:hAnsi="Calibri"/>
          <w:b/>
          <w:lang w:val="en-US"/>
        </w:rPr>
        <w:t>0.0</w:t>
      </w:r>
      <w:r>
        <w:rPr>
          <w:rFonts w:ascii="Calibri" w:hAnsi="Calibri"/>
          <w:b/>
          <w:lang w:val="en-US"/>
        </w:rPr>
        <w:t>6</w:t>
      </w:r>
      <w:r w:rsidR="00A04953">
        <w:rPr>
          <w:rFonts w:ascii="Calibri" w:hAnsi="Calibri"/>
          <w:b/>
          <w:lang w:val="en-US"/>
        </w:rPr>
        <w:t>.</w:t>
      </w:r>
      <w:r w:rsidR="00AC15BC" w:rsidRPr="00FD60CA">
        <w:rPr>
          <w:rFonts w:ascii="Calibri" w:hAnsi="Calibri"/>
          <w:b/>
          <w:lang w:val="bg-BG"/>
        </w:rPr>
        <w:t>2017г.</w:t>
      </w:r>
      <w:r w:rsidR="001F2D99" w:rsidRPr="00FD60CA">
        <w:rPr>
          <w:rFonts w:ascii="Calibri" w:hAnsi="Calibri"/>
          <w:b/>
          <w:lang w:val="bg-BG"/>
        </w:rPr>
        <w:tab/>
      </w:r>
      <w:r w:rsidR="001F2D99" w:rsidRPr="00FD60CA">
        <w:rPr>
          <w:rFonts w:ascii="Calibri" w:hAnsi="Calibri"/>
          <w:b/>
          <w:lang w:val="bg-BG"/>
        </w:rPr>
        <w:tab/>
      </w:r>
      <w:r w:rsidR="001F2D99" w:rsidRPr="00FD60CA">
        <w:rPr>
          <w:rFonts w:ascii="Calibri" w:hAnsi="Calibri"/>
          <w:b/>
          <w:lang w:val="bg-BG"/>
        </w:rPr>
        <w:tab/>
      </w:r>
      <w:r w:rsidR="001F2D99" w:rsidRPr="00FD60CA">
        <w:rPr>
          <w:rFonts w:ascii="Calibri" w:hAnsi="Calibri"/>
          <w:b/>
          <w:lang w:val="bg-BG"/>
        </w:rPr>
        <w:tab/>
      </w:r>
      <w:r w:rsidR="004E48C3" w:rsidRPr="00FD60CA">
        <w:rPr>
          <w:rFonts w:ascii="Calibri" w:hAnsi="Calibri" w:cs="Arial"/>
          <w:b/>
          <w:bCs/>
          <w:lang w:val="bg-BG"/>
        </w:rPr>
        <w:t>Управител</w:t>
      </w:r>
      <w:r w:rsidR="001F2D99" w:rsidRPr="00FD60CA">
        <w:rPr>
          <w:rFonts w:ascii="Calibri" w:hAnsi="Calibri"/>
          <w:b/>
          <w:lang w:val="bg-BG"/>
        </w:rPr>
        <w:t xml:space="preserve">: </w:t>
      </w:r>
      <w:r w:rsidR="00A73049" w:rsidRPr="00FD60CA">
        <w:rPr>
          <w:rFonts w:ascii="Calibri" w:hAnsi="Calibri"/>
          <w:b/>
          <w:lang w:val="bg-BG"/>
        </w:rPr>
        <w:t xml:space="preserve">Галинка Иванова Павлова </w:t>
      </w:r>
    </w:p>
    <w:p w:rsidR="001F2D99" w:rsidRPr="0018609C" w:rsidRDefault="001F2D99" w:rsidP="0018609C">
      <w:pPr>
        <w:pStyle w:val="21"/>
        <w:tabs>
          <w:tab w:val="clear" w:pos="540"/>
        </w:tabs>
        <w:rPr>
          <w:rFonts w:ascii="Calibri" w:hAnsi="Calibri"/>
          <w:b/>
          <w:lang w:val="bg-BG"/>
        </w:rPr>
      </w:pPr>
      <w:r w:rsidRPr="00FD60CA">
        <w:rPr>
          <w:rFonts w:ascii="Calibri" w:hAnsi="Calibri"/>
          <w:b/>
          <w:lang w:val="bg-BG"/>
        </w:rPr>
        <w:t>гр.</w:t>
      </w:r>
      <w:r w:rsidR="00A73049" w:rsidRPr="00FD60CA">
        <w:rPr>
          <w:rFonts w:ascii="Calibri" w:hAnsi="Calibri"/>
          <w:b/>
          <w:lang w:val="bg-BG"/>
        </w:rPr>
        <w:t>Варна</w:t>
      </w:r>
      <w:r w:rsidR="0018609C">
        <w:rPr>
          <w:rFonts w:ascii="Calibri" w:hAnsi="Calibri"/>
          <w:b/>
          <w:lang w:val="bg-BG"/>
        </w:rPr>
        <w:tab/>
      </w:r>
    </w:p>
    <w:p w:rsidR="001F2D99" w:rsidRPr="00FD60CA" w:rsidRDefault="001F2D99" w:rsidP="001F2D99">
      <w:pPr>
        <w:rPr>
          <w:b/>
          <w:i/>
          <w:color w:val="FF0000"/>
        </w:rPr>
      </w:pPr>
    </w:p>
    <w:p w:rsidR="001F2D99" w:rsidRPr="00FD60CA" w:rsidRDefault="001F2D99" w:rsidP="001F2D99">
      <w:pPr>
        <w:rPr>
          <w:b/>
          <w:i/>
          <w:color w:val="FF0000"/>
        </w:rPr>
      </w:pPr>
    </w:p>
    <w:p w:rsidR="001F2D99" w:rsidRPr="00FD60CA" w:rsidRDefault="001F2D99" w:rsidP="001F2D99">
      <w:pPr>
        <w:rPr>
          <w:b/>
          <w:i/>
          <w:color w:val="FF0000"/>
        </w:rPr>
      </w:pPr>
    </w:p>
    <w:p w:rsidR="001F2D99" w:rsidRPr="00FD60CA" w:rsidRDefault="001F2D99" w:rsidP="001F2D99">
      <w:pPr>
        <w:rPr>
          <w:b/>
          <w:i/>
          <w:color w:val="FF0000"/>
        </w:rPr>
      </w:pPr>
    </w:p>
    <w:p w:rsidR="001F2D99" w:rsidRPr="006E085E" w:rsidRDefault="0074615C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ОБЩА ИНФОРМАЦИЯ</w:t>
      </w:r>
    </w:p>
    <w:p w:rsidR="001F2D99" w:rsidRPr="006E085E" w:rsidRDefault="001F2D99" w:rsidP="001F2D99">
      <w:pP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2D99" w:rsidRPr="00FD60CA" w:rsidRDefault="001F2D99" w:rsidP="001F2D99">
      <w:pPr>
        <w:tabs>
          <w:tab w:val="left" w:pos="227"/>
          <w:tab w:val="left" w:pos="1260"/>
          <w:tab w:val="left" w:pos="3742"/>
        </w:tabs>
        <w:ind w:left="113" w:right="114"/>
        <w:jc w:val="both"/>
      </w:pPr>
      <w:r w:rsidRPr="00FD60CA">
        <w:t xml:space="preserve">Дружеството е вписано в Търговския регистър към Агенцията по вписванията с ЕИК </w:t>
      </w:r>
      <w:r w:rsidR="004A436B" w:rsidRPr="00FD60CA">
        <w:t>813152934</w:t>
      </w:r>
    </w:p>
    <w:p w:rsidR="001F2D99" w:rsidRPr="00FD60CA" w:rsidRDefault="001F2D99" w:rsidP="001F2D99">
      <w:pPr>
        <w:tabs>
          <w:tab w:val="left" w:pos="567"/>
          <w:tab w:val="left" w:pos="2880"/>
        </w:tabs>
        <w:ind w:left="113" w:right="114" w:firstLine="67"/>
        <w:jc w:val="both"/>
        <w:rPr>
          <w:b/>
          <w:i/>
          <w:color w:val="0000FF"/>
        </w:rPr>
      </w:pPr>
    </w:p>
    <w:p w:rsidR="001F2D99" w:rsidRPr="00FD60CA" w:rsidRDefault="001F2D99" w:rsidP="001F2D99">
      <w:pPr>
        <w:tabs>
          <w:tab w:val="left" w:pos="567"/>
          <w:tab w:val="left" w:pos="2880"/>
        </w:tabs>
        <w:ind w:left="113" w:right="114" w:firstLine="67"/>
        <w:jc w:val="both"/>
        <w:rPr>
          <w:b/>
          <w:color w:val="632423"/>
        </w:rPr>
      </w:pPr>
      <w:r w:rsidRPr="00FD60CA">
        <w:rPr>
          <w:b/>
          <w:i/>
          <w:color w:val="E36C0A"/>
        </w:rPr>
        <w:t>Фирма:</w:t>
      </w:r>
      <w:r w:rsidRPr="00FD60CA">
        <w:rPr>
          <w:b/>
          <w:i/>
          <w:color w:val="632423"/>
        </w:rPr>
        <w:tab/>
      </w:r>
      <w:r w:rsidRPr="00FD60CA">
        <w:rPr>
          <w:b/>
          <w:i/>
        </w:rPr>
        <w:t>“</w:t>
      </w:r>
      <w:r w:rsidR="00A24AAF" w:rsidRPr="00FD60CA">
        <w:rPr>
          <w:b/>
          <w:i/>
        </w:rPr>
        <w:t>ДКЦ V Варна Света Екатерина</w:t>
      </w:r>
      <w:r w:rsidRPr="00FD60CA">
        <w:rPr>
          <w:b/>
          <w:i/>
        </w:rPr>
        <w:t>”</w:t>
      </w:r>
      <w:r w:rsidR="00FD45B8" w:rsidRPr="00FD60CA">
        <w:rPr>
          <w:b/>
          <w:i/>
        </w:rPr>
        <w:t xml:space="preserve"> </w:t>
      </w:r>
      <w:r w:rsidR="00A24AAF" w:rsidRPr="00FD60CA">
        <w:rPr>
          <w:b/>
          <w:i/>
        </w:rPr>
        <w:t>Е</w:t>
      </w:r>
      <w:r w:rsidR="0086497B" w:rsidRPr="00FD60CA">
        <w:rPr>
          <w:b/>
          <w:i/>
        </w:rPr>
        <w:t>ОО</w:t>
      </w:r>
      <w:r w:rsidRPr="00FD60CA">
        <w:rPr>
          <w:b/>
          <w:i/>
        </w:rPr>
        <w:t>Д</w:t>
      </w:r>
      <w:r w:rsidR="00861EDA" w:rsidRPr="00FD60CA">
        <w:rPr>
          <w:b/>
          <w:i/>
        </w:rPr>
        <w:t xml:space="preserve"> </w:t>
      </w:r>
    </w:p>
    <w:p w:rsidR="00D73B9F" w:rsidRPr="00FD60CA" w:rsidRDefault="001F2D99" w:rsidP="001F2D99">
      <w:pPr>
        <w:tabs>
          <w:tab w:val="left" w:pos="567"/>
          <w:tab w:val="left" w:pos="2880"/>
        </w:tabs>
        <w:ind w:left="113" w:right="114" w:firstLine="67"/>
        <w:jc w:val="both"/>
      </w:pPr>
      <w:r w:rsidRPr="00FD60CA">
        <w:rPr>
          <w:b/>
          <w:i/>
          <w:color w:val="E36C0A"/>
        </w:rPr>
        <w:t>Седалище:</w:t>
      </w:r>
      <w:r w:rsidRPr="00FD60CA">
        <w:rPr>
          <w:b/>
          <w:i/>
        </w:rPr>
        <w:tab/>
      </w:r>
      <w:r w:rsidR="00861EDA" w:rsidRPr="00FD60CA">
        <w:t>гр.</w:t>
      </w:r>
      <w:r w:rsidR="00A21F5D" w:rsidRPr="00FD60CA">
        <w:t xml:space="preserve"> </w:t>
      </w:r>
      <w:r w:rsidR="00A24AAF" w:rsidRPr="00FD60CA">
        <w:t>Варна</w:t>
      </w:r>
    </w:p>
    <w:p w:rsidR="001F2D99" w:rsidRPr="00FD60CA" w:rsidRDefault="001F2D99" w:rsidP="001F2D99">
      <w:pPr>
        <w:tabs>
          <w:tab w:val="left" w:pos="567"/>
          <w:tab w:val="left" w:pos="2880"/>
        </w:tabs>
        <w:ind w:left="113" w:right="114" w:firstLine="67"/>
        <w:jc w:val="both"/>
      </w:pPr>
      <w:r w:rsidRPr="00FD60CA">
        <w:rPr>
          <w:b/>
          <w:i/>
          <w:color w:val="E36C0A"/>
        </w:rPr>
        <w:t>Адрес на управление:</w:t>
      </w:r>
      <w:r w:rsidRPr="00FD60CA">
        <w:rPr>
          <w:b/>
          <w:i/>
        </w:rPr>
        <w:tab/>
      </w:r>
      <w:proofErr w:type="spellStart"/>
      <w:r w:rsidR="00861EDA" w:rsidRPr="00FD60CA">
        <w:t>гр</w:t>
      </w:r>
      <w:proofErr w:type="spellEnd"/>
      <w:r w:rsidR="00A21F5D" w:rsidRPr="00FD60CA">
        <w:t xml:space="preserve"> </w:t>
      </w:r>
      <w:r w:rsidR="00861EDA" w:rsidRPr="00FD60CA">
        <w:t>.</w:t>
      </w:r>
      <w:r w:rsidR="00A24AAF" w:rsidRPr="00FD60CA">
        <w:t>Варна</w:t>
      </w:r>
    </w:p>
    <w:p w:rsidR="001F2D99" w:rsidRPr="00FD60CA" w:rsidRDefault="00A21F5D" w:rsidP="001F2D99">
      <w:pPr>
        <w:tabs>
          <w:tab w:val="left" w:pos="567"/>
          <w:tab w:val="left" w:pos="2880"/>
        </w:tabs>
        <w:ind w:left="113" w:right="114" w:firstLine="67"/>
        <w:jc w:val="both"/>
      </w:pPr>
      <w:r w:rsidRPr="00FD60CA">
        <w:rPr>
          <w:b/>
          <w:i/>
          <w:color w:val="E36C0A"/>
        </w:rPr>
        <w:t xml:space="preserve">Предмет на дейност            </w:t>
      </w:r>
      <w:r w:rsidR="00A24AAF" w:rsidRPr="00FD60CA">
        <w:t>Здравеопазване</w:t>
      </w:r>
    </w:p>
    <w:p w:rsidR="001F2D99" w:rsidRPr="00FD60CA" w:rsidRDefault="001F2D99" w:rsidP="001F2D99">
      <w:pPr>
        <w:tabs>
          <w:tab w:val="left" w:pos="567"/>
          <w:tab w:val="left" w:pos="2880"/>
        </w:tabs>
        <w:ind w:left="180" w:right="114"/>
        <w:jc w:val="both"/>
      </w:pPr>
      <w:r w:rsidRPr="00FD60CA">
        <w:rPr>
          <w:b/>
          <w:i/>
          <w:color w:val="E36C0A"/>
        </w:rPr>
        <w:t>Собственост:</w:t>
      </w:r>
      <w:r w:rsidRPr="00FD60CA">
        <w:rPr>
          <w:color w:val="3366FF"/>
        </w:rPr>
        <w:t xml:space="preserve"> </w:t>
      </w:r>
      <w:r w:rsidRPr="00FD60CA">
        <w:tab/>
        <w:t>Дружеството е:</w:t>
      </w:r>
      <w:r w:rsidR="00FD45B8" w:rsidRPr="00FD60CA">
        <w:t xml:space="preserve"> </w:t>
      </w:r>
      <w:r w:rsidR="00A24AAF" w:rsidRPr="00FD60CA">
        <w:t>100</w:t>
      </w:r>
      <w:r w:rsidRPr="00FD60CA">
        <w:t xml:space="preserve"> % - общинска собственост;</w:t>
      </w:r>
    </w:p>
    <w:p w:rsidR="001F2D99" w:rsidRPr="00FD60CA" w:rsidRDefault="001F2D99" w:rsidP="001F2D99">
      <w:pPr>
        <w:tabs>
          <w:tab w:val="left" w:pos="567"/>
          <w:tab w:val="left" w:pos="2880"/>
        </w:tabs>
        <w:ind w:left="180" w:right="114"/>
        <w:jc w:val="both"/>
      </w:pPr>
    </w:p>
    <w:p w:rsidR="001F2D99" w:rsidRPr="00FD60CA" w:rsidRDefault="001F2D99" w:rsidP="001F2D99">
      <w:pPr>
        <w:tabs>
          <w:tab w:val="left" w:pos="567"/>
          <w:tab w:val="left" w:pos="2880"/>
        </w:tabs>
        <w:ind w:left="2880" w:right="114" w:hanging="2700"/>
        <w:jc w:val="both"/>
      </w:pPr>
      <w:r w:rsidRPr="00FD60CA">
        <w:rPr>
          <w:b/>
          <w:i/>
          <w:color w:val="E36C0A"/>
        </w:rPr>
        <w:t>Капитал:</w:t>
      </w:r>
      <w:r w:rsidRPr="00FD60CA">
        <w:tab/>
        <w:t xml:space="preserve">Дружеството е с капитал  </w:t>
      </w:r>
      <w:r w:rsidR="00A24AAF" w:rsidRPr="00FD60CA">
        <w:t>347</w:t>
      </w:r>
      <w:r w:rsidR="00FD45B8" w:rsidRPr="00FD60CA">
        <w:t> </w:t>
      </w:r>
      <w:r w:rsidR="00A24AAF" w:rsidRPr="00FD60CA">
        <w:t>800</w:t>
      </w:r>
      <w:r w:rsidR="00F25D14" w:rsidRPr="00FD60CA">
        <w:t xml:space="preserve"> </w:t>
      </w:r>
      <w:r w:rsidRPr="00FD60CA">
        <w:t xml:space="preserve"> лв., разпределен в </w:t>
      </w:r>
      <w:r w:rsidR="00A24AAF" w:rsidRPr="00FD60CA">
        <w:t>348</w:t>
      </w:r>
      <w:r w:rsidRPr="00FD60CA">
        <w:t xml:space="preserve"> бр. </w:t>
      </w:r>
      <w:r w:rsidR="0086497B" w:rsidRPr="00FD60CA">
        <w:t>дялове</w:t>
      </w:r>
      <w:r w:rsidRPr="00FD60CA">
        <w:t xml:space="preserve"> с номинална стойност </w:t>
      </w:r>
      <w:r w:rsidR="00A24AAF" w:rsidRPr="00FD60CA">
        <w:t>100</w:t>
      </w:r>
      <w:r w:rsidRPr="00FD60CA">
        <w:t xml:space="preserve"> лв. всеки един.</w:t>
      </w:r>
      <w:r w:rsidR="0015210B" w:rsidRPr="00FD60CA">
        <w:t xml:space="preserve"> </w:t>
      </w:r>
      <w:proofErr w:type="spellStart"/>
      <w:r w:rsidR="0015210B" w:rsidRPr="00FD60CA">
        <w:t>Съдружници</w:t>
      </w:r>
      <w:proofErr w:type="spellEnd"/>
      <w:r w:rsidR="0015210B" w:rsidRPr="00FD60CA">
        <w:t>, няма .</w:t>
      </w:r>
    </w:p>
    <w:p w:rsidR="0090076C" w:rsidRPr="00FD60CA" w:rsidRDefault="0090076C" w:rsidP="001F2D99">
      <w:pPr>
        <w:tabs>
          <w:tab w:val="left" w:pos="567"/>
          <w:tab w:val="left" w:pos="2880"/>
        </w:tabs>
        <w:ind w:left="2880" w:right="114" w:hanging="2700"/>
        <w:jc w:val="both"/>
      </w:pPr>
    </w:p>
    <w:p w:rsidR="001F2D99" w:rsidRPr="00FD60CA" w:rsidRDefault="001F2D99" w:rsidP="001F2D99">
      <w:pPr>
        <w:tabs>
          <w:tab w:val="left" w:pos="567"/>
          <w:tab w:val="left" w:pos="2880"/>
        </w:tabs>
        <w:ind w:right="114"/>
        <w:jc w:val="both"/>
        <w:rPr>
          <w:b/>
          <w:i/>
        </w:rPr>
      </w:pPr>
    </w:p>
    <w:p w:rsidR="0015210B" w:rsidRPr="00FD60CA" w:rsidRDefault="001F2D99" w:rsidP="0086497B">
      <w:pPr>
        <w:tabs>
          <w:tab w:val="left" w:pos="567"/>
          <w:tab w:val="left" w:pos="2880"/>
        </w:tabs>
        <w:ind w:left="2880" w:right="114" w:hanging="2700"/>
        <w:jc w:val="both"/>
        <w:rPr>
          <w:b/>
        </w:rPr>
      </w:pPr>
      <w:r w:rsidRPr="00FD60CA">
        <w:rPr>
          <w:b/>
          <w:i/>
          <w:color w:val="E36C0A"/>
        </w:rPr>
        <w:t>Органи на управление:</w:t>
      </w:r>
      <w:r w:rsidRPr="00FD60CA">
        <w:rPr>
          <w:b/>
        </w:rPr>
        <w:tab/>
      </w:r>
      <w:r w:rsidR="0015210B" w:rsidRPr="00FD60CA">
        <w:rPr>
          <w:b/>
        </w:rPr>
        <w:t>Общото събрание</w:t>
      </w:r>
      <w:r w:rsidR="00FD45B8" w:rsidRPr="00FD60CA">
        <w:rPr>
          <w:b/>
        </w:rPr>
        <w:t xml:space="preserve"> </w:t>
      </w:r>
      <w:r w:rsidR="0015210B" w:rsidRPr="00FD60CA">
        <w:rPr>
          <w:b/>
        </w:rPr>
        <w:t xml:space="preserve">- Общински съвет Варна </w:t>
      </w:r>
    </w:p>
    <w:p w:rsidR="0086497B" w:rsidRPr="00FD60CA" w:rsidRDefault="0015210B" w:rsidP="00F66C45">
      <w:pPr>
        <w:tabs>
          <w:tab w:val="left" w:pos="567"/>
        </w:tabs>
        <w:ind w:left="2835" w:right="114" w:hanging="2700"/>
        <w:jc w:val="both"/>
      </w:pPr>
      <w:r w:rsidRPr="00FD60CA">
        <w:rPr>
          <w:b/>
          <w:i/>
          <w:color w:val="E36C0A"/>
        </w:rPr>
        <w:t xml:space="preserve">                                                        </w:t>
      </w:r>
      <w:r w:rsidR="0086497B" w:rsidRPr="00FD60CA">
        <w:rPr>
          <w:rFonts w:cs="Arial"/>
        </w:rPr>
        <w:t xml:space="preserve">Дружеството </w:t>
      </w:r>
      <w:r w:rsidR="0086497B" w:rsidRPr="00FD60CA">
        <w:t>се управлява и представлява от:</w:t>
      </w:r>
    </w:p>
    <w:p w:rsidR="0086497B" w:rsidRPr="00FD60CA" w:rsidRDefault="00F25D14" w:rsidP="0086497B">
      <w:pPr>
        <w:tabs>
          <w:tab w:val="left" w:pos="567"/>
          <w:tab w:val="left" w:pos="2880"/>
        </w:tabs>
        <w:ind w:right="114"/>
        <w:jc w:val="both"/>
      </w:pPr>
      <w:r w:rsidRPr="00FD60CA">
        <w:tab/>
      </w:r>
      <w:r w:rsidRPr="00FD60CA">
        <w:tab/>
      </w:r>
      <w:r w:rsidR="00A24AAF" w:rsidRPr="00FD60CA">
        <w:t>Галинка Иванова Павлова</w:t>
      </w:r>
      <w:r w:rsidR="0086497B" w:rsidRPr="00FD60CA">
        <w:t>-  управител;</w:t>
      </w:r>
    </w:p>
    <w:p w:rsidR="00F66C45" w:rsidRPr="00FD60CA" w:rsidRDefault="001F2D99" w:rsidP="00FF1293">
      <w:pPr>
        <w:ind w:left="180"/>
      </w:pPr>
      <w:r w:rsidRPr="00FD60CA">
        <w:rPr>
          <w:b/>
          <w:i/>
          <w:color w:val="FF0000"/>
        </w:rPr>
        <w:tab/>
      </w:r>
      <w:r w:rsidRPr="00FD60CA">
        <w:rPr>
          <w:b/>
          <w:i/>
          <w:color w:val="FF0000"/>
        </w:rPr>
        <w:tab/>
      </w:r>
    </w:p>
    <w:p w:rsidR="00F66C45" w:rsidRPr="00FD60CA" w:rsidRDefault="001F2D99" w:rsidP="00F66C45">
      <w:pPr>
        <w:tabs>
          <w:tab w:val="left" w:pos="567"/>
        </w:tabs>
        <w:ind w:left="2835" w:right="114" w:hanging="2700"/>
        <w:jc w:val="both"/>
      </w:pPr>
      <w:r w:rsidRPr="00FD60CA">
        <w:rPr>
          <w:b/>
          <w:i/>
          <w:color w:val="E36C0A"/>
        </w:rPr>
        <w:t>Клонове</w:t>
      </w:r>
      <w:r w:rsidRPr="00FD60CA">
        <w:rPr>
          <w:b/>
          <w:i/>
          <w:color w:val="76923C"/>
        </w:rPr>
        <w:tab/>
      </w:r>
      <w:r w:rsidR="00F66C45" w:rsidRPr="00FD60CA">
        <w:t>ФД№4517- Решение на ВОС от 26.01.2000</w:t>
      </w:r>
      <w:r w:rsidR="00D22162">
        <w:t xml:space="preserve"> </w:t>
      </w:r>
      <w:proofErr w:type="spellStart"/>
      <w:r w:rsidR="00F66C45" w:rsidRPr="00FD60CA">
        <w:t>год</w:t>
      </w:r>
      <w:proofErr w:type="spellEnd"/>
      <w:r w:rsidR="00F66C45" w:rsidRPr="00FD60CA">
        <w:t xml:space="preserve"> за вписване в ТР </w:t>
      </w:r>
    </w:p>
    <w:p w:rsidR="00F66C45" w:rsidRPr="00FD60CA" w:rsidRDefault="00F66C45" w:rsidP="00F66C45">
      <w:pPr>
        <w:tabs>
          <w:tab w:val="left" w:pos="0"/>
          <w:tab w:val="left" w:pos="2835"/>
        </w:tabs>
        <w:ind w:right="114" w:firstLine="180"/>
        <w:jc w:val="both"/>
      </w:pPr>
      <w:r w:rsidRPr="00FD60CA">
        <w:rPr>
          <w:b/>
          <w:i/>
          <w:color w:val="E36C0A"/>
        </w:rPr>
        <w:t xml:space="preserve"> </w:t>
      </w:r>
      <w:r w:rsidR="0074615C" w:rsidRPr="00FD60CA">
        <w:rPr>
          <w:b/>
          <w:i/>
          <w:color w:val="E36C0A"/>
        </w:rPr>
        <w:t>(чл. 39, т.7 от ЗС):</w:t>
      </w:r>
      <w:r w:rsidRPr="00FD60CA">
        <w:t xml:space="preserve"> </w:t>
      </w:r>
      <w:r w:rsidRPr="00FD60CA">
        <w:tab/>
        <w:t>Дружеството няма регистрирани клонове.</w:t>
      </w:r>
    </w:p>
    <w:p w:rsidR="001F2D99" w:rsidRPr="00FD60CA" w:rsidRDefault="001F2D99" w:rsidP="001F2D99">
      <w:pPr>
        <w:tabs>
          <w:tab w:val="left" w:pos="0"/>
        </w:tabs>
        <w:ind w:right="114" w:firstLine="180"/>
        <w:jc w:val="both"/>
        <w:rPr>
          <w:color w:val="E36C0A"/>
        </w:rPr>
      </w:pPr>
    </w:p>
    <w:p w:rsidR="001F2D99" w:rsidRPr="00FD60CA" w:rsidRDefault="001F2D99" w:rsidP="001F2D99">
      <w:pPr>
        <w:tabs>
          <w:tab w:val="left" w:pos="0"/>
        </w:tabs>
        <w:ind w:right="114" w:firstLine="180"/>
        <w:jc w:val="both"/>
      </w:pPr>
      <w:r w:rsidRPr="00FD60CA">
        <w:rPr>
          <w:b/>
          <w:i/>
          <w:color w:val="E36C0A"/>
        </w:rPr>
        <w:t>Свързани лица:</w:t>
      </w:r>
      <w:r w:rsidRPr="00FD60CA">
        <w:rPr>
          <w:b/>
          <w:i/>
          <w:color w:val="943634"/>
        </w:rPr>
        <w:tab/>
      </w:r>
      <w:r w:rsidRPr="00FD60CA">
        <w:rPr>
          <w:b/>
          <w:i/>
          <w:color w:val="FF0000"/>
        </w:rPr>
        <w:tab/>
      </w:r>
      <w:r w:rsidR="0015210B" w:rsidRPr="00FD60CA">
        <w:rPr>
          <w:b/>
          <w:i/>
          <w:color w:val="FF0000"/>
        </w:rPr>
        <w:t>За</w:t>
      </w:r>
      <w:r w:rsidR="00423E28">
        <w:rPr>
          <w:b/>
          <w:i/>
          <w:color w:val="FF0000"/>
          <w:lang w:val="en-US"/>
        </w:rPr>
        <w:t xml:space="preserve"> </w:t>
      </w:r>
      <w:r w:rsidR="00423E28">
        <w:rPr>
          <w:b/>
          <w:i/>
          <w:color w:val="FF0000"/>
        </w:rPr>
        <w:t>шестмесечието на</w:t>
      </w:r>
      <w:r w:rsidR="0015210B" w:rsidRPr="00FD60CA">
        <w:rPr>
          <w:b/>
          <w:i/>
          <w:color w:val="FF0000"/>
        </w:rPr>
        <w:t xml:space="preserve"> 201</w:t>
      </w:r>
      <w:r w:rsidR="00423E28">
        <w:rPr>
          <w:b/>
          <w:i/>
          <w:color w:val="FF0000"/>
          <w:lang w:val="en-US"/>
        </w:rPr>
        <w:t>7</w:t>
      </w:r>
      <w:r w:rsidR="00B43284" w:rsidRPr="00FD60CA">
        <w:rPr>
          <w:b/>
          <w:i/>
          <w:color w:val="FF0000"/>
        </w:rPr>
        <w:t xml:space="preserve"> </w:t>
      </w:r>
      <w:r w:rsidR="0015210B" w:rsidRPr="00FD60CA">
        <w:rPr>
          <w:b/>
          <w:i/>
          <w:color w:val="FF0000"/>
        </w:rPr>
        <w:t xml:space="preserve">година, </w:t>
      </w:r>
      <w:r w:rsidRPr="00FD60CA">
        <w:t>Дружеството има свързани лица, както следва:</w:t>
      </w:r>
    </w:p>
    <w:p w:rsidR="00D33DEB" w:rsidRPr="00FD60CA" w:rsidRDefault="00861EDA" w:rsidP="00F66C45">
      <w:pPr>
        <w:tabs>
          <w:tab w:val="left" w:pos="0"/>
          <w:tab w:val="left" w:pos="2835"/>
        </w:tabs>
        <w:ind w:right="114"/>
        <w:jc w:val="both"/>
        <w:rPr>
          <w:color w:val="000000"/>
        </w:rPr>
      </w:pPr>
      <w:r w:rsidRPr="006E085E">
        <w:rPr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3DEB" w:rsidRPr="00FD60CA">
        <w:rPr>
          <w:color w:val="000000"/>
        </w:rPr>
        <w:t>Маргарит Маргаритов Павлов</w:t>
      </w:r>
      <w:r w:rsidR="0015210B" w:rsidRPr="00FD60CA">
        <w:rPr>
          <w:color w:val="000000"/>
        </w:rPr>
        <w:t xml:space="preserve"> син на управителя </w:t>
      </w:r>
      <w:r w:rsidR="00D33DEB" w:rsidRPr="00FD60CA">
        <w:rPr>
          <w:color w:val="000000"/>
        </w:rPr>
        <w:t>- собственик на :</w:t>
      </w:r>
    </w:p>
    <w:p w:rsidR="00D33DEB" w:rsidRPr="00FD60CA" w:rsidRDefault="00D33DEB" w:rsidP="00D33DEB">
      <w:pPr>
        <w:tabs>
          <w:tab w:val="left" w:pos="0"/>
        </w:tabs>
        <w:ind w:right="114"/>
        <w:jc w:val="both"/>
        <w:rPr>
          <w:color w:val="000000"/>
        </w:rPr>
      </w:pPr>
    </w:p>
    <w:p w:rsidR="00D33DEB" w:rsidRPr="00FD60CA" w:rsidRDefault="00D33DEB" w:rsidP="00D33DEB">
      <w:pPr>
        <w:tabs>
          <w:tab w:val="left" w:pos="0"/>
        </w:tabs>
        <w:ind w:right="114"/>
        <w:jc w:val="both"/>
        <w:rPr>
          <w:color w:val="000000"/>
        </w:rPr>
      </w:pPr>
      <w:r w:rsidRPr="00FD60CA">
        <w:rPr>
          <w:color w:val="000000"/>
        </w:rPr>
        <w:tab/>
      </w:r>
      <w:r w:rsidRPr="00FD60CA">
        <w:rPr>
          <w:color w:val="000000"/>
        </w:rPr>
        <w:tab/>
        <w:t xml:space="preserve">- „МЦ ПМП </w:t>
      </w:r>
      <w:proofErr w:type="spellStart"/>
      <w:r w:rsidRPr="00FD60CA">
        <w:rPr>
          <w:color w:val="000000"/>
        </w:rPr>
        <w:t>Брадърс</w:t>
      </w:r>
      <w:proofErr w:type="spellEnd"/>
      <w:r w:rsidRPr="00FD60CA">
        <w:rPr>
          <w:color w:val="000000"/>
        </w:rPr>
        <w:t xml:space="preserve">” ЕООД </w:t>
      </w:r>
      <w:r w:rsidRPr="00FD60CA">
        <w:rPr>
          <w:color w:val="000000"/>
        </w:rPr>
        <w:tab/>
      </w:r>
      <w:r w:rsidRPr="00FD60CA">
        <w:rPr>
          <w:color w:val="000000"/>
        </w:rPr>
        <w:tab/>
      </w:r>
      <w:r w:rsidRPr="00FD60CA">
        <w:rPr>
          <w:color w:val="000000"/>
        </w:rPr>
        <w:tab/>
      </w:r>
      <w:r w:rsidRPr="00FD60CA">
        <w:rPr>
          <w:color w:val="000000"/>
        </w:rPr>
        <w:tab/>
        <w:t xml:space="preserve">ЕИК-148057211 </w:t>
      </w:r>
    </w:p>
    <w:p w:rsidR="00D33DEB" w:rsidRPr="00FD60CA" w:rsidRDefault="00EA1079" w:rsidP="00D33DEB">
      <w:pPr>
        <w:tabs>
          <w:tab w:val="left" w:pos="0"/>
        </w:tabs>
        <w:ind w:right="11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="00D33DEB" w:rsidRPr="00FD60CA">
        <w:rPr>
          <w:color w:val="000000"/>
        </w:rPr>
        <w:t xml:space="preserve">„Алфа ПМП” ЕООД </w:t>
      </w:r>
      <w:r w:rsidR="00D33DEB" w:rsidRPr="00FD60CA">
        <w:rPr>
          <w:color w:val="000000"/>
        </w:rPr>
        <w:tab/>
      </w:r>
      <w:r w:rsidR="00D33DEB" w:rsidRPr="00FD60CA">
        <w:rPr>
          <w:color w:val="000000"/>
        </w:rPr>
        <w:tab/>
      </w:r>
      <w:r w:rsidR="00D33DEB" w:rsidRPr="00FD60CA">
        <w:rPr>
          <w:color w:val="000000"/>
        </w:rPr>
        <w:tab/>
      </w:r>
      <w:r w:rsidR="00D33DEB" w:rsidRPr="00FD60CA">
        <w:rPr>
          <w:color w:val="000000"/>
        </w:rPr>
        <w:tab/>
      </w:r>
      <w:r w:rsidR="00D33DEB" w:rsidRPr="00FD60CA">
        <w:rPr>
          <w:color w:val="000000"/>
        </w:rPr>
        <w:tab/>
        <w:t>ЕИК-201041144.</w:t>
      </w:r>
    </w:p>
    <w:p w:rsidR="00D33DEB" w:rsidRPr="00FD60CA" w:rsidRDefault="00D33DEB" w:rsidP="00D33DEB">
      <w:pPr>
        <w:tabs>
          <w:tab w:val="left" w:pos="0"/>
        </w:tabs>
        <w:ind w:right="114"/>
        <w:jc w:val="both"/>
        <w:rPr>
          <w:color w:val="000000"/>
        </w:rPr>
      </w:pPr>
      <w:r w:rsidRPr="00FD60CA">
        <w:rPr>
          <w:color w:val="000000"/>
        </w:rPr>
        <w:tab/>
      </w:r>
      <w:r w:rsidRPr="00FD60CA">
        <w:rPr>
          <w:color w:val="000000"/>
        </w:rPr>
        <w:tab/>
        <w:t xml:space="preserve">-,,ПМП </w:t>
      </w:r>
      <w:proofErr w:type="spellStart"/>
      <w:r w:rsidRPr="00FD60CA">
        <w:rPr>
          <w:color w:val="000000"/>
        </w:rPr>
        <w:t>Брад</w:t>
      </w:r>
      <w:proofErr w:type="spellEnd"/>
      <w:r w:rsidRPr="00FD60CA">
        <w:rPr>
          <w:color w:val="000000"/>
        </w:rPr>
        <w:t xml:space="preserve">” ЕООД                                                 </w:t>
      </w:r>
      <w:r w:rsidRPr="00FD60CA">
        <w:rPr>
          <w:color w:val="000000"/>
        </w:rPr>
        <w:tab/>
        <w:t xml:space="preserve"> ЕИК-103854315</w:t>
      </w:r>
    </w:p>
    <w:p w:rsidR="00D33DEB" w:rsidRPr="00FD60CA" w:rsidRDefault="00D33DEB" w:rsidP="00D33DEB">
      <w:pPr>
        <w:tabs>
          <w:tab w:val="left" w:pos="0"/>
        </w:tabs>
        <w:ind w:right="114"/>
        <w:jc w:val="both"/>
        <w:rPr>
          <w:color w:val="000000"/>
        </w:rPr>
      </w:pPr>
      <w:r w:rsidRPr="00FD60CA">
        <w:rPr>
          <w:color w:val="000000"/>
        </w:rPr>
        <w:tab/>
      </w:r>
      <w:r w:rsidRPr="00FD60CA">
        <w:rPr>
          <w:color w:val="000000"/>
        </w:rPr>
        <w:tab/>
        <w:t>-,,</w:t>
      </w:r>
      <w:proofErr w:type="spellStart"/>
      <w:r w:rsidRPr="00FD60CA">
        <w:rPr>
          <w:color w:val="000000"/>
        </w:rPr>
        <w:t>Медивит</w:t>
      </w:r>
      <w:proofErr w:type="spellEnd"/>
      <w:r w:rsidRPr="00FD60CA">
        <w:rPr>
          <w:color w:val="000000"/>
        </w:rPr>
        <w:t xml:space="preserve"> – Т “ ЕООД                                             </w:t>
      </w:r>
      <w:r w:rsidRPr="00FD60CA">
        <w:rPr>
          <w:color w:val="000000"/>
        </w:rPr>
        <w:tab/>
        <w:t xml:space="preserve"> ЕИК-103848954</w:t>
      </w:r>
    </w:p>
    <w:p w:rsidR="00861EDA" w:rsidRPr="006E085E" w:rsidRDefault="00D33DEB" w:rsidP="00F66C45">
      <w:pPr>
        <w:tabs>
          <w:tab w:val="left" w:pos="0"/>
        </w:tabs>
        <w:ind w:right="114"/>
        <w:rPr>
          <w:b/>
          <w:i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60CA">
        <w:rPr>
          <w:color w:val="000000"/>
        </w:rPr>
        <w:tab/>
      </w:r>
      <w:r w:rsidRPr="00FD60CA">
        <w:rPr>
          <w:color w:val="000000"/>
        </w:rPr>
        <w:tab/>
        <w:t xml:space="preserve">-“ПМП Транс” ЕООД                 </w:t>
      </w:r>
      <w:r w:rsidRPr="00FD60CA">
        <w:rPr>
          <w:color w:val="000000"/>
        </w:rPr>
        <w:tab/>
      </w:r>
      <w:r w:rsidRPr="00FD60CA">
        <w:rPr>
          <w:color w:val="000000"/>
        </w:rPr>
        <w:tab/>
      </w:r>
      <w:r w:rsidRPr="00FD60CA">
        <w:rPr>
          <w:color w:val="000000"/>
        </w:rPr>
        <w:tab/>
        <w:t xml:space="preserve"> </w:t>
      </w:r>
      <w:r w:rsidRPr="00FD60CA">
        <w:rPr>
          <w:color w:val="000000"/>
        </w:rPr>
        <w:tab/>
        <w:t xml:space="preserve"> ЕИК-203461638 </w:t>
      </w:r>
      <w:r w:rsidRPr="00FD60CA">
        <w:rPr>
          <w:color w:val="000000"/>
        </w:rPr>
        <w:tab/>
      </w:r>
      <w:r w:rsidRPr="00FD60CA">
        <w:rPr>
          <w:color w:val="000000"/>
        </w:rPr>
        <w:tab/>
      </w:r>
      <w:r w:rsidRPr="00FD60CA">
        <w:rPr>
          <w:color w:val="000000"/>
        </w:rPr>
        <w:tab/>
        <w:t xml:space="preserve">             </w:t>
      </w:r>
    </w:p>
    <w:p w:rsidR="001F2D99" w:rsidRPr="00FD60CA" w:rsidRDefault="001F2D99" w:rsidP="00F871A2">
      <w:pPr>
        <w:pStyle w:val="a3"/>
        <w:shd w:val="clear" w:color="auto" w:fill="E36C0A"/>
        <w:autoSpaceDE w:val="0"/>
        <w:autoSpaceDN w:val="0"/>
        <w:adjustRightInd w:val="0"/>
        <w:jc w:val="both"/>
        <w:rPr>
          <w:b/>
          <w:i/>
          <w:color w:val="FF0000"/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ХАРАКТЕРИСТИКА НА ДЕЙНОСТТА</w:t>
      </w:r>
      <w:r w:rsidR="0074615C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F2D99" w:rsidRPr="00FD60CA" w:rsidRDefault="00D22162" w:rsidP="001F2D99">
      <w:pPr>
        <w:tabs>
          <w:tab w:val="left" w:pos="567"/>
          <w:tab w:val="left" w:pos="3969"/>
        </w:tabs>
        <w:ind w:left="113" w:right="114"/>
        <w:jc w:val="both"/>
      </w:pPr>
      <w:r>
        <w:t>Осъществяваната от  “</w:t>
      </w:r>
      <w:r w:rsidR="008662A8" w:rsidRPr="00FD60CA">
        <w:t>ДКЦ V Варна Света Екатерина</w:t>
      </w:r>
      <w:r w:rsidR="001F2D99" w:rsidRPr="00FD60CA">
        <w:t>”</w:t>
      </w:r>
      <w:r>
        <w:t xml:space="preserve"> </w:t>
      </w:r>
      <w:r w:rsidR="008662A8" w:rsidRPr="00FD60CA">
        <w:t>Е</w:t>
      </w:r>
      <w:r w:rsidR="0086497B" w:rsidRPr="00FD60CA">
        <w:t>ОО</w:t>
      </w:r>
      <w:r w:rsidR="001F2D99" w:rsidRPr="00FD60CA">
        <w:t>Д</w:t>
      </w:r>
      <w:r w:rsidR="0086497B" w:rsidRPr="00FD60CA">
        <w:t xml:space="preserve"> </w:t>
      </w:r>
      <w:r w:rsidR="001F2D99" w:rsidRPr="00FD60CA">
        <w:t>основна дейност е:</w:t>
      </w:r>
    </w:p>
    <w:p w:rsidR="001F2D99" w:rsidRPr="00FD60CA" w:rsidRDefault="008662A8" w:rsidP="002228B1">
      <w:pPr>
        <w:numPr>
          <w:ilvl w:val="0"/>
          <w:numId w:val="18"/>
        </w:numPr>
        <w:tabs>
          <w:tab w:val="left" w:pos="567"/>
          <w:tab w:val="left" w:pos="3969"/>
        </w:tabs>
        <w:ind w:right="114"/>
        <w:jc w:val="both"/>
      </w:pPr>
      <w:r w:rsidRPr="00FD60CA">
        <w:t xml:space="preserve">Специализирана </w:t>
      </w:r>
      <w:proofErr w:type="spellStart"/>
      <w:r w:rsidRPr="00FD60CA">
        <w:t>извънболнична</w:t>
      </w:r>
      <w:proofErr w:type="spellEnd"/>
      <w:r w:rsidRPr="00FD60CA">
        <w:t xml:space="preserve"> дейност</w:t>
      </w:r>
      <w:r w:rsidR="001F2D99" w:rsidRPr="00FD60CA">
        <w:t>;</w:t>
      </w:r>
    </w:p>
    <w:p w:rsidR="001F2D99" w:rsidRPr="00FD60CA" w:rsidRDefault="001F2D99" w:rsidP="001F2D99">
      <w:pPr>
        <w:tabs>
          <w:tab w:val="left" w:pos="0"/>
        </w:tabs>
        <w:ind w:right="114"/>
        <w:jc w:val="center"/>
      </w:pPr>
    </w:p>
    <w:p w:rsidR="001F2D99" w:rsidRPr="00FD60CA" w:rsidRDefault="001F2D99" w:rsidP="001F2D99">
      <w:pPr>
        <w:tabs>
          <w:tab w:val="left" w:pos="0"/>
        </w:tabs>
        <w:ind w:right="114"/>
        <w:jc w:val="both"/>
      </w:pPr>
      <w:r w:rsidRPr="00FD60CA">
        <w:t xml:space="preserve">Реализираните приходи по видове </w:t>
      </w:r>
      <w:r w:rsidR="00483022" w:rsidRPr="00FD60CA">
        <w:t xml:space="preserve"> </w:t>
      </w:r>
      <w:r w:rsidRPr="00FD60CA">
        <w:t>услуги от дейността за</w:t>
      </w:r>
      <w:r w:rsidR="00423E28">
        <w:t xml:space="preserve"> 1-вото шестмесечие на</w:t>
      </w:r>
      <w:r w:rsidRPr="00FD60CA">
        <w:t xml:space="preserve"> 201</w:t>
      </w:r>
      <w:r w:rsidR="00423E28">
        <w:t>7</w:t>
      </w:r>
      <w:r w:rsidRPr="00FD60CA">
        <w:t xml:space="preserve">г. </w:t>
      </w:r>
      <w:r w:rsidR="00643697" w:rsidRPr="00FD60CA">
        <w:t xml:space="preserve">и тяхното изменение </w:t>
      </w:r>
      <w:r w:rsidRPr="00FD60CA">
        <w:t>спрямо</w:t>
      </w:r>
      <w:r w:rsidR="00423E28">
        <w:t xml:space="preserve">1-вото шестмесечие на </w:t>
      </w:r>
      <w:r w:rsidRPr="00FD60CA">
        <w:t xml:space="preserve"> 201</w:t>
      </w:r>
      <w:r w:rsidR="00423E28">
        <w:t>6</w:t>
      </w:r>
      <w:r w:rsidRPr="00FD60CA">
        <w:t>г. са както следва:</w:t>
      </w:r>
    </w:p>
    <w:p w:rsidR="00765E69" w:rsidRPr="00FD60CA" w:rsidRDefault="00765E69" w:rsidP="00765E69">
      <w:pPr>
        <w:rPr>
          <w:rFonts w:cs="Calibri"/>
          <w:b/>
          <w:bCs/>
          <w:color w:val="FFFFFF"/>
          <w:sz w:val="20"/>
          <w:szCs w:val="20"/>
        </w:rPr>
      </w:pPr>
      <w:r w:rsidRPr="00FD60CA">
        <w:rPr>
          <w:rFonts w:cs="Calibri"/>
          <w:b/>
          <w:bCs/>
          <w:color w:val="FFFFFF"/>
          <w:sz w:val="20"/>
          <w:szCs w:val="20"/>
        </w:rPr>
        <w:t>Реализирани приходи от продажби</w:t>
      </w:r>
    </w:p>
    <w:tbl>
      <w:tblPr>
        <w:tblW w:w="9498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418"/>
      </w:tblGrid>
      <w:tr w:rsidR="00E730D6" w:rsidRPr="00E00159" w:rsidTr="00E00159">
        <w:trPr>
          <w:trHeight w:val="270"/>
        </w:trPr>
        <w:tc>
          <w:tcPr>
            <w:tcW w:w="58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765E69" w:rsidRPr="00E00159" w:rsidRDefault="00765E69" w:rsidP="00765E69">
            <w:pPr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color w:val="FFFFFF"/>
                <w:sz w:val="20"/>
                <w:szCs w:val="20"/>
              </w:rPr>
              <w:t>Реализирани приходи от продажби</w:t>
            </w:r>
          </w:p>
          <w:p w:rsidR="00E730D6" w:rsidRPr="00E00159" w:rsidRDefault="00355E38" w:rsidP="00355E38">
            <w:pPr>
              <w:tabs>
                <w:tab w:val="left" w:pos="960"/>
              </w:tabs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ab/>
            </w:r>
          </w:p>
        </w:tc>
        <w:tc>
          <w:tcPr>
            <w:tcW w:w="1134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E730D6" w:rsidRPr="00E00159" w:rsidRDefault="00E730D6" w:rsidP="00E730D6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E730D6" w:rsidRPr="00E00159" w:rsidRDefault="00E730D6" w:rsidP="00E730D6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  <w:noWrap/>
          </w:tcPr>
          <w:p w:rsidR="00E730D6" w:rsidRPr="00E00159" w:rsidRDefault="00E730D6" w:rsidP="00E00159">
            <w:pPr>
              <w:jc w:val="right"/>
              <w:rPr>
                <w:rFonts w:eastAsia="Times New Roman" w:cs="Calibri"/>
                <w:b/>
                <w:bCs/>
                <w:i/>
                <w:iCs/>
                <w:color w:val="FFFFFF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i/>
                <w:iCs/>
                <w:color w:val="FFFFFF"/>
                <w:sz w:val="20"/>
                <w:szCs w:val="20"/>
                <w:lang w:eastAsia="bg-BG"/>
              </w:rPr>
              <w:t>(хил.лв.)</w:t>
            </w:r>
          </w:p>
        </w:tc>
      </w:tr>
      <w:tr w:rsidR="00E730D6" w:rsidRPr="00E00159" w:rsidTr="00E00159">
        <w:trPr>
          <w:trHeight w:val="270"/>
        </w:trPr>
        <w:tc>
          <w:tcPr>
            <w:tcW w:w="9498" w:type="dxa"/>
            <w:gridSpan w:val="4"/>
            <w:shd w:val="clear" w:color="auto" w:fill="FFF2CC"/>
          </w:tcPr>
          <w:p w:rsidR="00E730D6" w:rsidRPr="00E00159" w:rsidRDefault="00E730D6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Реализирани приходи от продажби</w:t>
            </w:r>
          </w:p>
        </w:tc>
      </w:tr>
      <w:tr w:rsidR="00E730D6" w:rsidRPr="00E00159" w:rsidTr="00E00159">
        <w:trPr>
          <w:trHeight w:val="341"/>
        </w:trPr>
        <w:tc>
          <w:tcPr>
            <w:tcW w:w="5812" w:type="dxa"/>
            <w:shd w:val="clear" w:color="auto" w:fill="auto"/>
          </w:tcPr>
          <w:p w:rsidR="00E730D6" w:rsidRPr="00E00159" w:rsidRDefault="00E730D6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по видове стоки/ продукти/услуги</w:t>
            </w:r>
          </w:p>
        </w:tc>
        <w:tc>
          <w:tcPr>
            <w:tcW w:w="1134" w:type="dxa"/>
            <w:shd w:val="clear" w:color="auto" w:fill="auto"/>
          </w:tcPr>
          <w:p w:rsidR="00E730D6" w:rsidRPr="00E00159" w:rsidRDefault="00E730D6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730D6" w:rsidRPr="00E00159" w:rsidRDefault="00E730D6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730D6" w:rsidRPr="00E00159" w:rsidRDefault="00E730D6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изменение %</w:t>
            </w:r>
          </w:p>
        </w:tc>
      </w:tr>
      <w:tr w:rsidR="00355E38" w:rsidRPr="00E00159" w:rsidTr="00E00159">
        <w:trPr>
          <w:trHeight w:val="270"/>
        </w:trPr>
        <w:tc>
          <w:tcPr>
            <w:tcW w:w="5812" w:type="dxa"/>
            <w:shd w:val="clear" w:color="auto" w:fill="FFF2CC"/>
          </w:tcPr>
          <w:p w:rsidR="00355E38" w:rsidRPr="00E00159" w:rsidRDefault="00355E38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приходи от РЗОК</w:t>
            </w:r>
          </w:p>
        </w:tc>
        <w:tc>
          <w:tcPr>
            <w:tcW w:w="1134" w:type="dxa"/>
            <w:shd w:val="clear" w:color="auto" w:fill="FFF2CC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</w:t>
            </w:r>
          </w:p>
        </w:tc>
        <w:tc>
          <w:tcPr>
            <w:tcW w:w="1134" w:type="dxa"/>
            <w:shd w:val="clear" w:color="auto" w:fill="FFF2CC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</w:t>
            </w:r>
          </w:p>
        </w:tc>
        <w:tc>
          <w:tcPr>
            <w:tcW w:w="1418" w:type="dxa"/>
            <w:shd w:val="clear" w:color="auto" w:fill="FFF2CC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355E38" w:rsidRPr="00E00159" w:rsidTr="00E00159">
        <w:trPr>
          <w:trHeight w:val="270"/>
        </w:trPr>
        <w:tc>
          <w:tcPr>
            <w:tcW w:w="5812" w:type="dxa"/>
            <w:shd w:val="clear" w:color="auto" w:fill="auto"/>
          </w:tcPr>
          <w:p w:rsidR="00355E38" w:rsidRPr="00E00159" w:rsidRDefault="00355E38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приходи от профилактични прегледи</w:t>
            </w:r>
          </w:p>
        </w:tc>
        <w:tc>
          <w:tcPr>
            <w:tcW w:w="1134" w:type="dxa"/>
            <w:shd w:val="clear" w:color="auto" w:fill="auto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48%</w:t>
            </w:r>
          </w:p>
        </w:tc>
      </w:tr>
      <w:tr w:rsidR="00355E38" w:rsidRPr="00E00159" w:rsidTr="00E00159">
        <w:trPr>
          <w:trHeight w:val="270"/>
        </w:trPr>
        <w:tc>
          <w:tcPr>
            <w:tcW w:w="5812" w:type="dxa"/>
            <w:shd w:val="clear" w:color="auto" w:fill="FFF2CC"/>
          </w:tcPr>
          <w:p w:rsidR="00355E38" w:rsidRPr="00E00159" w:rsidRDefault="00355E38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приходи от населението</w:t>
            </w:r>
          </w:p>
        </w:tc>
        <w:tc>
          <w:tcPr>
            <w:tcW w:w="1134" w:type="dxa"/>
            <w:shd w:val="clear" w:color="auto" w:fill="FFF2CC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FFF2CC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FFF2CC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105%</w:t>
            </w:r>
          </w:p>
        </w:tc>
      </w:tr>
      <w:tr w:rsidR="00355E38" w:rsidRPr="00E00159" w:rsidTr="00355E38">
        <w:trPr>
          <w:trHeight w:val="270"/>
        </w:trPr>
        <w:tc>
          <w:tcPr>
            <w:tcW w:w="5812" w:type="dxa"/>
            <w:shd w:val="clear" w:color="auto" w:fill="auto"/>
            <w:noWrap/>
          </w:tcPr>
          <w:p w:rsidR="00355E38" w:rsidRPr="00E00159" w:rsidRDefault="00355E3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 xml:space="preserve">приходи от здравни фондове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765E69" w:rsidRPr="00E00159" w:rsidTr="00E00159">
        <w:trPr>
          <w:trHeight w:val="270"/>
        </w:trPr>
        <w:tc>
          <w:tcPr>
            <w:tcW w:w="5812" w:type="dxa"/>
            <w:shd w:val="clear" w:color="auto" w:fill="FFF2CC"/>
            <w:noWrap/>
          </w:tcPr>
          <w:p w:rsidR="00765E69" w:rsidRPr="00E00159" w:rsidRDefault="00765E6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2CC"/>
            <w:noWrap/>
          </w:tcPr>
          <w:p w:rsidR="00765E69" w:rsidRPr="00E00159" w:rsidRDefault="00765E69" w:rsidP="00464CC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noWrap/>
          </w:tcPr>
          <w:p w:rsidR="00765E69" w:rsidRPr="00E00159" w:rsidRDefault="00765E69" w:rsidP="00464CC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/>
          </w:tcPr>
          <w:p w:rsidR="00765E69" w:rsidRPr="00E00159" w:rsidRDefault="00765E69" w:rsidP="00464CC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5E38" w:rsidRPr="00E00159" w:rsidTr="00355E38">
        <w:trPr>
          <w:trHeight w:val="270"/>
        </w:trPr>
        <w:tc>
          <w:tcPr>
            <w:tcW w:w="5812" w:type="dxa"/>
            <w:shd w:val="clear" w:color="auto" w:fill="auto"/>
            <w:noWrap/>
          </w:tcPr>
          <w:p w:rsidR="00355E38" w:rsidRPr="00E00159" w:rsidRDefault="00355E3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Общо приходи от продажби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5E38" w:rsidRDefault="00355E38" w:rsidP="00464CC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5E38" w:rsidRDefault="00355E38" w:rsidP="00464CC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418" w:type="dxa"/>
            <w:shd w:val="clear" w:color="auto" w:fill="auto"/>
          </w:tcPr>
          <w:p w:rsidR="00355E38" w:rsidRDefault="00355E38" w:rsidP="00464CC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99%</w:t>
            </w:r>
          </w:p>
        </w:tc>
      </w:tr>
    </w:tbl>
    <w:p w:rsidR="00E730D6" w:rsidRPr="00FD60CA" w:rsidRDefault="00E730D6" w:rsidP="001F2D99">
      <w:pPr>
        <w:tabs>
          <w:tab w:val="left" w:pos="0"/>
        </w:tabs>
        <w:ind w:right="114"/>
        <w:jc w:val="center"/>
      </w:pPr>
    </w:p>
    <w:p w:rsidR="0092364A" w:rsidRPr="00FD60CA" w:rsidRDefault="00355E38" w:rsidP="001F2D99">
      <w:pPr>
        <w:tabs>
          <w:tab w:val="left" w:pos="0"/>
        </w:tabs>
        <w:ind w:right="114"/>
        <w:jc w:val="center"/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64AFB239" wp14:editId="43551849">
            <wp:simplePos x="0" y="0"/>
            <wp:positionH relativeFrom="column">
              <wp:posOffset>786130</wp:posOffset>
            </wp:positionH>
            <wp:positionV relativeFrom="paragraph">
              <wp:posOffset>61595</wp:posOffset>
            </wp:positionV>
            <wp:extent cx="4381500" cy="2505075"/>
            <wp:effectExtent l="57150" t="0" r="57150" b="104775"/>
            <wp:wrapSquare wrapText="bothSides"/>
            <wp:docPr id="18" name="Ди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99" w:rsidRPr="00FD60CA" w:rsidRDefault="001F2D99" w:rsidP="001F2D99">
      <w:pPr>
        <w:tabs>
          <w:tab w:val="left" w:pos="0"/>
        </w:tabs>
        <w:ind w:right="114"/>
        <w:jc w:val="both"/>
      </w:pPr>
    </w:p>
    <w:p w:rsidR="001F2D99" w:rsidRPr="00FD60CA" w:rsidRDefault="001F2D99" w:rsidP="001F2D99">
      <w:pPr>
        <w:tabs>
          <w:tab w:val="left" w:pos="0"/>
        </w:tabs>
        <w:ind w:right="114"/>
        <w:jc w:val="both"/>
      </w:pPr>
      <w:r w:rsidRPr="004B1A09">
        <w:t>Реализирани</w:t>
      </w:r>
      <w:r w:rsidR="0092364A" w:rsidRPr="004B1A09">
        <w:t>те</w:t>
      </w:r>
      <w:r w:rsidRPr="004B1A09">
        <w:t xml:space="preserve">  услуги</w:t>
      </w:r>
      <w:r w:rsidR="0092364A" w:rsidRPr="004B1A09">
        <w:t xml:space="preserve"> в </w:t>
      </w:r>
      <w:r w:rsidR="0090076C" w:rsidRPr="004B1A09">
        <w:t>натурално</w:t>
      </w:r>
      <w:r w:rsidR="0092364A" w:rsidRPr="004B1A09">
        <w:t xml:space="preserve"> изражение</w:t>
      </w:r>
      <w:r w:rsidR="00376F5C" w:rsidRPr="004B1A09">
        <w:t xml:space="preserve"> </w:t>
      </w:r>
      <w:r w:rsidR="00376F5C" w:rsidRPr="004B1A09">
        <w:rPr>
          <w:lang w:val="en-US"/>
        </w:rPr>
        <w:t xml:space="preserve">- </w:t>
      </w:r>
      <w:r w:rsidR="0015210B" w:rsidRPr="004B1A09">
        <w:t>брой прегледи</w:t>
      </w:r>
      <w:r w:rsidR="00F66C45" w:rsidRPr="004B1A09">
        <w:t xml:space="preserve"> </w:t>
      </w:r>
      <w:r w:rsidR="0015210B" w:rsidRPr="004B1A09">
        <w:t xml:space="preserve">- </w:t>
      </w:r>
      <w:r w:rsidRPr="004B1A09">
        <w:t>за 201</w:t>
      </w:r>
      <w:r w:rsidR="00423E28" w:rsidRPr="004B1A09">
        <w:t>7</w:t>
      </w:r>
      <w:r w:rsidRPr="004B1A09">
        <w:t xml:space="preserve">г. </w:t>
      </w:r>
      <w:r w:rsidR="00643697" w:rsidRPr="004B1A09">
        <w:t xml:space="preserve">и тяхното изменение </w:t>
      </w:r>
      <w:r w:rsidRPr="004B1A09">
        <w:t>спрямо 201</w:t>
      </w:r>
      <w:r w:rsidR="00423E28" w:rsidRPr="004B1A09">
        <w:t>6</w:t>
      </w:r>
      <w:r w:rsidRPr="004B1A09">
        <w:t xml:space="preserve">г. </w:t>
      </w:r>
      <w:r w:rsidR="0092364A" w:rsidRPr="004B1A09">
        <w:t>са</w:t>
      </w:r>
      <w:r w:rsidRPr="004B1A09">
        <w:t xml:space="preserve"> както следва:</w:t>
      </w:r>
    </w:p>
    <w:p w:rsidR="001A4C1B" w:rsidRPr="00FD60CA" w:rsidRDefault="001A4C1B" w:rsidP="001F2D99">
      <w:pPr>
        <w:tabs>
          <w:tab w:val="left" w:pos="0"/>
        </w:tabs>
        <w:ind w:right="114"/>
        <w:jc w:val="both"/>
      </w:pPr>
    </w:p>
    <w:tbl>
      <w:tblPr>
        <w:tblW w:w="9356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276"/>
      </w:tblGrid>
      <w:tr w:rsidR="001A4C1B" w:rsidRPr="00E00159" w:rsidTr="00E00159">
        <w:trPr>
          <w:trHeight w:val="270"/>
        </w:trPr>
        <w:tc>
          <w:tcPr>
            <w:tcW w:w="9356" w:type="dxa"/>
            <w:gridSpan w:val="4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1A4C1B" w:rsidRPr="00E00159" w:rsidRDefault="001A4C1B" w:rsidP="00E00159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Реализирани стоки/ продукти/ услуги в </w:t>
            </w:r>
            <w:r w:rsidR="00F06ED7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натурално</w:t>
            </w: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изражение</w:t>
            </w:r>
          </w:p>
        </w:tc>
      </w:tr>
      <w:tr w:rsidR="001A4C1B" w:rsidRPr="00E00159" w:rsidTr="00E00159">
        <w:trPr>
          <w:trHeight w:val="525"/>
        </w:trPr>
        <w:tc>
          <w:tcPr>
            <w:tcW w:w="5812" w:type="dxa"/>
            <w:shd w:val="clear" w:color="auto" w:fill="FFF2CC"/>
          </w:tcPr>
          <w:p w:rsidR="001A4C1B" w:rsidRPr="00E00159" w:rsidRDefault="001A4C1B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Видове стоки/ продукти/услуги</w:t>
            </w:r>
          </w:p>
        </w:tc>
        <w:tc>
          <w:tcPr>
            <w:tcW w:w="1134" w:type="dxa"/>
            <w:shd w:val="clear" w:color="auto" w:fill="FFF2CC"/>
          </w:tcPr>
          <w:p w:rsidR="001A4C1B" w:rsidRPr="00C2726C" w:rsidRDefault="00C2726C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2017</w:t>
            </w:r>
          </w:p>
        </w:tc>
        <w:tc>
          <w:tcPr>
            <w:tcW w:w="1134" w:type="dxa"/>
            <w:shd w:val="clear" w:color="auto" w:fill="FFF2CC"/>
          </w:tcPr>
          <w:p w:rsidR="001A4C1B" w:rsidRPr="00C2726C" w:rsidRDefault="00C2726C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2016</w:t>
            </w:r>
          </w:p>
        </w:tc>
        <w:tc>
          <w:tcPr>
            <w:tcW w:w="1276" w:type="dxa"/>
            <w:shd w:val="clear" w:color="auto" w:fill="FFF2CC"/>
          </w:tcPr>
          <w:p w:rsidR="001A4C1B" w:rsidRPr="00E00159" w:rsidRDefault="001A4C1B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изменение %</w:t>
            </w:r>
          </w:p>
        </w:tc>
      </w:tr>
      <w:tr w:rsidR="00765E69" w:rsidRPr="00E00159" w:rsidTr="00E00159">
        <w:trPr>
          <w:trHeight w:val="270"/>
        </w:trPr>
        <w:tc>
          <w:tcPr>
            <w:tcW w:w="5812" w:type="dxa"/>
            <w:shd w:val="clear" w:color="auto" w:fill="auto"/>
          </w:tcPr>
          <w:p w:rsidR="00765E69" w:rsidRPr="00E00159" w:rsidRDefault="00765E69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приходи от РЗОК</w:t>
            </w:r>
          </w:p>
        </w:tc>
        <w:tc>
          <w:tcPr>
            <w:tcW w:w="1134" w:type="dxa"/>
            <w:shd w:val="clear" w:color="auto" w:fill="auto"/>
          </w:tcPr>
          <w:p w:rsidR="00765E69" w:rsidRPr="001913EA" w:rsidRDefault="001913EA" w:rsidP="00464CCD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20545</w:t>
            </w:r>
          </w:p>
        </w:tc>
        <w:tc>
          <w:tcPr>
            <w:tcW w:w="1134" w:type="dxa"/>
            <w:shd w:val="clear" w:color="auto" w:fill="auto"/>
          </w:tcPr>
          <w:p w:rsidR="00765E69" w:rsidRPr="00E00159" w:rsidRDefault="001913EA" w:rsidP="001913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21318</w:t>
            </w:r>
          </w:p>
        </w:tc>
        <w:tc>
          <w:tcPr>
            <w:tcW w:w="1276" w:type="dxa"/>
            <w:shd w:val="clear" w:color="auto" w:fill="auto"/>
          </w:tcPr>
          <w:p w:rsidR="00765E69" w:rsidRPr="00E00159" w:rsidRDefault="00765E69" w:rsidP="00464CCD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109%</w:t>
            </w:r>
          </w:p>
        </w:tc>
      </w:tr>
      <w:tr w:rsidR="00765E69" w:rsidRPr="00E00159" w:rsidTr="00E00159">
        <w:trPr>
          <w:trHeight w:val="270"/>
        </w:trPr>
        <w:tc>
          <w:tcPr>
            <w:tcW w:w="5812" w:type="dxa"/>
            <w:shd w:val="clear" w:color="auto" w:fill="FFF2CC"/>
          </w:tcPr>
          <w:p w:rsidR="00765E69" w:rsidRPr="00E00159" w:rsidRDefault="00765E69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приходи от профилактични прегледи</w:t>
            </w:r>
          </w:p>
        </w:tc>
        <w:tc>
          <w:tcPr>
            <w:tcW w:w="1134" w:type="dxa"/>
            <w:shd w:val="clear" w:color="auto" w:fill="FFF2CC"/>
          </w:tcPr>
          <w:p w:rsidR="00765E69" w:rsidRPr="001913EA" w:rsidRDefault="001913EA" w:rsidP="00464CCD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1274</w:t>
            </w:r>
          </w:p>
        </w:tc>
        <w:tc>
          <w:tcPr>
            <w:tcW w:w="1134" w:type="dxa"/>
            <w:shd w:val="clear" w:color="auto" w:fill="FFF2CC"/>
          </w:tcPr>
          <w:p w:rsidR="00765E69" w:rsidRPr="00E00159" w:rsidRDefault="001913EA" w:rsidP="001913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2601</w:t>
            </w:r>
          </w:p>
        </w:tc>
        <w:tc>
          <w:tcPr>
            <w:tcW w:w="1276" w:type="dxa"/>
            <w:shd w:val="clear" w:color="auto" w:fill="FFF2CC"/>
          </w:tcPr>
          <w:p w:rsidR="00765E69" w:rsidRPr="00E00159" w:rsidRDefault="00765E69" w:rsidP="00464CCD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97%</w:t>
            </w:r>
          </w:p>
        </w:tc>
      </w:tr>
      <w:tr w:rsidR="00765E69" w:rsidRPr="00E00159" w:rsidTr="00E00159">
        <w:trPr>
          <w:trHeight w:val="270"/>
        </w:trPr>
        <w:tc>
          <w:tcPr>
            <w:tcW w:w="5812" w:type="dxa"/>
            <w:shd w:val="clear" w:color="auto" w:fill="auto"/>
          </w:tcPr>
          <w:p w:rsidR="00765E69" w:rsidRPr="00E00159" w:rsidRDefault="00765E69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приходи от населението</w:t>
            </w:r>
          </w:p>
        </w:tc>
        <w:tc>
          <w:tcPr>
            <w:tcW w:w="1134" w:type="dxa"/>
            <w:shd w:val="clear" w:color="auto" w:fill="auto"/>
          </w:tcPr>
          <w:p w:rsidR="00765E69" w:rsidRPr="001913EA" w:rsidRDefault="001913EA" w:rsidP="00464CCD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5741</w:t>
            </w:r>
          </w:p>
        </w:tc>
        <w:tc>
          <w:tcPr>
            <w:tcW w:w="1134" w:type="dxa"/>
            <w:shd w:val="clear" w:color="auto" w:fill="auto"/>
          </w:tcPr>
          <w:p w:rsidR="00765E69" w:rsidRPr="00E00159" w:rsidRDefault="001913EA" w:rsidP="001913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5483</w:t>
            </w:r>
          </w:p>
        </w:tc>
        <w:tc>
          <w:tcPr>
            <w:tcW w:w="1276" w:type="dxa"/>
            <w:shd w:val="clear" w:color="auto" w:fill="auto"/>
          </w:tcPr>
          <w:p w:rsidR="00765E69" w:rsidRPr="00E00159" w:rsidRDefault="00765E69" w:rsidP="00464CCD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107%</w:t>
            </w:r>
          </w:p>
        </w:tc>
      </w:tr>
      <w:tr w:rsidR="00765E69" w:rsidRPr="00E00159" w:rsidTr="00E00159">
        <w:trPr>
          <w:trHeight w:val="270"/>
        </w:trPr>
        <w:tc>
          <w:tcPr>
            <w:tcW w:w="5812" w:type="dxa"/>
            <w:shd w:val="clear" w:color="auto" w:fill="FFF2CC"/>
            <w:noWrap/>
          </w:tcPr>
          <w:p w:rsidR="00765E69" w:rsidRPr="00E00159" w:rsidRDefault="00765E6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 xml:space="preserve">приходи от здравни фондове </w:t>
            </w:r>
          </w:p>
        </w:tc>
        <w:tc>
          <w:tcPr>
            <w:tcW w:w="1134" w:type="dxa"/>
            <w:shd w:val="clear" w:color="auto" w:fill="FFF2CC"/>
          </w:tcPr>
          <w:p w:rsidR="00765E69" w:rsidRPr="001913EA" w:rsidRDefault="001913EA" w:rsidP="00464CCD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shd w:val="clear" w:color="auto" w:fill="FFF2CC"/>
          </w:tcPr>
          <w:p w:rsidR="00765E69" w:rsidRPr="001913EA" w:rsidRDefault="001913EA" w:rsidP="00464CCD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6" w:type="dxa"/>
            <w:shd w:val="clear" w:color="auto" w:fill="FFF2CC"/>
          </w:tcPr>
          <w:p w:rsidR="00765E69" w:rsidRPr="00E00159" w:rsidRDefault="00765E69" w:rsidP="00464CCD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129%</w:t>
            </w:r>
          </w:p>
        </w:tc>
      </w:tr>
    </w:tbl>
    <w:p w:rsidR="001F2D99" w:rsidRPr="00FD60CA" w:rsidRDefault="001F2D99" w:rsidP="001F2D99">
      <w:pPr>
        <w:tabs>
          <w:tab w:val="left" w:pos="0"/>
        </w:tabs>
        <w:ind w:right="114"/>
        <w:jc w:val="center"/>
      </w:pPr>
    </w:p>
    <w:p w:rsidR="00D44046" w:rsidRDefault="00D44046" w:rsidP="001A4C1B">
      <w:pPr>
        <w:tabs>
          <w:tab w:val="left" w:pos="0"/>
        </w:tabs>
        <w:ind w:right="114"/>
        <w:jc w:val="center"/>
        <w:rPr>
          <w:noProof/>
          <w:lang w:eastAsia="bg-BG"/>
        </w:rPr>
      </w:pPr>
    </w:p>
    <w:p w:rsidR="004B1A09" w:rsidRDefault="004B1A09" w:rsidP="001A4C1B">
      <w:pPr>
        <w:tabs>
          <w:tab w:val="left" w:pos="0"/>
        </w:tabs>
        <w:ind w:right="114"/>
        <w:jc w:val="center"/>
        <w:rPr>
          <w:noProof/>
          <w:lang w:eastAsia="bg-BG"/>
        </w:rPr>
      </w:pPr>
    </w:p>
    <w:p w:rsidR="004B1A09" w:rsidRDefault="004B1A09" w:rsidP="001A4C1B">
      <w:pPr>
        <w:tabs>
          <w:tab w:val="left" w:pos="0"/>
        </w:tabs>
        <w:ind w:right="114"/>
        <w:jc w:val="center"/>
        <w:rPr>
          <w:noProof/>
          <w:lang w:eastAsia="bg-BG"/>
        </w:rPr>
      </w:pPr>
    </w:p>
    <w:p w:rsidR="004B1A09" w:rsidRDefault="004B1A09" w:rsidP="001A4C1B">
      <w:pPr>
        <w:tabs>
          <w:tab w:val="left" w:pos="0"/>
        </w:tabs>
        <w:ind w:right="114"/>
        <w:jc w:val="center"/>
        <w:rPr>
          <w:noProof/>
          <w:lang w:eastAsia="bg-BG"/>
        </w:rPr>
      </w:pPr>
    </w:p>
    <w:p w:rsidR="004B1A09" w:rsidRPr="00FD60CA" w:rsidRDefault="004B1A09" w:rsidP="001A4C1B">
      <w:pPr>
        <w:tabs>
          <w:tab w:val="left" w:pos="0"/>
        </w:tabs>
        <w:ind w:right="114"/>
        <w:jc w:val="center"/>
      </w:pPr>
    </w:p>
    <w:p w:rsidR="00376F5C" w:rsidRPr="00376F5C" w:rsidRDefault="00376F5C" w:rsidP="00A73D1C">
      <w:pPr>
        <w:pStyle w:val="af2"/>
        <w:ind w:right="180"/>
        <w:jc w:val="left"/>
        <w:rPr>
          <w:rFonts w:ascii="Calibri" w:hAnsi="Calibri"/>
          <w:b/>
          <w:i/>
          <w:color w:val="339966"/>
          <w:sz w:val="24"/>
          <w:lang w:val="en-US"/>
        </w:rPr>
      </w:pPr>
    </w:p>
    <w:p w:rsidR="004A0CAD" w:rsidRPr="00FD60CA" w:rsidRDefault="00765E69" w:rsidP="0051576A">
      <w:pPr>
        <w:pStyle w:val="af2"/>
        <w:ind w:left="180" w:right="180"/>
        <w:jc w:val="both"/>
        <w:rPr>
          <w:rFonts w:ascii="Calibri" w:hAnsi="Calibri" w:cs="Calibri"/>
          <w:sz w:val="22"/>
          <w:szCs w:val="22"/>
        </w:rPr>
      </w:pPr>
      <w:r w:rsidRPr="00FD60CA">
        <w:rPr>
          <w:rFonts w:ascii="Calibri" w:hAnsi="Calibri" w:cs="Calibri"/>
          <w:sz w:val="22"/>
          <w:szCs w:val="22"/>
        </w:rPr>
        <w:lastRenderedPageBreak/>
        <w:t>“</w:t>
      </w:r>
      <w:r w:rsidR="00941C30" w:rsidRPr="00FD60CA">
        <w:rPr>
          <w:rFonts w:ascii="Calibri" w:hAnsi="Calibri" w:cs="Calibri"/>
          <w:sz w:val="22"/>
          <w:szCs w:val="22"/>
        </w:rPr>
        <w:t>ДКЦ V Варна Света Екатерина</w:t>
      </w:r>
      <w:r w:rsidR="000C3B96" w:rsidRPr="00FD60CA">
        <w:rPr>
          <w:rFonts w:ascii="Calibri" w:hAnsi="Calibri" w:cs="Calibri"/>
          <w:sz w:val="22"/>
          <w:szCs w:val="22"/>
        </w:rPr>
        <w:t>“</w:t>
      </w:r>
      <w:r w:rsidR="00941C30" w:rsidRPr="00FD60CA">
        <w:rPr>
          <w:rFonts w:ascii="Calibri" w:hAnsi="Calibri" w:cs="Calibri"/>
          <w:sz w:val="22"/>
          <w:szCs w:val="22"/>
        </w:rPr>
        <w:t xml:space="preserve"> ЕООД</w:t>
      </w:r>
      <w:r w:rsidR="001A4C1B" w:rsidRPr="00FD60CA">
        <w:rPr>
          <w:rFonts w:ascii="Calibri" w:hAnsi="Calibri" w:cs="Calibri"/>
          <w:sz w:val="22"/>
          <w:szCs w:val="22"/>
        </w:rPr>
        <w:t xml:space="preserve"> </w:t>
      </w:r>
      <w:r w:rsidR="0051576A" w:rsidRPr="00FD60CA">
        <w:rPr>
          <w:rFonts w:ascii="Calibri" w:hAnsi="Calibri" w:cs="Calibri"/>
          <w:sz w:val="22"/>
          <w:szCs w:val="22"/>
        </w:rPr>
        <w:t>реализира своите  услуги на следните пазари</w:t>
      </w:r>
      <w:r w:rsidR="004A0CAD" w:rsidRPr="00FD60CA">
        <w:rPr>
          <w:rFonts w:ascii="Calibri" w:hAnsi="Calibri" w:cs="Calibri"/>
          <w:sz w:val="22"/>
          <w:szCs w:val="22"/>
        </w:rPr>
        <w:t xml:space="preserve"> </w:t>
      </w:r>
    </w:p>
    <w:p w:rsidR="0051576A" w:rsidRPr="00FD60CA" w:rsidRDefault="0051576A" w:rsidP="0051576A">
      <w:pPr>
        <w:pStyle w:val="af2"/>
        <w:ind w:left="993" w:right="180"/>
        <w:jc w:val="both"/>
        <w:rPr>
          <w:rFonts w:ascii="Calibri" w:hAnsi="Calibri" w:cs="Calibri"/>
          <w:b/>
          <w:i/>
          <w:color w:val="339966"/>
          <w:sz w:val="22"/>
          <w:szCs w:val="22"/>
        </w:rPr>
      </w:pPr>
    </w:p>
    <w:p w:rsidR="0051576A" w:rsidRPr="00FD60CA" w:rsidRDefault="0051576A" w:rsidP="002228B1">
      <w:pPr>
        <w:pStyle w:val="af2"/>
        <w:numPr>
          <w:ilvl w:val="0"/>
          <w:numId w:val="1"/>
        </w:numPr>
        <w:ind w:right="180"/>
        <w:jc w:val="both"/>
        <w:rPr>
          <w:rFonts w:ascii="Calibri" w:hAnsi="Calibri" w:cs="Calibri"/>
          <w:b/>
          <w:sz w:val="22"/>
          <w:szCs w:val="22"/>
        </w:rPr>
      </w:pPr>
      <w:r w:rsidRPr="00FD60CA">
        <w:rPr>
          <w:rFonts w:ascii="Calibri" w:hAnsi="Calibri" w:cs="Calibri"/>
          <w:b/>
          <w:sz w:val="22"/>
          <w:szCs w:val="22"/>
        </w:rPr>
        <w:t>Вътрешни</w:t>
      </w:r>
    </w:p>
    <w:p w:rsidR="0051576A" w:rsidRPr="00FD60CA" w:rsidRDefault="0051576A" w:rsidP="0051576A">
      <w:pPr>
        <w:pStyle w:val="af2"/>
        <w:ind w:left="993" w:right="180"/>
        <w:jc w:val="both"/>
        <w:rPr>
          <w:rFonts w:ascii="Calibri" w:hAnsi="Calibri" w:cs="Calibri"/>
          <w:b/>
          <w:i/>
          <w:color w:val="339966"/>
          <w:sz w:val="22"/>
          <w:szCs w:val="22"/>
        </w:rPr>
      </w:pPr>
    </w:p>
    <w:p w:rsidR="005D27D6" w:rsidRPr="00FD60CA" w:rsidRDefault="005D27D6" w:rsidP="005D27D6">
      <w:pPr>
        <w:pStyle w:val="af2"/>
        <w:ind w:right="180"/>
        <w:jc w:val="both"/>
        <w:rPr>
          <w:rFonts w:ascii="Calibri" w:hAnsi="Calibri"/>
          <w:sz w:val="22"/>
        </w:rPr>
      </w:pPr>
      <w:r w:rsidRPr="00FD60CA">
        <w:rPr>
          <w:rFonts w:ascii="Calibri" w:hAnsi="Calibri"/>
          <w:sz w:val="22"/>
        </w:rPr>
        <w:t>Реализираните на вътрешните и външните пазари приходи по видове услуги от дейността за</w:t>
      </w:r>
      <w:r w:rsidR="002A699D">
        <w:rPr>
          <w:rFonts w:ascii="Calibri" w:hAnsi="Calibri"/>
          <w:sz w:val="22"/>
        </w:rPr>
        <w:t xml:space="preserve"> първото шестмесечие на</w:t>
      </w:r>
      <w:r w:rsidRPr="00FD60CA">
        <w:rPr>
          <w:rFonts w:ascii="Calibri" w:hAnsi="Calibri"/>
          <w:sz w:val="22"/>
        </w:rPr>
        <w:t xml:space="preserve"> </w:t>
      </w:r>
      <w:r w:rsidR="00AC15BC" w:rsidRPr="00FD60CA">
        <w:rPr>
          <w:rFonts w:ascii="Calibri" w:hAnsi="Calibri"/>
          <w:sz w:val="22"/>
        </w:rPr>
        <w:t>201</w:t>
      </w:r>
      <w:r w:rsidR="00A32656">
        <w:rPr>
          <w:rFonts w:ascii="Calibri" w:hAnsi="Calibri"/>
          <w:sz w:val="22"/>
        </w:rPr>
        <w:t>7</w:t>
      </w:r>
      <w:r w:rsidR="00AC15BC" w:rsidRPr="00FD60CA">
        <w:rPr>
          <w:rFonts w:ascii="Calibri" w:hAnsi="Calibri"/>
          <w:sz w:val="22"/>
        </w:rPr>
        <w:t>г.</w:t>
      </w:r>
      <w:r w:rsidRPr="00FD60CA">
        <w:rPr>
          <w:rFonts w:ascii="Calibri" w:hAnsi="Calibri"/>
          <w:sz w:val="22"/>
        </w:rPr>
        <w:t xml:space="preserve">  и тяхното изменение </w:t>
      </w:r>
      <w:proofErr w:type="spellStart"/>
      <w:r w:rsidRPr="00FD60CA">
        <w:rPr>
          <w:rFonts w:ascii="Calibri" w:hAnsi="Calibri"/>
          <w:sz w:val="22"/>
        </w:rPr>
        <w:t>спрямо</w:t>
      </w:r>
      <w:r w:rsidR="002A699D">
        <w:rPr>
          <w:rFonts w:ascii="Calibri" w:hAnsi="Calibri"/>
          <w:sz w:val="22"/>
        </w:rPr>
        <w:t>същия</w:t>
      </w:r>
      <w:proofErr w:type="spellEnd"/>
      <w:r w:rsidR="002A699D">
        <w:rPr>
          <w:rFonts w:ascii="Calibri" w:hAnsi="Calibri"/>
          <w:sz w:val="22"/>
        </w:rPr>
        <w:t xml:space="preserve"> период на</w:t>
      </w:r>
      <w:r w:rsidRPr="00FD60CA">
        <w:rPr>
          <w:rFonts w:ascii="Calibri" w:hAnsi="Calibri"/>
          <w:sz w:val="22"/>
        </w:rPr>
        <w:t xml:space="preserve"> 201</w:t>
      </w:r>
      <w:r w:rsidR="002A699D">
        <w:rPr>
          <w:rFonts w:ascii="Calibri" w:hAnsi="Calibri"/>
          <w:sz w:val="22"/>
        </w:rPr>
        <w:t>6</w:t>
      </w:r>
      <w:r w:rsidRPr="00FD60CA">
        <w:rPr>
          <w:rFonts w:ascii="Calibri" w:hAnsi="Calibri"/>
          <w:sz w:val="22"/>
        </w:rPr>
        <w:t>г</w:t>
      </w:r>
      <w:r w:rsidR="00776B39">
        <w:rPr>
          <w:rFonts w:ascii="Calibri" w:hAnsi="Calibri"/>
          <w:sz w:val="22"/>
        </w:rPr>
        <w:t>.</w:t>
      </w:r>
      <w:r w:rsidRPr="00FD60CA">
        <w:rPr>
          <w:rFonts w:ascii="Calibri" w:hAnsi="Calibri"/>
          <w:sz w:val="22"/>
        </w:rPr>
        <w:t xml:space="preserve"> са както следва:</w:t>
      </w:r>
    </w:p>
    <w:tbl>
      <w:tblPr>
        <w:tblW w:w="9521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202"/>
        <w:gridCol w:w="992"/>
        <w:gridCol w:w="6"/>
        <w:gridCol w:w="1086"/>
        <w:gridCol w:w="1052"/>
        <w:gridCol w:w="1163"/>
        <w:gridCol w:w="909"/>
        <w:gridCol w:w="1086"/>
      </w:tblGrid>
      <w:tr w:rsidR="00776B39" w:rsidRPr="00452927" w:rsidTr="00376F5C">
        <w:trPr>
          <w:trHeight w:val="279"/>
        </w:trPr>
        <w:tc>
          <w:tcPr>
            <w:tcW w:w="30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08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052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163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90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  <w:noWrap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086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  <w:noWrap/>
          </w:tcPr>
          <w:p w:rsidR="00FE1938" w:rsidRPr="00452927" w:rsidRDefault="00FE1938" w:rsidP="00E00159">
            <w:pPr>
              <w:jc w:val="right"/>
              <w:rPr>
                <w:rFonts w:eastAsia="Times New Roman" w:cs="Calibri"/>
                <w:b/>
                <w:bCs/>
                <w:i/>
                <w:iCs/>
                <w:color w:val="404040"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i/>
                <w:iCs/>
                <w:color w:val="404040"/>
                <w:sz w:val="20"/>
                <w:szCs w:val="20"/>
                <w:lang w:eastAsia="bg-BG"/>
              </w:rPr>
              <w:t>(хил.</w:t>
            </w:r>
            <w:r w:rsidR="00776B39" w:rsidRPr="00452927">
              <w:rPr>
                <w:rFonts w:eastAsia="Times New Roman" w:cs="Calibri"/>
                <w:b/>
                <w:bCs/>
                <w:i/>
                <w:iCs/>
                <w:color w:val="404040"/>
                <w:sz w:val="20"/>
                <w:szCs w:val="20"/>
                <w:lang w:eastAsia="bg-BG"/>
              </w:rPr>
              <w:t xml:space="preserve"> </w:t>
            </w:r>
            <w:r w:rsidRPr="00452927">
              <w:rPr>
                <w:rFonts w:eastAsia="Times New Roman" w:cs="Calibri"/>
                <w:b/>
                <w:bCs/>
                <w:i/>
                <w:iCs/>
                <w:color w:val="404040"/>
                <w:sz w:val="20"/>
                <w:szCs w:val="20"/>
                <w:lang w:eastAsia="bg-BG"/>
              </w:rPr>
              <w:t>лв.)</w:t>
            </w:r>
          </w:p>
        </w:tc>
      </w:tr>
      <w:tr w:rsidR="00FE1938" w:rsidRPr="00E00159" w:rsidTr="00376F5C">
        <w:trPr>
          <w:trHeight w:val="279"/>
        </w:trPr>
        <w:tc>
          <w:tcPr>
            <w:tcW w:w="9521" w:type="dxa"/>
            <w:gridSpan w:val="9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color w:val="404040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color w:val="404040"/>
                <w:sz w:val="20"/>
                <w:szCs w:val="20"/>
                <w:lang w:eastAsia="bg-BG"/>
              </w:rPr>
              <w:t>Реализирани приходи от продажби</w:t>
            </w:r>
          </w:p>
        </w:tc>
      </w:tr>
      <w:tr w:rsidR="00FE1938" w:rsidRPr="00E00159" w:rsidTr="00376F5C">
        <w:trPr>
          <w:trHeight w:val="279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по видове стоки/ продукти/услуги</w:t>
            </w:r>
          </w:p>
        </w:tc>
        <w:tc>
          <w:tcPr>
            <w:tcW w:w="2084" w:type="dxa"/>
            <w:gridSpan w:val="3"/>
            <w:shd w:val="clear" w:color="auto" w:fill="auto"/>
          </w:tcPr>
          <w:p w:rsidR="00FE1938" w:rsidRPr="00E00159" w:rsidRDefault="00FE1938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FE1938" w:rsidRPr="00E00159" w:rsidRDefault="00FE1938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изменение %</w:t>
            </w:r>
          </w:p>
        </w:tc>
      </w:tr>
      <w:tr w:rsidR="00FE1938" w:rsidRPr="00E00159" w:rsidTr="00F5408E">
        <w:trPr>
          <w:trHeight w:val="543"/>
        </w:trPr>
        <w:tc>
          <w:tcPr>
            <w:tcW w:w="3227" w:type="dxa"/>
            <w:gridSpan w:val="2"/>
            <w:vMerge/>
            <w:shd w:val="clear" w:color="auto" w:fill="FFF2CC"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външни пазари</w:t>
            </w:r>
          </w:p>
        </w:tc>
        <w:tc>
          <w:tcPr>
            <w:tcW w:w="1092" w:type="dxa"/>
            <w:gridSpan w:val="2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вътрешни пазари</w:t>
            </w:r>
          </w:p>
        </w:tc>
        <w:tc>
          <w:tcPr>
            <w:tcW w:w="1052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външни пазари</w:t>
            </w:r>
          </w:p>
        </w:tc>
        <w:tc>
          <w:tcPr>
            <w:tcW w:w="1163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вътрешни пазари</w:t>
            </w:r>
          </w:p>
        </w:tc>
        <w:tc>
          <w:tcPr>
            <w:tcW w:w="909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външни пазари</w:t>
            </w:r>
          </w:p>
        </w:tc>
        <w:tc>
          <w:tcPr>
            <w:tcW w:w="1086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вътрешни пазари</w:t>
            </w:r>
          </w:p>
        </w:tc>
      </w:tr>
      <w:tr w:rsidR="00376F5C" w:rsidRPr="00E00159" w:rsidTr="00F5408E">
        <w:trPr>
          <w:trHeight w:val="279"/>
        </w:trPr>
        <w:tc>
          <w:tcPr>
            <w:tcW w:w="3227" w:type="dxa"/>
            <w:gridSpan w:val="2"/>
            <w:shd w:val="clear" w:color="auto" w:fill="auto"/>
          </w:tcPr>
          <w:p w:rsidR="00376F5C" w:rsidRDefault="00376F5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приходи от РЗОК</w:t>
            </w:r>
          </w:p>
        </w:tc>
        <w:tc>
          <w:tcPr>
            <w:tcW w:w="992" w:type="dxa"/>
            <w:shd w:val="clear" w:color="auto" w:fill="auto"/>
          </w:tcPr>
          <w:p w:rsidR="00376F5C" w:rsidRDefault="00376F5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</w:t>
            </w:r>
          </w:p>
        </w:tc>
        <w:tc>
          <w:tcPr>
            <w:tcW w:w="1052" w:type="dxa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</w:t>
            </w:r>
          </w:p>
        </w:tc>
        <w:tc>
          <w:tcPr>
            <w:tcW w:w="909" w:type="dxa"/>
            <w:shd w:val="clear" w:color="auto" w:fill="auto"/>
          </w:tcPr>
          <w:p w:rsidR="00376F5C" w:rsidRDefault="00F5408E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376F5C" w:rsidRPr="00E00159" w:rsidTr="00F5408E">
        <w:trPr>
          <w:trHeight w:val="279"/>
        </w:trPr>
        <w:tc>
          <w:tcPr>
            <w:tcW w:w="3227" w:type="dxa"/>
            <w:gridSpan w:val="2"/>
            <w:shd w:val="clear" w:color="auto" w:fill="FFF2CC"/>
          </w:tcPr>
          <w:p w:rsidR="00376F5C" w:rsidRDefault="00376F5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приходи от профилактични прегледи</w:t>
            </w:r>
          </w:p>
        </w:tc>
        <w:tc>
          <w:tcPr>
            <w:tcW w:w="992" w:type="dxa"/>
            <w:shd w:val="clear" w:color="auto" w:fill="FFF2CC"/>
          </w:tcPr>
          <w:p w:rsidR="00376F5C" w:rsidRDefault="00376F5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2"/>
            <w:shd w:val="clear" w:color="auto" w:fill="FFF2CC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052" w:type="dxa"/>
            <w:shd w:val="clear" w:color="auto" w:fill="FFF2CC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FFF2CC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909" w:type="dxa"/>
            <w:shd w:val="clear" w:color="auto" w:fill="FFF2CC"/>
          </w:tcPr>
          <w:p w:rsidR="00376F5C" w:rsidRDefault="00F5408E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FFF2CC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48%</w:t>
            </w:r>
          </w:p>
        </w:tc>
      </w:tr>
      <w:tr w:rsidR="00376F5C" w:rsidRPr="00E00159" w:rsidTr="00F5408E">
        <w:trPr>
          <w:trHeight w:val="279"/>
        </w:trPr>
        <w:tc>
          <w:tcPr>
            <w:tcW w:w="3227" w:type="dxa"/>
            <w:gridSpan w:val="2"/>
            <w:shd w:val="clear" w:color="auto" w:fill="auto"/>
          </w:tcPr>
          <w:p w:rsidR="00376F5C" w:rsidRDefault="00376F5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приходи от населението</w:t>
            </w:r>
          </w:p>
        </w:tc>
        <w:tc>
          <w:tcPr>
            <w:tcW w:w="992" w:type="dxa"/>
            <w:shd w:val="clear" w:color="auto" w:fill="auto"/>
          </w:tcPr>
          <w:p w:rsidR="00376F5C" w:rsidRDefault="00376F5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</w:t>
            </w:r>
          </w:p>
        </w:tc>
        <w:tc>
          <w:tcPr>
            <w:tcW w:w="1052" w:type="dxa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111</w:t>
            </w:r>
          </w:p>
        </w:tc>
        <w:tc>
          <w:tcPr>
            <w:tcW w:w="909" w:type="dxa"/>
            <w:shd w:val="clear" w:color="auto" w:fill="auto"/>
          </w:tcPr>
          <w:p w:rsidR="00376F5C" w:rsidRDefault="00F5408E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105%</w:t>
            </w:r>
          </w:p>
        </w:tc>
      </w:tr>
      <w:tr w:rsidR="00376F5C" w:rsidRPr="00E00159" w:rsidTr="00F5408E">
        <w:trPr>
          <w:trHeight w:val="279"/>
        </w:trPr>
        <w:tc>
          <w:tcPr>
            <w:tcW w:w="3227" w:type="dxa"/>
            <w:gridSpan w:val="2"/>
            <w:shd w:val="clear" w:color="auto" w:fill="FFF2CC"/>
            <w:noWrap/>
            <w:vAlign w:val="bottom"/>
          </w:tcPr>
          <w:p w:rsidR="00376F5C" w:rsidRDefault="00376F5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приходи от здравни фондове</w:t>
            </w:r>
          </w:p>
        </w:tc>
        <w:tc>
          <w:tcPr>
            <w:tcW w:w="992" w:type="dxa"/>
            <w:shd w:val="clear" w:color="auto" w:fill="FFF2CC"/>
            <w:noWrap/>
            <w:vAlign w:val="bottom"/>
          </w:tcPr>
          <w:p w:rsidR="00376F5C" w:rsidRDefault="00376F5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2"/>
            <w:shd w:val="clear" w:color="auto" w:fill="FFF2CC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FFF2CC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2CC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FFF2CC"/>
          </w:tcPr>
          <w:p w:rsidR="00376F5C" w:rsidRDefault="00F5408E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FFF2CC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376F5C" w:rsidRPr="00E00159" w:rsidTr="00F5408E">
        <w:trPr>
          <w:trHeight w:val="279"/>
        </w:trPr>
        <w:tc>
          <w:tcPr>
            <w:tcW w:w="3227" w:type="dxa"/>
            <w:gridSpan w:val="2"/>
            <w:shd w:val="clear" w:color="auto" w:fill="FFF2CC"/>
            <w:noWrap/>
            <w:vAlign w:val="bottom"/>
          </w:tcPr>
          <w:p w:rsidR="00F5408E" w:rsidRDefault="00F5408E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/>
            <w:noWrap/>
            <w:vAlign w:val="bottom"/>
          </w:tcPr>
          <w:p w:rsidR="00376F5C" w:rsidRDefault="00376F5C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shd w:val="clear" w:color="auto" w:fill="FFF2CC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2CC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2CC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2CC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2CC"/>
          </w:tcPr>
          <w:p w:rsidR="00376F5C" w:rsidRDefault="00376F5C" w:rsidP="00F5408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76F5C" w:rsidRPr="00E00159" w:rsidTr="00F5408E">
        <w:trPr>
          <w:trHeight w:val="279"/>
        </w:trPr>
        <w:tc>
          <w:tcPr>
            <w:tcW w:w="3227" w:type="dxa"/>
            <w:gridSpan w:val="2"/>
            <w:shd w:val="clear" w:color="auto" w:fill="auto"/>
            <w:noWrap/>
            <w:vAlign w:val="bottom"/>
          </w:tcPr>
          <w:p w:rsidR="00376F5C" w:rsidRDefault="00376F5C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Общо приходи от продажби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6F5C" w:rsidRDefault="00376F5C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909" w:type="dxa"/>
            <w:shd w:val="clear" w:color="auto" w:fill="auto"/>
          </w:tcPr>
          <w:p w:rsidR="00376F5C" w:rsidRDefault="00F5408E" w:rsidP="00F5408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376F5C" w:rsidRDefault="00376F5C" w:rsidP="00F5408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99%</w:t>
            </w:r>
          </w:p>
        </w:tc>
      </w:tr>
    </w:tbl>
    <w:p w:rsidR="001F2D99" w:rsidRPr="00FD60CA" w:rsidRDefault="001F2D99" w:rsidP="001F2D99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p w:rsidR="001F2D99" w:rsidRPr="00FD60CA" w:rsidRDefault="001F2D99" w:rsidP="001F2D99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p w:rsidR="001F2D99" w:rsidRPr="00FD60CA" w:rsidRDefault="00500F59" w:rsidP="001F2D99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  <w:r>
        <w:rPr>
          <w:noProof/>
          <w:lang w:eastAsia="bg-BG"/>
        </w:rPr>
        <w:drawing>
          <wp:inline distT="0" distB="0" distL="0" distR="0" wp14:anchorId="6D4BA19E" wp14:editId="2C2CE119">
            <wp:extent cx="4295775" cy="2771775"/>
            <wp:effectExtent l="57150" t="0" r="47625" b="104775"/>
            <wp:docPr id="20" name="Ди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1938" w:rsidRPr="00FD60CA" w:rsidRDefault="00FE1938" w:rsidP="00986B2F">
      <w:pPr>
        <w:pStyle w:val="af2"/>
        <w:rPr>
          <w:noProof/>
          <w:lang w:eastAsia="bg-BG"/>
        </w:rPr>
      </w:pPr>
    </w:p>
    <w:p w:rsidR="00FE1938" w:rsidRDefault="00FE1938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86B2F">
      <w:pPr>
        <w:pStyle w:val="af2"/>
        <w:rPr>
          <w:noProof/>
          <w:lang w:eastAsia="bg-BG"/>
        </w:rPr>
      </w:pPr>
    </w:p>
    <w:p w:rsidR="004B1A09" w:rsidRDefault="004B1A09" w:rsidP="00965ADD">
      <w:pPr>
        <w:pStyle w:val="af2"/>
        <w:jc w:val="both"/>
        <w:rPr>
          <w:rFonts w:ascii="Calibri" w:hAnsi="Calibri" w:cs="Calibri"/>
          <w:sz w:val="22"/>
          <w:szCs w:val="22"/>
        </w:rPr>
      </w:pPr>
    </w:p>
    <w:p w:rsidR="004B1A09" w:rsidRDefault="004B1A09" w:rsidP="00965ADD">
      <w:pPr>
        <w:pStyle w:val="af2"/>
        <w:jc w:val="both"/>
        <w:rPr>
          <w:rFonts w:ascii="Calibri" w:hAnsi="Calibri" w:cs="Calibri"/>
          <w:sz w:val="22"/>
          <w:szCs w:val="22"/>
        </w:rPr>
      </w:pPr>
    </w:p>
    <w:p w:rsidR="00986B2F" w:rsidRPr="00FD60CA" w:rsidRDefault="00986B2F" w:rsidP="00965ADD">
      <w:pPr>
        <w:pStyle w:val="af2"/>
        <w:jc w:val="both"/>
        <w:rPr>
          <w:rFonts w:ascii="Calibri" w:hAnsi="Calibri" w:cs="Calibri"/>
          <w:sz w:val="22"/>
          <w:szCs w:val="22"/>
        </w:rPr>
      </w:pPr>
      <w:r w:rsidRPr="00FD60CA">
        <w:rPr>
          <w:rFonts w:ascii="Calibri" w:hAnsi="Calibri" w:cs="Calibri"/>
          <w:sz w:val="22"/>
          <w:szCs w:val="22"/>
        </w:rPr>
        <w:lastRenderedPageBreak/>
        <w:t>Основни</w:t>
      </w:r>
      <w:r w:rsidR="004235C0" w:rsidRPr="00FD60CA">
        <w:rPr>
          <w:rFonts w:ascii="Calibri" w:hAnsi="Calibri" w:cs="Calibri"/>
          <w:sz w:val="22"/>
          <w:szCs w:val="22"/>
        </w:rPr>
        <w:t>те</w:t>
      </w:r>
      <w:r w:rsidRPr="00FD60CA">
        <w:rPr>
          <w:rFonts w:ascii="Calibri" w:hAnsi="Calibri" w:cs="Calibri"/>
          <w:sz w:val="22"/>
          <w:szCs w:val="22"/>
        </w:rPr>
        <w:t xml:space="preserve"> клиенти на  “</w:t>
      </w:r>
      <w:r w:rsidR="00941C30" w:rsidRPr="00FD60CA">
        <w:rPr>
          <w:rFonts w:ascii="Calibri" w:hAnsi="Calibri" w:cs="Calibri"/>
          <w:sz w:val="22"/>
          <w:szCs w:val="22"/>
        </w:rPr>
        <w:t>ДКЦ V Варна Света Екатерина</w:t>
      </w:r>
      <w:r w:rsidR="00FE1938" w:rsidRPr="00FD60CA">
        <w:rPr>
          <w:rFonts w:ascii="Calibri" w:hAnsi="Calibri" w:cs="Calibri"/>
          <w:sz w:val="22"/>
          <w:szCs w:val="22"/>
        </w:rPr>
        <w:t>”</w:t>
      </w:r>
      <w:r w:rsidR="00941C30" w:rsidRPr="00FD60CA">
        <w:rPr>
          <w:rFonts w:ascii="Calibri" w:hAnsi="Calibri" w:cs="Calibri"/>
          <w:sz w:val="22"/>
          <w:szCs w:val="22"/>
        </w:rPr>
        <w:t>Е</w:t>
      </w:r>
      <w:r w:rsidR="00FE1938" w:rsidRPr="00FD60CA">
        <w:rPr>
          <w:rFonts w:ascii="Calibri" w:hAnsi="Calibri" w:cs="Calibri"/>
          <w:sz w:val="22"/>
          <w:szCs w:val="22"/>
        </w:rPr>
        <w:t xml:space="preserve"> ОО</w:t>
      </w:r>
      <w:r w:rsidRPr="00FD60CA">
        <w:rPr>
          <w:rFonts w:ascii="Calibri" w:hAnsi="Calibri" w:cs="Calibri"/>
          <w:sz w:val="22"/>
          <w:szCs w:val="22"/>
        </w:rPr>
        <w:t>Д</w:t>
      </w:r>
      <w:r w:rsidR="004235C0" w:rsidRPr="00FD60CA">
        <w:rPr>
          <w:rFonts w:ascii="Calibri" w:hAnsi="Calibri" w:cs="Calibri"/>
          <w:sz w:val="22"/>
          <w:szCs w:val="22"/>
        </w:rPr>
        <w:t xml:space="preserve">, </w:t>
      </w:r>
      <w:r w:rsidRPr="00FD60CA">
        <w:rPr>
          <w:rFonts w:ascii="Calibri" w:hAnsi="Calibri" w:cs="Calibri"/>
          <w:sz w:val="22"/>
          <w:szCs w:val="22"/>
        </w:rPr>
        <w:t xml:space="preserve">техния относителен дял в общите приходи от продажби </w:t>
      </w:r>
      <w:r w:rsidR="00E02547" w:rsidRPr="00E02547">
        <w:rPr>
          <w:rFonts w:ascii="Calibri" w:hAnsi="Calibri" w:cs="Calibri"/>
          <w:sz w:val="22"/>
          <w:szCs w:val="22"/>
        </w:rPr>
        <w:t>първото шестмесечие на 2017г</w:t>
      </w:r>
      <w:r w:rsidRPr="00FD60CA">
        <w:rPr>
          <w:rFonts w:ascii="Calibri" w:hAnsi="Calibri" w:cs="Calibri"/>
          <w:sz w:val="22"/>
          <w:szCs w:val="22"/>
        </w:rPr>
        <w:t>.</w:t>
      </w:r>
      <w:r w:rsidR="004235C0" w:rsidRPr="00FD60CA">
        <w:rPr>
          <w:rFonts w:ascii="Calibri" w:hAnsi="Calibri" w:cs="Calibri"/>
          <w:sz w:val="22"/>
          <w:szCs w:val="22"/>
        </w:rPr>
        <w:t xml:space="preserve"> и изменението </w:t>
      </w:r>
      <w:proofErr w:type="spellStart"/>
      <w:r w:rsidR="004235C0" w:rsidRPr="00FD60CA">
        <w:rPr>
          <w:rFonts w:ascii="Calibri" w:hAnsi="Calibri" w:cs="Calibri"/>
          <w:sz w:val="22"/>
          <w:szCs w:val="22"/>
        </w:rPr>
        <w:t>спрямо</w:t>
      </w:r>
      <w:r w:rsidR="00E02547">
        <w:rPr>
          <w:rFonts w:ascii="Calibri" w:hAnsi="Calibri" w:cs="Calibri"/>
          <w:sz w:val="22"/>
          <w:szCs w:val="22"/>
        </w:rPr>
        <w:t>същия</w:t>
      </w:r>
      <w:proofErr w:type="spellEnd"/>
      <w:r w:rsidR="00E02547">
        <w:rPr>
          <w:rFonts w:ascii="Calibri" w:hAnsi="Calibri" w:cs="Calibri"/>
          <w:sz w:val="22"/>
          <w:szCs w:val="22"/>
        </w:rPr>
        <w:t xml:space="preserve"> период на</w:t>
      </w:r>
      <w:r w:rsidR="004235C0" w:rsidRPr="00FD60CA">
        <w:rPr>
          <w:rFonts w:ascii="Calibri" w:hAnsi="Calibri" w:cs="Calibri"/>
          <w:sz w:val="22"/>
          <w:szCs w:val="22"/>
        </w:rPr>
        <w:t xml:space="preserve"> 201</w:t>
      </w:r>
      <w:r w:rsidR="00E02547">
        <w:rPr>
          <w:rFonts w:ascii="Calibri" w:hAnsi="Calibri" w:cs="Calibri"/>
          <w:sz w:val="22"/>
          <w:szCs w:val="22"/>
        </w:rPr>
        <w:t>6</w:t>
      </w:r>
      <w:r w:rsidR="004235C0" w:rsidRPr="00FD60CA">
        <w:rPr>
          <w:rFonts w:ascii="Calibri" w:hAnsi="Calibri" w:cs="Calibri"/>
          <w:sz w:val="22"/>
          <w:szCs w:val="22"/>
        </w:rPr>
        <w:t>г.</w:t>
      </w:r>
      <w:r w:rsidR="004A0CAD" w:rsidRPr="00FD60CA">
        <w:rPr>
          <w:rFonts w:ascii="Calibri" w:hAnsi="Calibri" w:cs="Calibri"/>
          <w:sz w:val="22"/>
          <w:szCs w:val="22"/>
        </w:rPr>
        <w:t xml:space="preserve"> </w:t>
      </w:r>
      <w:r w:rsidRPr="00FD60CA">
        <w:rPr>
          <w:rFonts w:ascii="Calibri" w:hAnsi="Calibri" w:cs="Calibri"/>
          <w:sz w:val="22"/>
          <w:szCs w:val="22"/>
        </w:rPr>
        <w:t>са както следва</w:t>
      </w:r>
      <w:r w:rsidR="004235C0" w:rsidRPr="00FD60CA">
        <w:rPr>
          <w:rFonts w:ascii="Calibri" w:hAnsi="Calibri" w:cs="Calibri"/>
          <w:sz w:val="22"/>
          <w:szCs w:val="22"/>
        </w:rPr>
        <w:t>:</w:t>
      </w:r>
    </w:p>
    <w:p w:rsidR="00FE1938" w:rsidRPr="00FD60CA" w:rsidRDefault="00FE1938" w:rsidP="00965ADD">
      <w:pPr>
        <w:pStyle w:val="af2"/>
        <w:jc w:val="both"/>
        <w:rPr>
          <w:rFonts w:ascii="Calibri" w:hAnsi="Calibri" w:cs="Calibri"/>
          <w:sz w:val="22"/>
          <w:szCs w:val="22"/>
        </w:rPr>
      </w:pPr>
    </w:p>
    <w:tbl>
      <w:tblPr>
        <w:tblW w:w="9661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5181"/>
        <w:gridCol w:w="1588"/>
        <w:gridCol w:w="1417"/>
        <w:gridCol w:w="1475"/>
      </w:tblGrid>
      <w:tr w:rsidR="00FE1938" w:rsidRPr="00452927" w:rsidTr="00452927">
        <w:trPr>
          <w:trHeight w:val="277"/>
        </w:trPr>
        <w:tc>
          <w:tcPr>
            <w:tcW w:w="9661" w:type="dxa"/>
            <w:gridSpan w:val="4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FE1938" w:rsidRPr="00452927" w:rsidRDefault="00FE1938" w:rsidP="00452927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Основни клиенти на "</w:t>
            </w:r>
            <w:r w:rsidR="00BC5F61" w:rsidRPr="004529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ДКЦ V Варна Света Екатерина</w:t>
            </w:r>
            <w:r w:rsidRPr="004529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.</w:t>
            </w:r>
            <w:r w:rsidR="00AC15BC" w:rsidRPr="004529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“ ЕООД</w:t>
            </w:r>
            <w:r w:rsidRPr="004529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FE1938" w:rsidRPr="00452927" w:rsidTr="00987279">
        <w:trPr>
          <w:trHeight w:val="262"/>
        </w:trPr>
        <w:tc>
          <w:tcPr>
            <w:tcW w:w="5181" w:type="dxa"/>
            <w:vMerge w:val="restart"/>
            <w:shd w:val="clear" w:color="auto" w:fill="FFF2CC"/>
            <w:noWrap/>
          </w:tcPr>
          <w:p w:rsidR="00FE1938" w:rsidRPr="00452927" w:rsidRDefault="00FE1938" w:rsidP="00452927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4480" w:type="dxa"/>
            <w:gridSpan w:val="3"/>
            <w:shd w:val="clear" w:color="auto" w:fill="FFF2CC"/>
          </w:tcPr>
          <w:p w:rsidR="00FE1938" w:rsidRPr="00452927" w:rsidRDefault="00FE1938" w:rsidP="00452927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относителен дял</w:t>
            </w:r>
          </w:p>
        </w:tc>
      </w:tr>
      <w:tr w:rsidR="00FE1938" w:rsidRPr="00452927" w:rsidTr="00987279">
        <w:trPr>
          <w:trHeight w:val="321"/>
        </w:trPr>
        <w:tc>
          <w:tcPr>
            <w:tcW w:w="5181" w:type="dxa"/>
            <w:vMerge/>
            <w:shd w:val="clear" w:color="auto" w:fill="auto"/>
          </w:tcPr>
          <w:p w:rsidR="00FE1938" w:rsidRPr="00452927" w:rsidRDefault="00FE1938" w:rsidP="00FE1938">
            <w:pP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88" w:type="dxa"/>
            <w:shd w:val="clear" w:color="auto" w:fill="auto"/>
          </w:tcPr>
          <w:p w:rsidR="00FE1938" w:rsidRPr="00452927" w:rsidRDefault="00FE1938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E1938" w:rsidRPr="00452927" w:rsidRDefault="00FE1938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6</w:t>
            </w: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75" w:type="dxa"/>
            <w:shd w:val="clear" w:color="auto" w:fill="auto"/>
          </w:tcPr>
          <w:p w:rsidR="00FE1938" w:rsidRPr="00452927" w:rsidRDefault="00FE1938" w:rsidP="00452927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Изменение %</w:t>
            </w:r>
          </w:p>
        </w:tc>
      </w:tr>
      <w:tr w:rsidR="00987279" w:rsidRPr="00452927" w:rsidTr="00987279">
        <w:trPr>
          <w:trHeight w:val="277"/>
        </w:trPr>
        <w:tc>
          <w:tcPr>
            <w:tcW w:w="5181" w:type="dxa"/>
            <w:shd w:val="clear" w:color="auto" w:fill="FFF2CC"/>
          </w:tcPr>
          <w:p w:rsidR="00987279" w:rsidRPr="00452927" w:rsidRDefault="00987279" w:rsidP="0045292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52927">
              <w:rPr>
                <w:rFonts w:cs="Calibri"/>
                <w:b/>
                <w:bCs/>
                <w:sz w:val="20"/>
                <w:szCs w:val="20"/>
              </w:rPr>
              <w:t>РЗОК Варна</w:t>
            </w:r>
          </w:p>
        </w:tc>
        <w:tc>
          <w:tcPr>
            <w:tcW w:w="1588" w:type="dxa"/>
            <w:shd w:val="clear" w:color="auto" w:fill="FFF2CC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</w:t>
            </w:r>
          </w:p>
        </w:tc>
        <w:tc>
          <w:tcPr>
            <w:tcW w:w="1417" w:type="dxa"/>
            <w:shd w:val="clear" w:color="auto" w:fill="FFF2CC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</w:t>
            </w:r>
          </w:p>
        </w:tc>
        <w:tc>
          <w:tcPr>
            <w:tcW w:w="1475" w:type="dxa"/>
            <w:shd w:val="clear" w:color="auto" w:fill="FFF2CC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987279" w:rsidRPr="00452927" w:rsidTr="00987279">
        <w:trPr>
          <w:trHeight w:val="277"/>
        </w:trPr>
        <w:tc>
          <w:tcPr>
            <w:tcW w:w="5181" w:type="dxa"/>
            <w:shd w:val="clear" w:color="auto" w:fill="auto"/>
          </w:tcPr>
          <w:p w:rsidR="00987279" w:rsidRPr="00452927" w:rsidRDefault="00987279" w:rsidP="0045292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52927">
              <w:rPr>
                <w:rFonts w:cs="Calibri"/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1588" w:type="dxa"/>
            <w:shd w:val="clear" w:color="auto" w:fill="auto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</w:t>
            </w:r>
          </w:p>
        </w:tc>
        <w:tc>
          <w:tcPr>
            <w:tcW w:w="1417" w:type="dxa"/>
            <w:shd w:val="clear" w:color="auto" w:fill="auto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111</w:t>
            </w:r>
          </w:p>
        </w:tc>
        <w:tc>
          <w:tcPr>
            <w:tcW w:w="1475" w:type="dxa"/>
            <w:shd w:val="clear" w:color="auto" w:fill="auto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105%</w:t>
            </w:r>
          </w:p>
        </w:tc>
      </w:tr>
      <w:tr w:rsidR="00987279" w:rsidRPr="00452927" w:rsidTr="00987279">
        <w:trPr>
          <w:trHeight w:val="277"/>
        </w:trPr>
        <w:tc>
          <w:tcPr>
            <w:tcW w:w="5181" w:type="dxa"/>
            <w:shd w:val="clear" w:color="auto" w:fill="FFF2CC"/>
          </w:tcPr>
          <w:p w:rsidR="00987279" w:rsidRPr="00452927" w:rsidRDefault="00987279" w:rsidP="0045292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52927">
              <w:rPr>
                <w:rFonts w:cs="Calibri"/>
                <w:b/>
                <w:bCs/>
                <w:sz w:val="20"/>
                <w:szCs w:val="20"/>
              </w:rPr>
              <w:t>Градски транспорт ЕАД</w:t>
            </w:r>
          </w:p>
        </w:tc>
        <w:tc>
          <w:tcPr>
            <w:tcW w:w="1588" w:type="dxa"/>
            <w:shd w:val="clear" w:color="auto" w:fill="FFF2CC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2CC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5" w:type="dxa"/>
            <w:shd w:val="clear" w:color="auto" w:fill="FFF2CC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65%</w:t>
            </w:r>
          </w:p>
        </w:tc>
      </w:tr>
      <w:tr w:rsidR="00987279" w:rsidRPr="00452927" w:rsidTr="00987279">
        <w:trPr>
          <w:trHeight w:val="277"/>
        </w:trPr>
        <w:tc>
          <w:tcPr>
            <w:tcW w:w="5181" w:type="dxa"/>
            <w:shd w:val="clear" w:color="auto" w:fill="auto"/>
            <w:noWrap/>
          </w:tcPr>
          <w:p w:rsidR="00987279" w:rsidRPr="00452927" w:rsidRDefault="0098727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52927">
              <w:rPr>
                <w:rFonts w:cs="Calibri"/>
                <w:b/>
                <w:bCs/>
                <w:sz w:val="20"/>
                <w:szCs w:val="20"/>
              </w:rPr>
              <w:t xml:space="preserve">Терем КРЗ </w:t>
            </w:r>
            <w:proofErr w:type="spellStart"/>
            <w:r w:rsidRPr="00452927">
              <w:rPr>
                <w:rFonts w:cs="Calibri"/>
                <w:b/>
                <w:bCs/>
                <w:sz w:val="20"/>
                <w:szCs w:val="20"/>
              </w:rPr>
              <w:t>Фл</w:t>
            </w:r>
            <w:proofErr w:type="spellEnd"/>
            <w:r w:rsidRPr="00452927">
              <w:rPr>
                <w:rFonts w:cs="Calibri"/>
                <w:b/>
                <w:bCs/>
                <w:sz w:val="20"/>
                <w:szCs w:val="20"/>
              </w:rPr>
              <w:t>.Арсенал Варна ЕООД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75" w:type="dxa"/>
            <w:shd w:val="clear" w:color="auto" w:fill="auto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776B39" w:rsidRPr="00452927" w:rsidTr="00987279">
        <w:trPr>
          <w:trHeight w:val="277"/>
        </w:trPr>
        <w:tc>
          <w:tcPr>
            <w:tcW w:w="5181" w:type="dxa"/>
            <w:shd w:val="clear" w:color="auto" w:fill="FFF2CC"/>
            <w:noWrap/>
          </w:tcPr>
          <w:p w:rsidR="00776B39" w:rsidRPr="00452927" w:rsidRDefault="00776B39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2CC"/>
            <w:noWrap/>
          </w:tcPr>
          <w:p w:rsidR="00776B39" w:rsidRPr="00452927" w:rsidRDefault="00776B39" w:rsidP="0045292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/>
            <w:noWrap/>
          </w:tcPr>
          <w:p w:rsidR="00776B39" w:rsidRPr="00452927" w:rsidRDefault="00776B39" w:rsidP="0045292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2CC"/>
          </w:tcPr>
          <w:p w:rsidR="00776B39" w:rsidRPr="00452927" w:rsidRDefault="00776B39" w:rsidP="0045292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1938" w:rsidRPr="00452927" w:rsidTr="00987279">
        <w:trPr>
          <w:trHeight w:val="277"/>
        </w:trPr>
        <w:tc>
          <w:tcPr>
            <w:tcW w:w="5181" w:type="dxa"/>
            <w:shd w:val="clear" w:color="auto" w:fill="auto"/>
          </w:tcPr>
          <w:p w:rsidR="00FE1938" w:rsidRPr="00452927" w:rsidRDefault="00FE1938" w:rsidP="00452927">
            <w:pPr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588" w:type="dxa"/>
            <w:shd w:val="clear" w:color="auto" w:fill="auto"/>
          </w:tcPr>
          <w:p w:rsidR="00FE1938" w:rsidRPr="00452927" w:rsidRDefault="00FE1938" w:rsidP="00452927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FE1938" w:rsidRPr="00452927" w:rsidRDefault="00FE1938" w:rsidP="00452927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100%</w:t>
            </w:r>
          </w:p>
        </w:tc>
        <w:tc>
          <w:tcPr>
            <w:tcW w:w="1475" w:type="dxa"/>
            <w:shd w:val="clear" w:color="auto" w:fill="auto"/>
          </w:tcPr>
          <w:p w:rsidR="00FE1938" w:rsidRPr="00452927" w:rsidRDefault="00FE1938" w:rsidP="00452927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452927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</w:tr>
    </w:tbl>
    <w:p w:rsidR="001F2D99" w:rsidRPr="00FD60CA" w:rsidRDefault="001F2D99" w:rsidP="001F2D99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p w:rsidR="00FD2716" w:rsidRPr="00FD60CA" w:rsidRDefault="00FD2716" w:rsidP="00B41CDC">
      <w:pPr>
        <w:pStyle w:val="af2"/>
        <w:jc w:val="both"/>
        <w:rPr>
          <w:rFonts w:ascii="Calibri" w:hAnsi="Calibri" w:cs="Calibri"/>
          <w:sz w:val="22"/>
          <w:szCs w:val="22"/>
        </w:rPr>
      </w:pPr>
      <w:r w:rsidRPr="00FD60CA">
        <w:rPr>
          <w:rFonts w:ascii="Calibri" w:hAnsi="Calibri" w:cs="Calibri"/>
          <w:sz w:val="22"/>
          <w:szCs w:val="22"/>
        </w:rPr>
        <w:t>Видно от таблицата основните</w:t>
      </w:r>
      <w:r w:rsidR="00941C30" w:rsidRPr="00FD60CA">
        <w:rPr>
          <w:rFonts w:ascii="Calibri" w:hAnsi="Calibri" w:cs="Calibri"/>
          <w:sz w:val="22"/>
          <w:szCs w:val="22"/>
        </w:rPr>
        <w:t xml:space="preserve"> клиенти на  „ДКЦ V Варна Света Екатерина</w:t>
      </w:r>
      <w:r w:rsidR="00AC15BC" w:rsidRPr="00FD60CA">
        <w:rPr>
          <w:rFonts w:ascii="Calibri" w:hAnsi="Calibri" w:cs="Calibri"/>
          <w:sz w:val="22"/>
          <w:szCs w:val="22"/>
        </w:rPr>
        <w:t>“ ЕООД</w:t>
      </w:r>
      <w:r w:rsidRPr="00FD60CA">
        <w:rPr>
          <w:rFonts w:ascii="Calibri" w:hAnsi="Calibri" w:cs="Calibri"/>
          <w:sz w:val="22"/>
          <w:szCs w:val="22"/>
        </w:rPr>
        <w:t xml:space="preserve">, чийто относителен дял </w:t>
      </w:r>
      <w:proofErr w:type="spellStart"/>
      <w:r w:rsidRPr="00FD60CA">
        <w:rPr>
          <w:rFonts w:ascii="Calibri" w:hAnsi="Calibri" w:cs="Calibri"/>
          <w:sz w:val="22"/>
          <w:szCs w:val="22"/>
        </w:rPr>
        <w:t>надхърля</w:t>
      </w:r>
      <w:proofErr w:type="spellEnd"/>
      <w:r w:rsidRPr="00FD60CA">
        <w:rPr>
          <w:rFonts w:ascii="Calibri" w:hAnsi="Calibri" w:cs="Calibri"/>
          <w:sz w:val="22"/>
          <w:szCs w:val="22"/>
        </w:rPr>
        <w:t xml:space="preserve"> 10% от приходите от продажби са, както следва:</w:t>
      </w:r>
    </w:p>
    <w:p w:rsidR="007B0CDF" w:rsidRPr="00FD60CA" w:rsidRDefault="007B0CDF" w:rsidP="001F2D99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tbl>
      <w:tblPr>
        <w:tblW w:w="9724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4403"/>
        <w:gridCol w:w="1357"/>
        <w:gridCol w:w="1277"/>
        <w:gridCol w:w="1298"/>
        <w:gridCol w:w="1389"/>
      </w:tblGrid>
      <w:tr w:rsidR="00FE1938" w:rsidRPr="00E00159" w:rsidTr="00E00159">
        <w:trPr>
          <w:trHeight w:val="714"/>
        </w:trPr>
        <w:tc>
          <w:tcPr>
            <w:tcW w:w="9724" w:type="dxa"/>
            <w:gridSpan w:val="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FE1938" w:rsidRPr="00E00159" w:rsidRDefault="00BC5F61" w:rsidP="00E00159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Основни клиенти на "</w:t>
            </w:r>
            <w:r w:rsidRPr="00E00159">
              <w:rPr>
                <w:b/>
                <w:bCs/>
                <w:color w:val="FFFFFF"/>
              </w:rPr>
              <w:t xml:space="preserve"> </w:t>
            </w: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ДКЦ V Варна Света Екатерина</w:t>
            </w:r>
            <w:r w:rsidR="00FE1938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.</w:t>
            </w:r>
            <w:r w:rsidR="00AC15BC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“ ЕООД</w:t>
            </w:r>
            <w:r w:rsidR="00FE1938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с относителен дял над 10% от приходите от продажби</w:t>
            </w:r>
          </w:p>
        </w:tc>
      </w:tr>
      <w:tr w:rsidR="00FE1938" w:rsidRPr="00E00159" w:rsidTr="00E00159">
        <w:trPr>
          <w:trHeight w:val="1071"/>
        </w:trPr>
        <w:tc>
          <w:tcPr>
            <w:tcW w:w="4403" w:type="dxa"/>
            <w:shd w:val="clear" w:color="auto" w:fill="FFF2CC"/>
            <w:noWrap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1357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относителен дял %</w:t>
            </w:r>
          </w:p>
        </w:tc>
        <w:tc>
          <w:tcPr>
            <w:tcW w:w="1277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ЕИК</w:t>
            </w:r>
          </w:p>
        </w:tc>
        <w:tc>
          <w:tcPr>
            <w:tcW w:w="1298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седалище и адрес на управление</w:t>
            </w:r>
          </w:p>
        </w:tc>
        <w:tc>
          <w:tcPr>
            <w:tcW w:w="1388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връзка / </w:t>
            </w:r>
            <w:proofErr w:type="spellStart"/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взаимоотно-шения</w:t>
            </w:r>
            <w:proofErr w:type="spellEnd"/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с дружеството</w:t>
            </w:r>
          </w:p>
        </w:tc>
      </w:tr>
      <w:tr w:rsidR="00A73D1C" w:rsidRPr="00E00159" w:rsidTr="00E00159">
        <w:trPr>
          <w:trHeight w:val="279"/>
        </w:trPr>
        <w:tc>
          <w:tcPr>
            <w:tcW w:w="4403" w:type="dxa"/>
            <w:shd w:val="clear" w:color="auto" w:fill="auto"/>
          </w:tcPr>
          <w:p w:rsidR="00A73D1C" w:rsidRPr="00E00159" w:rsidRDefault="00A73D1C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РЗОК Варна</w:t>
            </w:r>
          </w:p>
        </w:tc>
        <w:tc>
          <w:tcPr>
            <w:tcW w:w="1357" w:type="dxa"/>
            <w:shd w:val="clear" w:color="auto" w:fill="auto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71.45%</w:t>
            </w:r>
          </w:p>
        </w:tc>
        <w:tc>
          <w:tcPr>
            <w:tcW w:w="1277" w:type="dxa"/>
            <w:shd w:val="clear" w:color="auto" w:fill="auto"/>
          </w:tcPr>
          <w:p w:rsidR="00A73D1C" w:rsidRPr="00E00159" w:rsidRDefault="00A73D1C" w:rsidP="00E00159">
            <w:pPr>
              <w:jc w:val="both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1218582201</w:t>
            </w:r>
          </w:p>
        </w:tc>
        <w:tc>
          <w:tcPr>
            <w:tcW w:w="1298" w:type="dxa"/>
            <w:shd w:val="clear" w:color="auto" w:fill="auto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Варна</w:t>
            </w:r>
          </w:p>
        </w:tc>
        <w:tc>
          <w:tcPr>
            <w:tcW w:w="1388" w:type="dxa"/>
            <w:shd w:val="clear" w:color="auto" w:fill="auto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договор</w:t>
            </w:r>
          </w:p>
        </w:tc>
      </w:tr>
      <w:tr w:rsidR="00A73D1C" w:rsidRPr="00E00159" w:rsidTr="00E00159">
        <w:trPr>
          <w:trHeight w:val="279"/>
        </w:trPr>
        <w:tc>
          <w:tcPr>
            <w:tcW w:w="4403" w:type="dxa"/>
            <w:shd w:val="clear" w:color="auto" w:fill="FFF2CC"/>
          </w:tcPr>
          <w:p w:rsidR="00A73D1C" w:rsidRPr="00E00159" w:rsidRDefault="00A73D1C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1357" w:type="dxa"/>
            <w:shd w:val="clear" w:color="auto" w:fill="FFF2CC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18.68%</w:t>
            </w:r>
          </w:p>
        </w:tc>
        <w:tc>
          <w:tcPr>
            <w:tcW w:w="1277" w:type="dxa"/>
            <w:shd w:val="clear" w:color="auto" w:fill="FFF2CC"/>
          </w:tcPr>
          <w:p w:rsidR="00A73D1C" w:rsidRPr="00E00159" w:rsidRDefault="00A73D1C" w:rsidP="00E00159">
            <w:pPr>
              <w:jc w:val="both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auto" w:fill="FFF2CC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Варна</w:t>
            </w:r>
          </w:p>
        </w:tc>
        <w:tc>
          <w:tcPr>
            <w:tcW w:w="1388" w:type="dxa"/>
            <w:shd w:val="clear" w:color="auto" w:fill="FFF2CC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E1938" w:rsidRPr="00E00159" w:rsidTr="00E00159">
        <w:trPr>
          <w:trHeight w:val="279"/>
        </w:trPr>
        <w:tc>
          <w:tcPr>
            <w:tcW w:w="4403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277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298" w:type="dxa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88" w:type="dxa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</w:tr>
    </w:tbl>
    <w:p w:rsidR="00FE1938" w:rsidRPr="00FD60CA" w:rsidRDefault="00FE1938" w:rsidP="001F2D99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p w:rsidR="007B0CDF" w:rsidRPr="00FD60CA" w:rsidRDefault="007B0CDF" w:rsidP="004A0CAD">
      <w:pPr>
        <w:pStyle w:val="af2"/>
        <w:jc w:val="both"/>
        <w:rPr>
          <w:rFonts w:ascii="Calibri" w:hAnsi="Calibri" w:cs="Calibri"/>
          <w:sz w:val="22"/>
          <w:szCs w:val="22"/>
        </w:rPr>
      </w:pPr>
      <w:r w:rsidRPr="00FD60CA">
        <w:rPr>
          <w:rFonts w:ascii="Calibri" w:hAnsi="Calibri" w:cs="Calibri"/>
          <w:sz w:val="22"/>
          <w:szCs w:val="22"/>
        </w:rPr>
        <w:t xml:space="preserve">Основните доставчици </w:t>
      </w:r>
      <w:r w:rsidR="0015210B" w:rsidRPr="00FD60CA">
        <w:rPr>
          <w:rFonts w:ascii="Calibri" w:hAnsi="Calibri" w:cs="Calibri"/>
          <w:sz w:val="22"/>
          <w:szCs w:val="22"/>
        </w:rPr>
        <w:t xml:space="preserve">за реализиране дейността </w:t>
      </w:r>
      <w:r w:rsidRPr="00FD60CA">
        <w:rPr>
          <w:rFonts w:ascii="Calibri" w:hAnsi="Calibri" w:cs="Calibri"/>
          <w:sz w:val="22"/>
          <w:szCs w:val="22"/>
        </w:rPr>
        <w:t>на  “</w:t>
      </w:r>
      <w:r w:rsidR="00941C30" w:rsidRPr="00FD60CA">
        <w:rPr>
          <w:rFonts w:ascii="Calibri" w:hAnsi="Calibri" w:cs="Calibri"/>
          <w:sz w:val="22"/>
          <w:szCs w:val="22"/>
        </w:rPr>
        <w:t>ДКЦ V Варна Света Екатерина</w:t>
      </w:r>
      <w:r w:rsidRPr="00FD60CA">
        <w:rPr>
          <w:rFonts w:ascii="Calibri" w:hAnsi="Calibri" w:cs="Calibri"/>
          <w:sz w:val="22"/>
          <w:szCs w:val="22"/>
        </w:rPr>
        <w:t>”</w:t>
      </w:r>
      <w:r w:rsidR="00941C30" w:rsidRPr="00FD60CA">
        <w:rPr>
          <w:rFonts w:ascii="Calibri" w:hAnsi="Calibri" w:cs="Calibri"/>
          <w:sz w:val="22"/>
          <w:szCs w:val="22"/>
        </w:rPr>
        <w:t>Е</w:t>
      </w:r>
      <w:r w:rsidRPr="00FD60CA">
        <w:rPr>
          <w:rFonts w:ascii="Calibri" w:hAnsi="Calibri" w:cs="Calibri"/>
          <w:sz w:val="22"/>
          <w:szCs w:val="22"/>
        </w:rPr>
        <w:t xml:space="preserve"> </w:t>
      </w:r>
      <w:r w:rsidR="00FE1938" w:rsidRPr="00FD60CA">
        <w:rPr>
          <w:rFonts w:ascii="Calibri" w:hAnsi="Calibri" w:cs="Calibri"/>
          <w:sz w:val="22"/>
          <w:szCs w:val="22"/>
        </w:rPr>
        <w:t>ОО</w:t>
      </w:r>
      <w:r w:rsidRPr="00FD60CA">
        <w:rPr>
          <w:rFonts w:ascii="Calibri" w:hAnsi="Calibri" w:cs="Calibri"/>
          <w:sz w:val="22"/>
          <w:szCs w:val="22"/>
        </w:rPr>
        <w:t xml:space="preserve">Д, </w:t>
      </w:r>
      <w:r w:rsidR="0015210B" w:rsidRPr="00FD60CA">
        <w:rPr>
          <w:rFonts w:ascii="Calibri" w:hAnsi="Calibri" w:cs="Calibri"/>
          <w:sz w:val="22"/>
          <w:szCs w:val="22"/>
        </w:rPr>
        <w:t xml:space="preserve"> и </w:t>
      </w:r>
      <w:r w:rsidRPr="00FD60CA">
        <w:rPr>
          <w:rFonts w:ascii="Calibri" w:hAnsi="Calibri" w:cs="Calibri"/>
          <w:sz w:val="22"/>
          <w:szCs w:val="22"/>
        </w:rPr>
        <w:t xml:space="preserve">техния относителен дял в общите </w:t>
      </w:r>
      <w:r w:rsidR="00B41CDC" w:rsidRPr="00FD60CA">
        <w:rPr>
          <w:rFonts w:ascii="Calibri" w:hAnsi="Calibri" w:cs="Calibri"/>
          <w:sz w:val="22"/>
          <w:szCs w:val="22"/>
        </w:rPr>
        <w:t>разходи</w:t>
      </w:r>
      <w:r w:rsidRPr="00FD60CA">
        <w:rPr>
          <w:rFonts w:ascii="Calibri" w:hAnsi="Calibri" w:cs="Calibri"/>
          <w:sz w:val="22"/>
          <w:szCs w:val="22"/>
        </w:rPr>
        <w:t xml:space="preserve"> за</w:t>
      </w:r>
      <w:r w:rsidR="00C54468">
        <w:rPr>
          <w:rFonts w:ascii="Calibri" w:hAnsi="Calibri" w:cs="Calibri"/>
          <w:sz w:val="22"/>
          <w:szCs w:val="22"/>
        </w:rPr>
        <w:t xml:space="preserve"> 1-вото шестмесечие на</w:t>
      </w:r>
      <w:r w:rsidRPr="00FD60CA">
        <w:rPr>
          <w:rFonts w:ascii="Calibri" w:hAnsi="Calibri" w:cs="Calibri"/>
          <w:sz w:val="22"/>
          <w:szCs w:val="22"/>
        </w:rPr>
        <w:t xml:space="preserve"> 201</w:t>
      </w:r>
      <w:r w:rsidR="00C54468">
        <w:rPr>
          <w:rFonts w:ascii="Calibri" w:hAnsi="Calibri" w:cs="Calibri"/>
          <w:sz w:val="22"/>
          <w:szCs w:val="22"/>
        </w:rPr>
        <w:t>7</w:t>
      </w:r>
      <w:r w:rsidRPr="00FD60CA">
        <w:rPr>
          <w:rFonts w:ascii="Calibri" w:hAnsi="Calibri" w:cs="Calibri"/>
          <w:sz w:val="22"/>
          <w:szCs w:val="22"/>
        </w:rPr>
        <w:t xml:space="preserve">г. и изменението спрямо </w:t>
      </w:r>
      <w:r w:rsidR="00C54468">
        <w:rPr>
          <w:rFonts w:ascii="Calibri" w:hAnsi="Calibri" w:cs="Calibri"/>
          <w:sz w:val="22"/>
          <w:szCs w:val="22"/>
        </w:rPr>
        <w:t xml:space="preserve">същия период на </w:t>
      </w:r>
      <w:r w:rsidRPr="00FD60CA">
        <w:rPr>
          <w:rFonts w:ascii="Calibri" w:hAnsi="Calibri" w:cs="Calibri"/>
          <w:sz w:val="22"/>
          <w:szCs w:val="22"/>
        </w:rPr>
        <w:t>201</w:t>
      </w:r>
      <w:r w:rsidR="00C54468">
        <w:rPr>
          <w:rFonts w:ascii="Calibri" w:hAnsi="Calibri" w:cs="Calibri"/>
          <w:sz w:val="22"/>
          <w:szCs w:val="22"/>
        </w:rPr>
        <w:t>6</w:t>
      </w:r>
      <w:r w:rsidRPr="00FD60CA">
        <w:rPr>
          <w:rFonts w:ascii="Calibri" w:hAnsi="Calibri" w:cs="Calibri"/>
          <w:sz w:val="22"/>
          <w:szCs w:val="22"/>
        </w:rPr>
        <w:t>г. са както следва:</w:t>
      </w:r>
    </w:p>
    <w:p w:rsidR="007B0CDF" w:rsidRPr="00FD60CA" w:rsidRDefault="007B0CDF" w:rsidP="007B0CDF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p w:rsidR="00FE1938" w:rsidRPr="00FD60CA" w:rsidRDefault="00FE1938" w:rsidP="007B0CDF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tbl>
      <w:tblPr>
        <w:tblW w:w="9631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5165"/>
        <w:gridCol w:w="1583"/>
        <w:gridCol w:w="1413"/>
        <w:gridCol w:w="1470"/>
      </w:tblGrid>
      <w:tr w:rsidR="00FE1938" w:rsidRPr="00E00159" w:rsidTr="00E00159">
        <w:trPr>
          <w:trHeight w:val="276"/>
        </w:trPr>
        <w:tc>
          <w:tcPr>
            <w:tcW w:w="9631" w:type="dxa"/>
            <w:gridSpan w:val="4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Основни доставчици на</w:t>
            </w:r>
            <w:r w:rsidR="00AC15BC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</w:t>
            </w:r>
            <w:r w:rsidR="00BC5F61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"ДКЦ V Варна Света Екатерина."</w:t>
            </w:r>
            <w:r w:rsidR="00AC15BC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</w:t>
            </w:r>
            <w:r w:rsidR="00BC5F61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ЕООД</w:t>
            </w: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.</w:t>
            </w:r>
          </w:p>
        </w:tc>
      </w:tr>
      <w:tr w:rsidR="00FE1938" w:rsidRPr="00E00159" w:rsidTr="00E00159">
        <w:trPr>
          <w:trHeight w:val="276"/>
        </w:trPr>
        <w:tc>
          <w:tcPr>
            <w:tcW w:w="5165" w:type="dxa"/>
            <w:vMerge w:val="restart"/>
            <w:shd w:val="clear" w:color="auto" w:fill="FFF2CC"/>
            <w:noWrap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4466" w:type="dxa"/>
            <w:gridSpan w:val="3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относителен дял</w:t>
            </w:r>
          </w:p>
        </w:tc>
      </w:tr>
      <w:tr w:rsidR="00FE1938" w:rsidRPr="00E00159" w:rsidTr="00E00159">
        <w:trPr>
          <w:trHeight w:val="537"/>
        </w:trPr>
        <w:tc>
          <w:tcPr>
            <w:tcW w:w="5165" w:type="dxa"/>
            <w:vMerge/>
            <w:shd w:val="clear" w:color="auto" w:fill="auto"/>
          </w:tcPr>
          <w:p w:rsidR="00FE1938" w:rsidRPr="00E00159" w:rsidRDefault="00FE1938" w:rsidP="00FE1938">
            <w:pP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83" w:type="dxa"/>
            <w:shd w:val="clear" w:color="auto" w:fill="auto"/>
          </w:tcPr>
          <w:p w:rsidR="00FE1938" w:rsidRPr="00E00159" w:rsidRDefault="00FE1938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:rsidR="00FE1938" w:rsidRPr="00E00159" w:rsidRDefault="00FE1938" w:rsidP="00423E2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6</w:t>
            </w: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70" w:type="dxa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Изменение %</w:t>
            </w:r>
          </w:p>
        </w:tc>
      </w:tr>
      <w:tr w:rsidR="00FE1938" w:rsidRPr="00E00159" w:rsidTr="00E00159">
        <w:trPr>
          <w:trHeight w:val="276"/>
        </w:trPr>
        <w:tc>
          <w:tcPr>
            <w:tcW w:w="5165" w:type="dxa"/>
            <w:shd w:val="clear" w:color="auto" w:fill="FFF2CC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суровини</w:t>
            </w:r>
          </w:p>
        </w:tc>
        <w:tc>
          <w:tcPr>
            <w:tcW w:w="1583" w:type="dxa"/>
            <w:shd w:val="clear" w:color="auto" w:fill="FFF2CC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3" w:type="dxa"/>
            <w:shd w:val="clear" w:color="auto" w:fill="FFF2CC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0" w:type="dxa"/>
            <w:shd w:val="clear" w:color="auto" w:fill="FFF2CC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</w:tr>
      <w:tr w:rsidR="00FE1938" w:rsidRPr="00E00159" w:rsidTr="00E00159">
        <w:trPr>
          <w:trHeight w:val="276"/>
        </w:trPr>
        <w:tc>
          <w:tcPr>
            <w:tcW w:w="5165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.....................................................</w:t>
            </w:r>
          </w:p>
        </w:tc>
        <w:tc>
          <w:tcPr>
            <w:tcW w:w="1583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3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0" w:type="dxa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</w:tr>
      <w:tr w:rsidR="00FE1938" w:rsidRPr="00E00159" w:rsidTr="00E00159">
        <w:trPr>
          <w:trHeight w:val="276"/>
        </w:trPr>
        <w:tc>
          <w:tcPr>
            <w:tcW w:w="5165" w:type="dxa"/>
            <w:shd w:val="clear" w:color="auto" w:fill="FFF2CC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583" w:type="dxa"/>
            <w:shd w:val="clear" w:color="auto" w:fill="FFF2CC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3" w:type="dxa"/>
            <w:shd w:val="clear" w:color="auto" w:fill="FFF2CC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0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</w:tr>
      <w:tr w:rsidR="00987279" w:rsidRPr="00E00159" w:rsidTr="004173AE">
        <w:trPr>
          <w:trHeight w:val="276"/>
        </w:trPr>
        <w:tc>
          <w:tcPr>
            <w:tcW w:w="5165" w:type="dxa"/>
            <w:shd w:val="clear" w:color="auto" w:fill="auto"/>
            <w:noWrap/>
          </w:tcPr>
          <w:p w:rsidR="00987279" w:rsidRPr="00E00159" w:rsidRDefault="00987279">
            <w:pPr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00159">
              <w:rPr>
                <w:rFonts w:cs="Calibri"/>
                <w:b/>
                <w:bCs/>
                <w:sz w:val="20"/>
                <w:szCs w:val="20"/>
              </w:rPr>
              <w:t>Перфект</w:t>
            </w:r>
            <w:proofErr w:type="spellEnd"/>
            <w:r w:rsidRPr="00E00159">
              <w:rPr>
                <w:rFonts w:cs="Calibri"/>
                <w:b/>
                <w:bCs/>
                <w:sz w:val="20"/>
                <w:szCs w:val="20"/>
              </w:rPr>
              <w:t xml:space="preserve"> Медика ООД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987279" w:rsidRPr="00E00159" w:rsidTr="004173AE">
        <w:trPr>
          <w:trHeight w:val="276"/>
        </w:trPr>
        <w:tc>
          <w:tcPr>
            <w:tcW w:w="5165" w:type="dxa"/>
            <w:shd w:val="clear" w:color="auto" w:fill="FFF2CC"/>
            <w:noWrap/>
          </w:tcPr>
          <w:p w:rsidR="00987279" w:rsidRPr="00E00159" w:rsidRDefault="0098727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Ритъм 4-ТБ ООД</w:t>
            </w:r>
          </w:p>
        </w:tc>
        <w:tc>
          <w:tcPr>
            <w:tcW w:w="1583" w:type="dxa"/>
            <w:shd w:val="clear" w:color="auto" w:fill="FFF2CC"/>
            <w:noWrap/>
            <w:vAlign w:val="bottom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413" w:type="dxa"/>
            <w:shd w:val="clear" w:color="auto" w:fill="FFF2CC"/>
            <w:noWrap/>
            <w:vAlign w:val="bottom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470" w:type="dxa"/>
            <w:shd w:val="clear" w:color="auto" w:fill="FFF2CC"/>
          </w:tcPr>
          <w:p w:rsidR="00987279" w:rsidRDefault="00987279" w:rsidP="009872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133%</w:t>
            </w:r>
          </w:p>
        </w:tc>
      </w:tr>
      <w:tr w:rsidR="00FE1938" w:rsidRPr="00E00159" w:rsidTr="00E00159">
        <w:trPr>
          <w:trHeight w:val="276"/>
        </w:trPr>
        <w:tc>
          <w:tcPr>
            <w:tcW w:w="5165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583" w:type="dxa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100%</w:t>
            </w:r>
          </w:p>
        </w:tc>
        <w:tc>
          <w:tcPr>
            <w:tcW w:w="1413" w:type="dxa"/>
            <w:shd w:val="clear" w:color="auto" w:fill="auto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100%</w:t>
            </w:r>
          </w:p>
        </w:tc>
        <w:tc>
          <w:tcPr>
            <w:tcW w:w="1470" w:type="dxa"/>
            <w:shd w:val="clear" w:color="auto" w:fill="auto"/>
          </w:tcPr>
          <w:p w:rsidR="00FE1938" w:rsidRPr="00E00159" w:rsidRDefault="00FE1938" w:rsidP="00E00159">
            <w:pPr>
              <w:jc w:val="both"/>
              <w:rPr>
                <w:rFonts w:eastAsia="Times New Roman" w:cs="Calibri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sz w:val="20"/>
                <w:szCs w:val="20"/>
                <w:lang w:eastAsia="bg-BG"/>
              </w:rPr>
              <w:t> </w:t>
            </w:r>
          </w:p>
        </w:tc>
      </w:tr>
    </w:tbl>
    <w:p w:rsidR="00D44046" w:rsidRPr="00FD60CA" w:rsidRDefault="00D44046" w:rsidP="007B0CDF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p w:rsidR="007B0CDF" w:rsidRPr="00FD60CA" w:rsidRDefault="007B0CDF" w:rsidP="004A0CAD">
      <w:pPr>
        <w:pStyle w:val="af2"/>
        <w:jc w:val="both"/>
        <w:rPr>
          <w:rFonts w:ascii="Calibri" w:hAnsi="Calibri" w:cs="Calibri"/>
          <w:sz w:val="22"/>
          <w:szCs w:val="22"/>
        </w:rPr>
      </w:pPr>
      <w:r w:rsidRPr="00FD60CA">
        <w:rPr>
          <w:rFonts w:ascii="Calibri" w:hAnsi="Calibri" w:cs="Calibri"/>
          <w:sz w:val="22"/>
          <w:szCs w:val="22"/>
        </w:rPr>
        <w:t>Видно от таблицата основните доставчици на  “</w:t>
      </w:r>
      <w:r w:rsidR="00941C30" w:rsidRPr="00FD60CA">
        <w:rPr>
          <w:rFonts w:ascii="Calibri" w:hAnsi="Calibri" w:cs="Calibri"/>
          <w:sz w:val="22"/>
          <w:szCs w:val="22"/>
        </w:rPr>
        <w:t>ДКЦ V Варна Света Екатерина</w:t>
      </w:r>
      <w:r w:rsidR="00AC15BC" w:rsidRPr="00FD60CA">
        <w:rPr>
          <w:rFonts w:ascii="Calibri" w:hAnsi="Calibri" w:cs="Calibri"/>
          <w:sz w:val="22"/>
          <w:szCs w:val="22"/>
        </w:rPr>
        <w:t>“ ЕООД</w:t>
      </w:r>
      <w:r w:rsidRPr="00FD60CA">
        <w:rPr>
          <w:rFonts w:ascii="Calibri" w:hAnsi="Calibri" w:cs="Calibri"/>
          <w:sz w:val="22"/>
          <w:szCs w:val="22"/>
        </w:rPr>
        <w:t xml:space="preserve">, чийто относителен дял </w:t>
      </w:r>
      <w:proofErr w:type="spellStart"/>
      <w:r w:rsidRPr="00FD60CA">
        <w:rPr>
          <w:rFonts w:ascii="Calibri" w:hAnsi="Calibri" w:cs="Calibri"/>
          <w:sz w:val="22"/>
          <w:szCs w:val="22"/>
        </w:rPr>
        <w:t>надхърля</w:t>
      </w:r>
      <w:proofErr w:type="spellEnd"/>
      <w:r w:rsidRPr="00FD60CA">
        <w:rPr>
          <w:rFonts w:ascii="Calibri" w:hAnsi="Calibri" w:cs="Calibri"/>
          <w:sz w:val="22"/>
          <w:szCs w:val="22"/>
        </w:rPr>
        <w:t xml:space="preserve"> 10% от разходите за суровини</w:t>
      </w:r>
      <w:r w:rsidR="00B41CDC" w:rsidRPr="00FD60CA">
        <w:rPr>
          <w:rFonts w:ascii="Calibri" w:hAnsi="Calibri" w:cs="Calibri"/>
          <w:sz w:val="22"/>
          <w:szCs w:val="22"/>
        </w:rPr>
        <w:t xml:space="preserve"> и</w:t>
      </w:r>
      <w:r w:rsidRPr="00FD60CA">
        <w:rPr>
          <w:rFonts w:ascii="Calibri" w:hAnsi="Calibri" w:cs="Calibri"/>
          <w:sz w:val="22"/>
          <w:szCs w:val="22"/>
        </w:rPr>
        <w:t xml:space="preserve">  материали както следва:</w:t>
      </w:r>
    </w:p>
    <w:p w:rsidR="00FE1938" w:rsidRPr="00FD60CA" w:rsidRDefault="00FE1938" w:rsidP="004A0CAD">
      <w:pPr>
        <w:pStyle w:val="af2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4397"/>
        <w:gridCol w:w="1355"/>
        <w:gridCol w:w="1203"/>
        <w:gridCol w:w="1296"/>
        <w:gridCol w:w="1388"/>
      </w:tblGrid>
      <w:tr w:rsidR="00FE1938" w:rsidRPr="00E00159" w:rsidTr="00E00159">
        <w:trPr>
          <w:trHeight w:val="615"/>
        </w:trPr>
        <w:tc>
          <w:tcPr>
            <w:tcW w:w="9639" w:type="dxa"/>
            <w:gridSpan w:val="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lastRenderedPageBreak/>
              <w:t xml:space="preserve">Основни доставчици на </w:t>
            </w:r>
            <w:r w:rsidR="00BC5F61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"ДКЦ V Варна Света Екатерина."</w:t>
            </w:r>
            <w:r w:rsidR="00AC15BC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</w:t>
            </w:r>
            <w:r w:rsidR="00BC5F61"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ЕООД </w:t>
            </w:r>
            <w:r w:rsidRPr="00E001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с относителен дял над 10% от разходите за суровини/ материали </w:t>
            </w:r>
          </w:p>
        </w:tc>
      </w:tr>
      <w:tr w:rsidR="00FE1938" w:rsidRPr="00E00159" w:rsidTr="00E00159">
        <w:trPr>
          <w:trHeight w:val="1061"/>
        </w:trPr>
        <w:tc>
          <w:tcPr>
            <w:tcW w:w="4397" w:type="dxa"/>
            <w:shd w:val="clear" w:color="auto" w:fill="FFF2CC"/>
            <w:noWrap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1355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относителен дял %</w:t>
            </w:r>
          </w:p>
        </w:tc>
        <w:tc>
          <w:tcPr>
            <w:tcW w:w="1203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ЕИК</w:t>
            </w:r>
          </w:p>
        </w:tc>
        <w:tc>
          <w:tcPr>
            <w:tcW w:w="1296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седалище и адрес на управление</w:t>
            </w:r>
          </w:p>
        </w:tc>
        <w:tc>
          <w:tcPr>
            <w:tcW w:w="1388" w:type="dxa"/>
            <w:shd w:val="clear" w:color="auto" w:fill="FFF2CC"/>
          </w:tcPr>
          <w:p w:rsidR="00FE1938" w:rsidRPr="00E00159" w:rsidRDefault="00FE1938" w:rsidP="00E00159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връзка / </w:t>
            </w:r>
            <w:proofErr w:type="spellStart"/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взаимоотно-шения</w:t>
            </w:r>
            <w:proofErr w:type="spellEnd"/>
            <w:r w:rsidRPr="00E00159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с дружеството</w:t>
            </w:r>
          </w:p>
        </w:tc>
      </w:tr>
      <w:tr w:rsidR="00A73D1C" w:rsidRPr="00E00159" w:rsidTr="00E00159">
        <w:trPr>
          <w:trHeight w:val="276"/>
        </w:trPr>
        <w:tc>
          <w:tcPr>
            <w:tcW w:w="4397" w:type="dxa"/>
            <w:shd w:val="clear" w:color="auto" w:fill="auto"/>
          </w:tcPr>
          <w:p w:rsidR="00A73D1C" w:rsidRPr="00E00159" w:rsidRDefault="00A73D1C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00159">
              <w:rPr>
                <w:rFonts w:cs="Calibri"/>
                <w:b/>
                <w:bCs/>
                <w:sz w:val="20"/>
                <w:szCs w:val="20"/>
              </w:rPr>
              <w:t>Перфект</w:t>
            </w:r>
            <w:proofErr w:type="spellEnd"/>
            <w:r w:rsidRPr="00E00159">
              <w:rPr>
                <w:rFonts w:cs="Calibri"/>
                <w:b/>
                <w:bCs/>
                <w:sz w:val="20"/>
                <w:szCs w:val="20"/>
              </w:rPr>
              <w:t xml:space="preserve"> Медика ООД</w:t>
            </w:r>
          </w:p>
        </w:tc>
        <w:tc>
          <w:tcPr>
            <w:tcW w:w="1355" w:type="dxa"/>
            <w:shd w:val="clear" w:color="auto" w:fill="auto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19%</w:t>
            </w:r>
          </w:p>
        </w:tc>
        <w:tc>
          <w:tcPr>
            <w:tcW w:w="1203" w:type="dxa"/>
            <w:shd w:val="clear" w:color="auto" w:fill="auto"/>
          </w:tcPr>
          <w:p w:rsidR="00A73D1C" w:rsidRPr="00E00159" w:rsidRDefault="00A73D1C" w:rsidP="00E00159">
            <w:pPr>
              <w:jc w:val="both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833101609</w:t>
            </w:r>
          </w:p>
        </w:tc>
        <w:tc>
          <w:tcPr>
            <w:tcW w:w="1296" w:type="dxa"/>
            <w:shd w:val="clear" w:color="auto" w:fill="auto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Стара Загора</w:t>
            </w:r>
          </w:p>
        </w:tc>
        <w:tc>
          <w:tcPr>
            <w:tcW w:w="1388" w:type="dxa"/>
            <w:shd w:val="clear" w:color="auto" w:fill="auto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договор</w:t>
            </w:r>
          </w:p>
        </w:tc>
      </w:tr>
      <w:tr w:rsidR="00A73D1C" w:rsidRPr="00E00159" w:rsidTr="00E00159">
        <w:trPr>
          <w:trHeight w:val="276"/>
        </w:trPr>
        <w:tc>
          <w:tcPr>
            <w:tcW w:w="4397" w:type="dxa"/>
            <w:shd w:val="clear" w:color="auto" w:fill="FFF2CC"/>
          </w:tcPr>
          <w:p w:rsidR="00A73D1C" w:rsidRPr="00E00159" w:rsidRDefault="00A73D1C" w:rsidP="00E00159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00159">
              <w:rPr>
                <w:rFonts w:cs="Calibri"/>
                <w:b/>
                <w:bCs/>
                <w:sz w:val="20"/>
                <w:szCs w:val="20"/>
              </w:rPr>
              <w:t>Ритъм 4-ТБ ООД</w:t>
            </w:r>
          </w:p>
        </w:tc>
        <w:tc>
          <w:tcPr>
            <w:tcW w:w="1355" w:type="dxa"/>
            <w:shd w:val="clear" w:color="auto" w:fill="FFF2CC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18%</w:t>
            </w:r>
          </w:p>
        </w:tc>
        <w:tc>
          <w:tcPr>
            <w:tcW w:w="1203" w:type="dxa"/>
            <w:shd w:val="clear" w:color="auto" w:fill="FFF2CC"/>
          </w:tcPr>
          <w:p w:rsidR="00A73D1C" w:rsidRPr="00E00159" w:rsidRDefault="00A73D1C" w:rsidP="00E00159">
            <w:pPr>
              <w:jc w:val="both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123655865</w:t>
            </w:r>
          </w:p>
        </w:tc>
        <w:tc>
          <w:tcPr>
            <w:tcW w:w="1296" w:type="dxa"/>
            <w:shd w:val="clear" w:color="auto" w:fill="FFF2CC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Стара Загора</w:t>
            </w:r>
          </w:p>
        </w:tc>
        <w:tc>
          <w:tcPr>
            <w:tcW w:w="1388" w:type="dxa"/>
            <w:shd w:val="clear" w:color="auto" w:fill="FFF2CC"/>
          </w:tcPr>
          <w:p w:rsidR="00A73D1C" w:rsidRPr="00E00159" w:rsidRDefault="00A73D1C" w:rsidP="00E00159">
            <w:pPr>
              <w:jc w:val="center"/>
              <w:rPr>
                <w:rFonts w:cs="Calibri"/>
                <w:sz w:val="20"/>
                <w:szCs w:val="20"/>
              </w:rPr>
            </w:pPr>
            <w:r w:rsidRPr="00E00159">
              <w:rPr>
                <w:rFonts w:cs="Calibri"/>
                <w:sz w:val="20"/>
                <w:szCs w:val="20"/>
              </w:rPr>
              <w:t>договор</w:t>
            </w:r>
          </w:p>
        </w:tc>
      </w:tr>
    </w:tbl>
    <w:p w:rsidR="007B0CDF" w:rsidRPr="00FD60CA" w:rsidRDefault="007B0CDF" w:rsidP="001F2D99">
      <w:pPr>
        <w:pStyle w:val="af2"/>
        <w:ind w:left="180" w:right="180"/>
        <w:rPr>
          <w:rFonts w:ascii="Calibri" w:hAnsi="Calibri"/>
          <w:b/>
          <w:i/>
          <w:color w:val="339966"/>
          <w:sz w:val="24"/>
        </w:rPr>
      </w:pPr>
    </w:p>
    <w:p w:rsidR="001B0DDE" w:rsidRPr="006E085E" w:rsidRDefault="001B0DDE" w:rsidP="002228B1">
      <w:pPr>
        <w:pStyle w:val="a3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Calibri"/>
          <w:b/>
          <w:bCs/>
          <w:color w:val="E36C0A"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085E">
        <w:rPr>
          <w:rFonts w:cs="Calibri"/>
          <w:b/>
          <w:bCs/>
          <w:color w:val="E36C0A"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РИСКОВЕ, ПРЕД КОИТО Е ИЗПРАВЕНО ДРУЖЕСТВОТО</w:t>
      </w:r>
    </w:p>
    <w:p w:rsidR="001B0DDE" w:rsidRPr="00FD60CA" w:rsidRDefault="001B0DDE" w:rsidP="001B0DDE">
      <w:pPr>
        <w:pStyle w:val="af2"/>
        <w:rPr>
          <w:rFonts w:ascii="Calibri" w:hAnsi="Calibri"/>
          <w:sz w:val="22"/>
          <w:szCs w:val="22"/>
        </w:rPr>
      </w:pPr>
    </w:p>
    <w:p w:rsidR="001B0DDE" w:rsidRPr="00FD60CA" w:rsidRDefault="001B0DDE" w:rsidP="001B0DDE">
      <w:pPr>
        <w:pStyle w:val="af2"/>
        <w:jc w:val="both"/>
        <w:rPr>
          <w:rFonts w:ascii="Calibri" w:hAnsi="Calibri"/>
          <w:sz w:val="22"/>
          <w:szCs w:val="22"/>
        </w:rPr>
      </w:pPr>
      <w:r w:rsidRPr="00FD60CA">
        <w:rPr>
          <w:rFonts w:ascii="Calibri" w:hAnsi="Calibri"/>
          <w:sz w:val="22"/>
          <w:szCs w:val="22"/>
        </w:rPr>
        <w:t xml:space="preserve">При осъществяване на дейността си </w:t>
      </w:r>
      <w:r w:rsidRPr="00FD60CA">
        <w:rPr>
          <w:rFonts w:ascii="Calibri" w:hAnsi="Calibri" w:cs="Calibri"/>
          <w:sz w:val="22"/>
          <w:szCs w:val="22"/>
        </w:rPr>
        <w:t>“</w:t>
      </w:r>
      <w:r w:rsidR="004A436B" w:rsidRPr="00FD60CA">
        <w:rPr>
          <w:rFonts w:ascii="Calibri" w:hAnsi="Calibri" w:cs="Calibri"/>
          <w:sz w:val="22"/>
          <w:szCs w:val="22"/>
        </w:rPr>
        <w:t>ДКЦ V Варна</w:t>
      </w:r>
      <w:r w:rsidR="00AC15BC" w:rsidRPr="00FD60CA">
        <w:rPr>
          <w:rFonts w:ascii="Calibri" w:hAnsi="Calibri" w:cs="Calibri"/>
          <w:sz w:val="22"/>
          <w:szCs w:val="22"/>
        </w:rPr>
        <w:t xml:space="preserve"> -</w:t>
      </w:r>
      <w:r w:rsidR="004A436B" w:rsidRPr="00FD60CA">
        <w:rPr>
          <w:rFonts w:ascii="Calibri" w:hAnsi="Calibri" w:cs="Calibri"/>
          <w:sz w:val="22"/>
          <w:szCs w:val="22"/>
        </w:rPr>
        <w:t xml:space="preserve"> Света Екатерина</w:t>
      </w:r>
      <w:r w:rsidRPr="00FD60CA">
        <w:rPr>
          <w:rFonts w:ascii="Calibri" w:hAnsi="Calibri" w:cs="Calibri"/>
          <w:sz w:val="22"/>
          <w:szCs w:val="22"/>
        </w:rPr>
        <w:t>”</w:t>
      </w:r>
      <w:r w:rsidR="00AC15BC" w:rsidRPr="00FD60CA">
        <w:rPr>
          <w:rFonts w:ascii="Calibri" w:hAnsi="Calibri" w:cs="Calibri"/>
          <w:sz w:val="22"/>
          <w:szCs w:val="22"/>
        </w:rPr>
        <w:t xml:space="preserve"> </w:t>
      </w:r>
      <w:r w:rsidR="004A436B" w:rsidRPr="00FD60CA">
        <w:rPr>
          <w:rFonts w:ascii="Calibri" w:hAnsi="Calibri" w:cs="Calibri"/>
          <w:sz w:val="22"/>
          <w:szCs w:val="22"/>
        </w:rPr>
        <w:t>Е</w:t>
      </w:r>
      <w:r w:rsidR="00FE1938" w:rsidRPr="00FD60CA">
        <w:rPr>
          <w:rFonts w:ascii="Calibri" w:hAnsi="Calibri" w:cs="Calibri"/>
          <w:sz w:val="22"/>
          <w:szCs w:val="22"/>
        </w:rPr>
        <w:t xml:space="preserve">ООД </w:t>
      </w:r>
      <w:r w:rsidRPr="00FD60CA">
        <w:rPr>
          <w:rFonts w:ascii="Calibri" w:hAnsi="Calibri"/>
          <w:sz w:val="22"/>
          <w:szCs w:val="22"/>
        </w:rPr>
        <w:t>е изложено на определени рискове, които оказват въздействие върху неговите резултати.</w:t>
      </w:r>
    </w:p>
    <w:p w:rsidR="001B0DDE" w:rsidRPr="00FD60CA" w:rsidRDefault="001B0DDE" w:rsidP="001B0DDE">
      <w:pPr>
        <w:pStyle w:val="af2"/>
        <w:jc w:val="both"/>
        <w:rPr>
          <w:rFonts w:ascii="Calibri" w:hAnsi="Calibri"/>
          <w:sz w:val="22"/>
          <w:szCs w:val="22"/>
        </w:rPr>
      </w:pPr>
    </w:p>
    <w:p w:rsidR="001B0DDE" w:rsidRPr="00FD60CA" w:rsidRDefault="001B0DDE" w:rsidP="002228B1">
      <w:pPr>
        <w:pStyle w:val="af2"/>
        <w:numPr>
          <w:ilvl w:val="0"/>
          <w:numId w:val="20"/>
        </w:numPr>
        <w:jc w:val="both"/>
        <w:rPr>
          <w:rFonts w:ascii="Calibri" w:hAnsi="Calibri"/>
          <w:b/>
          <w:color w:val="E36C0A"/>
          <w:sz w:val="22"/>
          <w:szCs w:val="22"/>
          <w:u w:val="single"/>
        </w:rPr>
      </w:pPr>
      <w:r w:rsidRPr="00FD60CA">
        <w:rPr>
          <w:rFonts w:ascii="Calibri" w:hAnsi="Calibri"/>
          <w:b/>
          <w:color w:val="E36C0A"/>
          <w:sz w:val="22"/>
          <w:szCs w:val="22"/>
          <w:u w:val="single"/>
        </w:rPr>
        <w:t>Систематични рискове:</w:t>
      </w:r>
    </w:p>
    <w:p w:rsidR="001B0DDE" w:rsidRPr="00FD60CA" w:rsidRDefault="001B0DDE" w:rsidP="001B0DDE">
      <w:pPr>
        <w:tabs>
          <w:tab w:val="left" w:pos="1680"/>
        </w:tabs>
        <w:jc w:val="both"/>
        <w:rPr>
          <w:b/>
        </w:rPr>
      </w:pPr>
      <w:r w:rsidRPr="00FD60CA">
        <w:tab/>
      </w: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Политически риск:</w:t>
      </w:r>
    </w:p>
    <w:p w:rsidR="001B0DDE" w:rsidRPr="00FD60CA" w:rsidRDefault="001B0DDE" w:rsidP="001B0DDE">
      <w:pPr>
        <w:jc w:val="both"/>
        <w:rPr>
          <w:b/>
        </w:rPr>
      </w:pPr>
    </w:p>
    <w:p w:rsidR="00B41CDC" w:rsidRPr="00FD60CA" w:rsidRDefault="00B41CDC" w:rsidP="00B41CDC">
      <w:pPr>
        <w:pStyle w:val="af6"/>
        <w:ind w:left="0"/>
        <w:jc w:val="both"/>
      </w:pPr>
      <w:r w:rsidRPr="00FD60CA">
        <w:t>Политическият риск отразява влиянието на политическите процеси в страната, които от своя страна влияят върху възвръщаемостта на инвестициите. Определящ фактор за дейността на даден отрасъл и респективно дейността на фирмата е формулираната от правителството дългосрочна икономическа програма, както и волята да се осъществяват набелязаните приоритетни стъпки. Степента на политическия риск се асоциира с вероятността за промени в неблагоприятна посока на водената от правителството икономическа политика или в по-неблагоприятния случай - смяна на правителството и като следствие от това с опасността от негативни промени в инвестиционния климат.</w:t>
      </w:r>
      <w:r w:rsidR="0015210B" w:rsidRPr="00FD60CA">
        <w:t xml:space="preserve"> Политически риск е и смяна в модела на финансиране на системата на здравеопазване и  работа на ЛЗ в </w:t>
      </w:r>
      <w:proofErr w:type="spellStart"/>
      <w:r w:rsidR="0015210B" w:rsidRPr="00FD60CA">
        <w:t>рестриктивен</w:t>
      </w:r>
      <w:proofErr w:type="spellEnd"/>
      <w:r w:rsidR="0015210B" w:rsidRPr="00FD60CA">
        <w:t xml:space="preserve"> дефицитен режим.</w:t>
      </w:r>
    </w:p>
    <w:p w:rsidR="001B0DDE" w:rsidRPr="00FD60CA" w:rsidRDefault="00B41CDC" w:rsidP="00B41CDC">
      <w:pPr>
        <w:pStyle w:val="af6"/>
        <w:ind w:left="0"/>
        <w:jc w:val="both"/>
      </w:pPr>
      <w:r w:rsidRPr="00FD60CA">
        <w:t>В условията на международна нестабилност, породе</w:t>
      </w:r>
      <w:r w:rsidR="00892FF7" w:rsidRPr="00FD60CA">
        <w:t xml:space="preserve">на и от надигащия се тероризъм, и бежанската криза, </w:t>
      </w:r>
      <w:r w:rsidRPr="00FD60CA">
        <w:t>политическият риск зависи от мерките, които правителството предприема</w:t>
      </w:r>
      <w:r w:rsidRPr="00FD60CA">
        <w:rPr>
          <w:color w:val="800000"/>
        </w:rPr>
        <w:t xml:space="preserve"> </w:t>
      </w:r>
      <w:r w:rsidRPr="00FD60CA">
        <w:t>за противодействие и за ограничаване на негативните ефекти от кризата. Икономическата и фискална политика на правителството е насочена към</w:t>
      </w:r>
      <w:r w:rsidR="001B0DDE" w:rsidRPr="00FD60CA">
        <w:t>:</w:t>
      </w:r>
    </w:p>
    <w:p w:rsidR="001B0DDE" w:rsidRPr="00FD60CA" w:rsidRDefault="001B0DDE" w:rsidP="002228B1">
      <w:pPr>
        <w:pStyle w:val="af6"/>
        <w:numPr>
          <w:ilvl w:val="0"/>
          <w:numId w:val="23"/>
        </w:numPr>
        <w:spacing w:after="0"/>
        <w:jc w:val="both"/>
      </w:pPr>
      <w:r w:rsidRPr="00FD60CA">
        <w:t>постигане на трайна макроикономическа устойчивост;</w:t>
      </w:r>
    </w:p>
    <w:p w:rsidR="001B0DDE" w:rsidRPr="00FD60CA" w:rsidRDefault="001B0DDE" w:rsidP="002228B1">
      <w:pPr>
        <w:pStyle w:val="af6"/>
        <w:numPr>
          <w:ilvl w:val="0"/>
          <w:numId w:val="23"/>
        </w:numPr>
        <w:spacing w:after="0"/>
        <w:jc w:val="both"/>
      </w:pPr>
      <w:r w:rsidRPr="00FD60CA">
        <w:t>стимулиране конкурентоспособността на икономиката;</w:t>
      </w:r>
    </w:p>
    <w:p w:rsidR="001B0DDE" w:rsidRPr="00FD60CA" w:rsidRDefault="001B0DDE" w:rsidP="002228B1">
      <w:pPr>
        <w:pStyle w:val="af6"/>
        <w:numPr>
          <w:ilvl w:val="0"/>
          <w:numId w:val="23"/>
        </w:numPr>
        <w:spacing w:after="0"/>
        <w:jc w:val="both"/>
      </w:pPr>
      <w:r w:rsidRPr="00FD60CA">
        <w:t>подобряване качеството на социалните системи и стандарта на живот.</w:t>
      </w:r>
    </w:p>
    <w:p w:rsidR="001B0DDE" w:rsidRPr="00FD60CA" w:rsidRDefault="001B0DDE" w:rsidP="001B0DDE">
      <w:pPr>
        <w:pStyle w:val="af6"/>
        <w:ind w:left="0"/>
        <w:jc w:val="both"/>
      </w:pPr>
    </w:p>
    <w:p w:rsidR="001B0DDE" w:rsidRPr="00FD60CA" w:rsidRDefault="001B0DDE" w:rsidP="001B0DDE">
      <w:pPr>
        <w:pStyle w:val="af6"/>
        <w:ind w:left="0"/>
        <w:jc w:val="both"/>
      </w:pPr>
      <w:r w:rsidRPr="00FD60CA">
        <w:t xml:space="preserve">Основните политически рискове за България засягат: </w:t>
      </w:r>
    </w:p>
    <w:p w:rsidR="001B0DDE" w:rsidRPr="00FD60CA" w:rsidRDefault="001B0DDE" w:rsidP="002228B1">
      <w:pPr>
        <w:pStyle w:val="af6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 w:rsidRPr="00FD60CA">
        <w:t xml:space="preserve">Стабилността на българското правителство - от това до голяма степен зависи изпълнението на заложените големи енергийни и инфраструктурни проекти, тъй като те са пряко зависими от подкрепата на  правителствения орган. Политическата несигурност кара правителството да се </w:t>
      </w:r>
      <w:proofErr w:type="spellStart"/>
      <w:r w:rsidRPr="00FD60CA">
        <w:t>концентриа</w:t>
      </w:r>
      <w:proofErr w:type="spellEnd"/>
      <w:r w:rsidRPr="00FD60CA">
        <w:t xml:space="preserve"> върху популистки мерки с цел да се хареса на избирателите за сметка на разходи, които да </w:t>
      </w:r>
      <w:proofErr w:type="spellStart"/>
      <w:r w:rsidRPr="00FD60CA">
        <w:t>доведадат</w:t>
      </w:r>
      <w:proofErr w:type="spellEnd"/>
      <w:r w:rsidRPr="00FD60CA">
        <w:t xml:space="preserve"> до растеж в по-дългосрочен план. Бюджет, който да се хареса на всички – и на протестиращите за повече социални помощи, и на протестиращите за по-малко корумпирана</w:t>
      </w:r>
      <w:r w:rsidRPr="00FD60CA">
        <w:rPr>
          <w:rFonts w:cs="Tahoma"/>
          <w:color w:val="000000"/>
          <w:highlight w:val="yellow"/>
        </w:rPr>
        <w:t xml:space="preserve"> </w:t>
      </w:r>
      <w:r w:rsidRPr="00FD60CA">
        <w:t xml:space="preserve">държава, и на бизнеса. На пръв поглед с финансовата рамка на държавата за следващите години правителството се е опитало да постигне точно това: да увеличи социалните плащания, като </w:t>
      </w:r>
      <w:r w:rsidRPr="00FD60CA">
        <w:lastRenderedPageBreak/>
        <w:t>едновременно с това маркира някакви намерения за реформи в администрацията, образованието и здравеопазването.</w:t>
      </w:r>
    </w:p>
    <w:p w:rsidR="001B0DDE" w:rsidRPr="00FD60CA" w:rsidRDefault="001B0DDE" w:rsidP="002228B1">
      <w:pPr>
        <w:pStyle w:val="af6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 w:rsidRPr="00FD60CA">
        <w:rPr>
          <w:i/>
        </w:rPr>
        <w:t>Бавното възстановяване от икономическата криза</w:t>
      </w:r>
      <w:r w:rsidRPr="00FD60CA">
        <w:t>. В тази насока следва да се обърне внимание на: действителния растеж – дали ще отговори на правителствените прогнози; очакваното покачване на износа; възможността на правителството да взима изгодни заеми на международните пазари; полаганите усилия за умерено възстановяване на вътрешното потребление;</w:t>
      </w:r>
    </w:p>
    <w:p w:rsidR="001B0DDE" w:rsidRPr="00FD60CA" w:rsidRDefault="001B0DDE" w:rsidP="002228B1">
      <w:pPr>
        <w:pStyle w:val="af6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 w:rsidRPr="00FD60CA">
        <w:rPr>
          <w:i/>
        </w:rPr>
        <w:t>Извършените реформи и оптимизирането на процеса по усвояване на средства от ЕС</w:t>
      </w:r>
      <w:r w:rsidRPr="00FD60CA">
        <w:t>. Наблюдение на: реформите в неефективните пенсионно-осигурителни системи, здравната система и образованието; административната координация при финансирането на проекти от ЕС, подобряване процеса на отпускане, координиране и управление на средствата по европейски програми;</w:t>
      </w:r>
    </w:p>
    <w:p w:rsidR="001B0DDE" w:rsidRPr="00FD60CA" w:rsidRDefault="001B0DDE" w:rsidP="002228B1">
      <w:pPr>
        <w:pStyle w:val="af6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 w:rsidRPr="00FD60CA">
        <w:rPr>
          <w:i/>
        </w:rPr>
        <w:t xml:space="preserve">Борбата срещу корупционните практики и </w:t>
      </w:r>
      <w:proofErr w:type="spellStart"/>
      <w:r w:rsidRPr="00FD60CA">
        <w:rPr>
          <w:i/>
        </w:rPr>
        <w:t>организиранатаи</w:t>
      </w:r>
      <w:proofErr w:type="spellEnd"/>
      <w:r w:rsidRPr="00FD60CA">
        <w:rPr>
          <w:i/>
        </w:rPr>
        <w:t xml:space="preserve"> битова престъпност </w:t>
      </w:r>
      <w:r w:rsidRPr="00FD60CA">
        <w:t>-  резултатите рефлектират върху доверието на Европа и чуждестранните инвеститори;</w:t>
      </w:r>
    </w:p>
    <w:p w:rsidR="001B0DDE" w:rsidRPr="00FD60CA" w:rsidRDefault="001B0DDE" w:rsidP="002228B1">
      <w:pPr>
        <w:pStyle w:val="af6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 w:rsidRPr="00FD60CA">
        <w:rPr>
          <w:rFonts w:cs="Calibri"/>
        </w:rPr>
        <w:t>Оценката на международните рейтингови агенции за стабилността на публичните финанси на страната.</w:t>
      </w:r>
    </w:p>
    <w:p w:rsidR="001B0DDE" w:rsidRPr="00FD60CA" w:rsidRDefault="001B0DDE" w:rsidP="002228B1">
      <w:pPr>
        <w:pStyle w:val="af6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 w:rsidRPr="00FD60CA">
        <w:rPr>
          <w:rFonts w:cs="Calibri"/>
        </w:rPr>
        <w:t>Правителствата се ангажират с деклариране, че ще продължават да провежда консервативна и дисциплинирана фискална политика, поддържаща референтни нива на бюджетен дефицит и стабилност в трансфера на публични финанси.</w:t>
      </w:r>
    </w:p>
    <w:p w:rsidR="001B0DDE" w:rsidRPr="00FD60CA" w:rsidRDefault="001B0DDE" w:rsidP="001B0DDE">
      <w:pPr>
        <w:pStyle w:val="af6"/>
        <w:tabs>
          <w:tab w:val="num" w:pos="540"/>
        </w:tabs>
        <w:spacing w:after="0"/>
        <w:ind w:left="0"/>
        <w:jc w:val="both"/>
        <w:rPr>
          <w:rFonts w:cs="Calibri"/>
        </w:rPr>
      </w:pPr>
    </w:p>
    <w:p w:rsidR="001B0DDE" w:rsidRPr="00FD60CA" w:rsidRDefault="001B0DDE" w:rsidP="002228B1">
      <w:pPr>
        <w:pStyle w:val="af6"/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i/>
          <w:color w:val="76923C"/>
        </w:rPr>
      </w:pPr>
      <w:r w:rsidRPr="00FD60CA">
        <w:rPr>
          <w:i/>
        </w:rPr>
        <w:t>На база посоченото и познаването на политическата среда в страната, към момента на изготвяне на настоящия доклад, оценяваме политическия риск като</w:t>
      </w:r>
      <w:r w:rsidRPr="00FD60CA">
        <w:rPr>
          <w:b/>
          <w:i/>
          <w:color w:val="00B050"/>
        </w:rPr>
        <w:t xml:space="preserve">: </w:t>
      </w:r>
      <w:r w:rsidRPr="00FD60CA">
        <w:rPr>
          <w:b/>
          <w:i/>
          <w:color w:val="E36C0A"/>
        </w:rPr>
        <w:t>среден риск</w:t>
      </w:r>
      <w:r w:rsidRPr="00FD60CA">
        <w:rPr>
          <w:i/>
          <w:color w:val="E36C0A"/>
        </w:rPr>
        <w:t>.</w:t>
      </w:r>
    </w:p>
    <w:p w:rsidR="001B0DDE" w:rsidRPr="00FD60CA" w:rsidRDefault="001B0DDE" w:rsidP="001B0DDE">
      <w:pPr>
        <w:pStyle w:val="af6"/>
        <w:ind w:left="0"/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Макроикономически рискове:</w:t>
      </w:r>
    </w:p>
    <w:p w:rsidR="001B0DDE" w:rsidRPr="00FD60CA" w:rsidRDefault="001B0DDE" w:rsidP="001B0DDE">
      <w:pPr>
        <w:tabs>
          <w:tab w:val="left" w:pos="426"/>
        </w:tabs>
        <w:jc w:val="both"/>
        <w:rPr>
          <w:b/>
          <w:color w:val="000000"/>
        </w:rPr>
      </w:pPr>
    </w:p>
    <w:p w:rsidR="00B41CDC" w:rsidRPr="00FD60CA" w:rsidRDefault="00B41CDC" w:rsidP="00B41CDC">
      <w:pPr>
        <w:pStyle w:val="af6"/>
        <w:ind w:left="0"/>
        <w:jc w:val="both"/>
      </w:pPr>
      <w:r w:rsidRPr="00FD60CA">
        <w:t>Икономиката на България като малка държава е силно зависима от европейската и световната икономика. Подобрението на водещите индикатори за еврозоната формират очаквания за нейното бавно и постепенно възстановяване. В краткосрочен план вътрешното търсене се очаква да бъде благоприятно повлияно от забавянето на инфлационните процеси.</w:t>
      </w:r>
    </w:p>
    <w:p w:rsidR="00B41CDC" w:rsidRPr="00FD60CA" w:rsidRDefault="00B41CDC" w:rsidP="00B41CDC">
      <w:pPr>
        <w:pStyle w:val="af6"/>
        <w:ind w:left="0"/>
        <w:jc w:val="both"/>
      </w:pPr>
      <w:r w:rsidRPr="00FD60CA">
        <w:t xml:space="preserve"> </w:t>
      </w:r>
      <w:proofErr w:type="spellStart"/>
      <w:r w:rsidRPr="00FD60CA">
        <w:t>Конюктурноводещите</w:t>
      </w:r>
      <w:proofErr w:type="spellEnd"/>
      <w:r w:rsidRPr="00FD60CA">
        <w:t xml:space="preserve"> индикатори показаха известно подобрение през последните месеци, но основните пазарни движещи сили се очаква да останат силно променливи. Темповете на възстановяване на световната икономика се очаква да останат умерени. В същото време, с нарастване на структурните предизвикателства, икономическата активност в </w:t>
      </w:r>
      <w:proofErr w:type="spellStart"/>
      <w:r w:rsidRPr="00FD60CA">
        <w:t>развивашите</w:t>
      </w:r>
      <w:proofErr w:type="spellEnd"/>
      <w:r w:rsidRPr="00FD60CA">
        <w:t xml:space="preserve"> се страни показа известна загуба на инерция. </w:t>
      </w:r>
    </w:p>
    <w:p w:rsidR="00B41CDC" w:rsidRPr="00FD60CA" w:rsidRDefault="00B41CDC" w:rsidP="00B41CDC">
      <w:pPr>
        <w:pStyle w:val="af6"/>
        <w:ind w:left="0"/>
        <w:jc w:val="both"/>
      </w:pPr>
      <w:r w:rsidRPr="00FD60CA">
        <w:t>Пазарните обеми, както и маржове се очаква да продължат да бъдат под натиск, независимо      от очакваното възстановяване на икономиката.</w:t>
      </w:r>
    </w:p>
    <w:p w:rsidR="00B41CDC" w:rsidRPr="00FD60CA" w:rsidRDefault="00B41CDC" w:rsidP="00B41CDC">
      <w:pPr>
        <w:pStyle w:val="af6"/>
        <w:ind w:left="0"/>
        <w:jc w:val="both"/>
      </w:pPr>
      <w:r w:rsidRPr="00FD60CA">
        <w:t>Очакванията за бизнес климата са предпазливо оптимистични.</w:t>
      </w:r>
    </w:p>
    <w:p w:rsidR="00B41CDC" w:rsidRPr="00FD60CA" w:rsidRDefault="00B41CDC" w:rsidP="00B41CDC">
      <w:pPr>
        <w:pStyle w:val="af6"/>
        <w:ind w:left="0"/>
        <w:jc w:val="both"/>
      </w:pPr>
      <w:r w:rsidRPr="00FD60CA">
        <w:t>Най-голяма все още част от икономическия растеж се дължи на ударното усвояване на европейски средства.</w:t>
      </w:r>
    </w:p>
    <w:p w:rsidR="001B0DDE" w:rsidRPr="00FD60CA" w:rsidRDefault="00B41CDC" w:rsidP="00B41CDC">
      <w:pPr>
        <w:pStyle w:val="af6"/>
        <w:ind w:left="0"/>
        <w:jc w:val="both"/>
      </w:pPr>
      <w:r w:rsidRPr="00FD60CA">
        <w:t>Според министерство на финансите, рамката на бюджета за 2017г. "е изготвена на база консервативна прогноза за основните макроикономически показатели</w:t>
      </w:r>
      <w:r w:rsidR="001B0DDE" w:rsidRPr="00FD60CA">
        <w:t>".</w:t>
      </w:r>
    </w:p>
    <w:p w:rsidR="00B41CDC" w:rsidRPr="00FD60CA" w:rsidRDefault="00B41CDC" w:rsidP="00B41CDC">
      <w:pPr>
        <w:pStyle w:val="af6"/>
        <w:ind w:left="0"/>
        <w:jc w:val="both"/>
        <w:rPr>
          <w:rFonts w:cs="Calibri"/>
        </w:rPr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left" w:pos="284"/>
          <w:tab w:val="num" w:pos="540"/>
        </w:tabs>
        <w:spacing w:after="0"/>
        <w:ind w:left="284" w:hanging="284"/>
        <w:jc w:val="both"/>
        <w:rPr>
          <w:i/>
          <w:color w:val="76923C"/>
        </w:rPr>
      </w:pPr>
      <w:r w:rsidRPr="00FD60CA">
        <w:rPr>
          <w:i/>
        </w:rPr>
        <w:t xml:space="preserve">На база посоченото и познаването на </w:t>
      </w:r>
      <w:r w:rsidR="00B41CDC" w:rsidRPr="00FD60CA">
        <w:rPr>
          <w:i/>
        </w:rPr>
        <w:t>икономическата</w:t>
      </w:r>
      <w:r w:rsidRPr="00FD60CA">
        <w:rPr>
          <w:i/>
        </w:rPr>
        <w:t xml:space="preserve"> среда в страната, към момента на изготвяне на настоящия доклад, оценяваме </w:t>
      </w:r>
      <w:r w:rsidR="00B41CDC" w:rsidRPr="00FD60CA">
        <w:rPr>
          <w:i/>
        </w:rPr>
        <w:t>валутния</w:t>
      </w:r>
      <w:r w:rsidRPr="00FD60CA">
        <w:rPr>
          <w:i/>
        </w:rPr>
        <w:t xml:space="preserve"> риск като</w:t>
      </w:r>
      <w:r w:rsidRPr="00FD60CA">
        <w:rPr>
          <w:b/>
          <w:i/>
        </w:rPr>
        <w:t>:</w:t>
      </w:r>
      <w:r w:rsidRPr="00FD60CA">
        <w:rPr>
          <w:b/>
          <w:i/>
          <w:color w:val="339966"/>
        </w:rPr>
        <w:t xml:space="preserve"> </w:t>
      </w:r>
      <w:r w:rsidRPr="00FD60CA">
        <w:rPr>
          <w:b/>
          <w:i/>
          <w:color w:val="E36C0A"/>
        </w:rPr>
        <w:t xml:space="preserve"> без риск</w:t>
      </w:r>
      <w:r w:rsidRPr="00FD60CA">
        <w:rPr>
          <w:i/>
          <w:color w:val="E36C0A"/>
        </w:rPr>
        <w:t>.</w:t>
      </w:r>
    </w:p>
    <w:p w:rsidR="001B0DDE" w:rsidRPr="00FD60CA" w:rsidRDefault="001B0DDE" w:rsidP="001B0DDE">
      <w:pPr>
        <w:pStyle w:val="af6"/>
        <w:ind w:left="0"/>
      </w:pPr>
    </w:p>
    <w:p w:rsidR="001B0DDE" w:rsidRPr="00FD60CA" w:rsidRDefault="001B0DDE" w:rsidP="002228B1">
      <w:pPr>
        <w:pStyle w:val="af6"/>
        <w:numPr>
          <w:ilvl w:val="0"/>
          <w:numId w:val="6"/>
        </w:numPr>
        <w:tabs>
          <w:tab w:val="num" w:pos="567"/>
        </w:tabs>
        <w:spacing w:after="0"/>
        <w:ind w:left="567" w:hanging="283"/>
        <w:jc w:val="both"/>
        <w:rPr>
          <w:b/>
        </w:rPr>
      </w:pPr>
      <w:r w:rsidRPr="00FD60CA">
        <w:rPr>
          <w:b/>
        </w:rPr>
        <w:lastRenderedPageBreak/>
        <w:t>Инфлационен риск:</w:t>
      </w:r>
    </w:p>
    <w:p w:rsidR="001B0DDE" w:rsidRPr="00FD60CA" w:rsidRDefault="001B0DDE" w:rsidP="001B0DDE">
      <w:pPr>
        <w:jc w:val="both"/>
      </w:pPr>
    </w:p>
    <w:p w:rsidR="00B41CDC" w:rsidRPr="00FD60CA" w:rsidRDefault="00B41CDC" w:rsidP="00B41CDC">
      <w:pPr>
        <w:pStyle w:val="af6"/>
        <w:ind w:left="0"/>
        <w:jc w:val="both"/>
      </w:pPr>
      <w:r w:rsidRPr="00FD60CA">
        <w:t xml:space="preserve">Инфлацията в страната е важен фактор, </w:t>
      </w:r>
      <w:proofErr w:type="spellStart"/>
      <w:r w:rsidRPr="00FD60CA">
        <w:t>касаещ</w:t>
      </w:r>
      <w:proofErr w:type="spellEnd"/>
      <w:r w:rsidRPr="00FD60CA">
        <w:t xml:space="preserve"> реалната възвращаемост на инвестициите в България. Основните рискове, свързани с инфлацията се отнасят до развитието на международните цени и до темпа на икономически растеж в страната. </w:t>
      </w:r>
      <w:r w:rsidRPr="00FD60CA">
        <w:rPr>
          <w:i/>
        </w:rPr>
        <w:t xml:space="preserve">Средногодишната инфлация остана  ниска под влияние на благоприятната </w:t>
      </w:r>
      <w:proofErr w:type="spellStart"/>
      <w:r w:rsidRPr="00FD60CA">
        <w:rPr>
          <w:i/>
        </w:rPr>
        <w:t>конюктура</w:t>
      </w:r>
      <w:proofErr w:type="spellEnd"/>
      <w:r w:rsidRPr="00FD60CA">
        <w:rPr>
          <w:i/>
        </w:rPr>
        <w:t xml:space="preserve"> на международните пазари на </w:t>
      </w:r>
      <w:r w:rsidRPr="00FD60CA">
        <w:t xml:space="preserve">суровини. Цената на петрола пада поради факта, че държавите в ОПЕК и извън картела се задължават да споразумението за понижение на добива, което влиза в сила от 1 януари </w:t>
      </w:r>
      <w:r w:rsidR="00AC15BC" w:rsidRPr="00FD60CA">
        <w:t>2017г.</w:t>
      </w:r>
      <w:r w:rsidRPr="00FD60CA">
        <w:t xml:space="preserve"> Свиването на продукцията в рамките на общо 1,8 млн. барела дневно ще бъде осъществено на няколко етапа.  Това косвено се отразява и върху цените на горивата, а оттам върху разполагаемия доход на хората, които могат да купуват стоки и услуги с по-висока добавена стойност. Това положение може да е временно предвид несигурната политическа обстановка в Близкия изток, която би довела до повишаване цената на петрола.</w:t>
      </w:r>
    </w:p>
    <w:p w:rsidR="00B41CDC" w:rsidRPr="00FD60CA" w:rsidRDefault="00B41CDC" w:rsidP="00B41CDC">
      <w:pPr>
        <w:spacing w:before="100" w:beforeAutospacing="1" w:after="100" w:afterAutospacing="1"/>
        <w:jc w:val="both"/>
        <w:outlineLvl w:val="1"/>
      </w:pPr>
      <w:r w:rsidRPr="00FD60CA">
        <w:t>Слаб оптимизъм дава Българската енергийна борса, която реално заработи от началото на годината. Възможността за сключване на двустранни договори на борсата ще увеличи търгуваните количества, а се очаква това да се отрази и на цената - в посока надолу. Но съществува опасност от структурни изкривявания на енергийния пазар, а от там и промяна в логиката на икономическия живот.</w:t>
      </w:r>
    </w:p>
    <w:p w:rsidR="001B0DDE" w:rsidRPr="00FD60CA" w:rsidRDefault="001B0DDE" w:rsidP="002228B1">
      <w:pPr>
        <w:pStyle w:val="af6"/>
        <w:numPr>
          <w:ilvl w:val="0"/>
          <w:numId w:val="6"/>
        </w:numPr>
        <w:tabs>
          <w:tab w:val="num" w:pos="567"/>
        </w:tabs>
        <w:spacing w:after="0"/>
        <w:ind w:left="567" w:hanging="283"/>
        <w:jc w:val="both"/>
        <w:rPr>
          <w:b/>
        </w:rPr>
      </w:pPr>
      <w:r w:rsidRPr="00FD60CA">
        <w:rPr>
          <w:b/>
        </w:rPr>
        <w:t>Риск от лицензионни режими:</w:t>
      </w:r>
    </w:p>
    <w:p w:rsidR="001B0DDE" w:rsidRPr="00FD60CA" w:rsidRDefault="001B0DDE" w:rsidP="001B0DDE">
      <w:pPr>
        <w:pStyle w:val="af6"/>
        <w:ind w:left="0"/>
        <w:rPr>
          <w:b/>
        </w:rPr>
      </w:pPr>
    </w:p>
    <w:p w:rsidR="00B22ACD" w:rsidRPr="00FD60CA" w:rsidRDefault="001B0DDE" w:rsidP="00B22ACD">
      <w:pPr>
        <w:pStyle w:val="af2"/>
        <w:jc w:val="both"/>
        <w:rPr>
          <w:rFonts w:ascii="Calibri" w:hAnsi="Calibri"/>
          <w:sz w:val="22"/>
          <w:szCs w:val="22"/>
        </w:rPr>
      </w:pPr>
      <w:r w:rsidRPr="00FD60CA">
        <w:rPr>
          <w:rFonts w:ascii="Calibri" w:hAnsi="Calibri"/>
          <w:sz w:val="22"/>
          <w:szCs w:val="22"/>
        </w:rPr>
        <w:t xml:space="preserve">Отговорните власти провеждат политика по намаляване броя на </w:t>
      </w:r>
      <w:proofErr w:type="spellStart"/>
      <w:r w:rsidRPr="00FD60CA">
        <w:rPr>
          <w:rFonts w:ascii="Calibri" w:hAnsi="Calibri"/>
          <w:sz w:val="22"/>
          <w:szCs w:val="22"/>
        </w:rPr>
        <w:t>отежняващите</w:t>
      </w:r>
      <w:proofErr w:type="spellEnd"/>
      <w:r w:rsidRPr="00FD60CA">
        <w:rPr>
          <w:rFonts w:ascii="Calibri" w:hAnsi="Calibri"/>
          <w:sz w:val="22"/>
          <w:szCs w:val="22"/>
        </w:rPr>
        <w:t xml:space="preserve"> лицензии и разрешителни,</w:t>
      </w:r>
      <w:r w:rsidRPr="00FD60CA">
        <w:rPr>
          <w:sz w:val="22"/>
          <w:szCs w:val="22"/>
        </w:rPr>
        <w:t xml:space="preserve"> </w:t>
      </w:r>
      <w:r w:rsidRPr="00FD60CA">
        <w:rPr>
          <w:rFonts w:ascii="Calibri" w:hAnsi="Calibri"/>
          <w:sz w:val="22"/>
          <w:szCs w:val="22"/>
        </w:rPr>
        <w:t xml:space="preserve">и опростяване на тези, които останат в сила. Това ще окаже благоприятно влияние върху ограничаването на бюрокрацията и корупционните практики. Създадена е и информационна система - административен регистър на регулаторните режими (лицензионни, разрешителни, регистрационни, </w:t>
      </w:r>
      <w:proofErr w:type="spellStart"/>
      <w:r w:rsidRPr="00FD60CA">
        <w:rPr>
          <w:rFonts w:ascii="Calibri" w:hAnsi="Calibri"/>
          <w:sz w:val="22"/>
          <w:szCs w:val="22"/>
        </w:rPr>
        <w:t>съгласувателни</w:t>
      </w:r>
      <w:proofErr w:type="spellEnd"/>
      <w:r w:rsidRPr="00FD60CA">
        <w:rPr>
          <w:rFonts w:ascii="Calibri" w:hAnsi="Calibri"/>
          <w:sz w:val="22"/>
          <w:szCs w:val="22"/>
        </w:rPr>
        <w:t>).</w:t>
      </w:r>
    </w:p>
    <w:p w:rsidR="00B22ACD" w:rsidRPr="00FD60CA" w:rsidRDefault="00B22ACD" w:rsidP="00B22ACD">
      <w:pPr>
        <w:pStyle w:val="af2"/>
        <w:jc w:val="both"/>
        <w:rPr>
          <w:rFonts w:ascii="Calibri" w:hAnsi="Calibri"/>
          <w:sz w:val="22"/>
          <w:szCs w:val="22"/>
        </w:rPr>
      </w:pPr>
    </w:p>
    <w:p w:rsidR="001B0DDE" w:rsidRPr="00FD60CA" w:rsidRDefault="007B1077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i/>
          <w:color w:val="E36C0A"/>
        </w:rPr>
      </w:pPr>
      <w:r w:rsidRPr="00FD60CA">
        <w:rPr>
          <w:i/>
        </w:rPr>
        <w:t>н</w:t>
      </w:r>
      <w:r w:rsidR="001B0DDE" w:rsidRPr="00FD60CA">
        <w:rPr>
          <w:i/>
        </w:rPr>
        <w:t>а база посоченото по-горе и познаването на регулаторната среда, към момента на изготвяне на настоящия доклад, оценяваме риска от лицензионни режими като</w:t>
      </w:r>
      <w:r w:rsidR="001B0DDE" w:rsidRPr="00FD60CA">
        <w:rPr>
          <w:b/>
          <w:i/>
          <w:color w:val="E36C0A"/>
        </w:rPr>
        <w:t xml:space="preserve"> нисък риск.</w:t>
      </w:r>
    </w:p>
    <w:p w:rsidR="001B0DDE" w:rsidRPr="00FD60CA" w:rsidRDefault="001B0DDE" w:rsidP="001B0DDE">
      <w:pPr>
        <w:pStyle w:val="af6"/>
        <w:ind w:left="0"/>
        <w:rPr>
          <w:b/>
        </w:rPr>
      </w:pPr>
    </w:p>
    <w:p w:rsidR="001B0DDE" w:rsidRPr="00FD60CA" w:rsidRDefault="001B0DDE" w:rsidP="002228B1">
      <w:pPr>
        <w:pStyle w:val="af6"/>
        <w:numPr>
          <w:ilvl w:val="0"/>
          <w:numId w:val="6"/>
        </w:numPr>
        <w:tabs>
          <w:tab w:val="num" w:pos="567"/>
        </w:tabs>
        <w:spacing w:after="0"/>
        <w:ind w:left="567" w:hanging="283"/>
        <w:jc w:val="both"/>
        <w:rPr>
          <w:b/>
        </w:rPr>
      </w:pPr>
      <w:r w:rsidRPr="00FD60CA">
        <w:rPr>
          <w:b/>
        </w:rPr>
        <w:t>Други рискове, свързани с влиянието на основните макроикономически фактори:</w:t>
      </w:r>
    </w:p>
    <w:p w:rsidR="001B0DDE" w:rsidRPr="00FD60CA" w:rsidRDefault="001B0DDE" w:rsidP="00B22ACD">
      <w:pPr>
        <w:pStyle w:val="af6"/>
        <w:spacing w:after="0"/>
        <w:ind w:left="0"/>
        <w:jc w:val="both"/>
        <w:rPr>
          <w:b/>
        </w:rPr>
      </w:pPr>
    </w:p>
    <w:p w:rsidR="00B41CDC" w:rsidRPr="00FD60CA" w:rsidRDefault="00B41CDC" w:rsidP="00B41CDC">
      <w:pPr>
        <w:pStyle w:val="ab"/>
        <w:spacing w:before="0" w:beforeAutospacing="0" w:after="0" w:afterAutospacing="0"/>
        <w:rPr>
          <w:rFonts w:ascii="Calibri" w:hAnsi="Calibri"/>
          <w:color w:val="auto"/>
          <w:sz w:val="22"/>
          <w:szCs w:val="22"/>
        </w:rPr>
      </w:pPr>
      <w:r w:rsidRPr="00FD60CA">
        <w:rPr>
          <w:rFonts w:ascii="Calibri" w:hAnsi="Calibri"/>
          <w:color w:val="auto"/>
          <w:sz w:val="22"/>
          <w:szCs w:val="22"/>
        </w:rPr>
        <w:t xml:space="preserve">Рискът, асоцииран със степента на стабилност и перспективите за растеж на националната икономика, влияе съществено при формиране на нагласите и поведението на инвеститорите. </w:t>
      </w:r>
    </w:p>
    <w:p w:rsidR="00B41CDC" w:rsidRPr="00FD60CA" w:rsidRDefault="00B41CDC" w:rsidP="00B41CDC">
      <w:pPr>
        <w:pStyle w:val="ab"/>
        <w:spacing w:before="0" w:beforeAutospacing="0" w:after="0" w:afterAutospacing="0"/>
        <w:rPr>
          <w:rFonts w:ascii="Calibri" w:hAnsi="Calibri"/>
          <w:color w:val="auto"/>
          <w:sz w:val="22"/>
          <w:szCs w:val="22"/>
        </w:rPr>
      </w:pPr>
    </w:p>
    <w:p w:rsidR="00B41CDC" w:rsidRPr="00FD60CA" w:rsidRDefault="00B41CDC" w:rsidP="00B41CDC">
      <w:pPr>
        <w:pStyle w:val="af6"/>
        <w:spacing w:after="0"/>
        <w:ind w:left="0"/>
        <w:jc w:val="both"/>
      </w:pPr>
      <w:r w:rsidRPr="00FD60CA">
        <w:t xml:space="preserve">Прогнозите на експертите за 2017г. са икономиката ще продължи да расте макар и леко да забавя темпото, постигнато през последните две години. И ако през изминалата 2016г. напредъкът се е движел  основно от износ и потребление, очакванията за </w:t>
      </w:r>
      <w:r w:rsidR="00AC15BC" w:rsidRPr="00FD60CA">
        <w:t>2017г.</w:t>
      </w:r>
      <w:r w:rsidRPr="00FD60CA">
        <w:t xml:space="preserve"> са водещо да е вътрешното търсене. Аргументът - подобрени условия на пазара на труда. В допълнение лихвите по кредити и депозити ще останат ниски, като очакванията са заемите за фирмите и домакинствата да нараснат с по-високи темпове през новата година, което също ще повлияе на потреблението. То от своя страна ще доведе до умерена, но положителна инфлация през </w:t>
      </w:r>
      <w:r w:rsidR="00AC15BC" w:rsidRPr="00FD60CA">
        <w:t>2017г.</w:t>
      </w:r>
      <w:r w:rsidRPr="00FD60CA">
        <w:t xml:space="preserve"> Очакванията са тя да бъде допълнително подкрепена и от по-високите цени на петрола след срещата на ОПЕК в края на ноември миналата година. Прогнозите са за забавяне на ръста на износа, което може да има относително негативно влияние върху някои от експортните сектори в икономиката.</w:t>
      </w:r>
    </w:p>
    <w:p w:rsidR="00B41CDC" w:rsidRPr="00FD60CA" w:rsidRDefault="00B41CDC" w:rsidP="00B41CDC">
      <w:pPr>
        <w:pStyle w:val="af6"/>
        <w:spacing w:after="0"/>
        <w:ind w:left="0"/>
        <w:jc w:val="both"/>
      </w:pPr>
    </w:p>
    <w:p w:rsidR="00B41CDC" w:rsidRPr="00FD60CA" w:rsidRDefault="00B41CDC" w:rsidP="00B41CDC">
      <w:pPr>
        <w:pStyle w:val="af6"/>
        <w:ind w:left="0"/>
        <w:jc w:val="both"/>
      </w:pPr>
      <w:r w:rsidRPr="00FD60CA">
        <w:lastRenderedPageBreak/>
        <w:t xml:space="preserve">Ако има двигател на икономиката, който през последната година не се активира, това са инвестициите. Очакванията обаче са през </w:t>
      </w:r>
      <w:r w:rsidR="00AC15BC" w:rsidRPr="00FD60CA">
        <w:t>2017г.</w:t>
      </w:r>
      <w:r w:rsidRPr="00FD60CA">
        <w:t xml:space="preserve"> да има леко ускорение - заради </w:t>
      </w:r>
      <w:proofErr w:type="spellStart"/>
      <w:r w:rsidRPr="00FD60CA">
        <w:t>еврофондовете</w:t>
      </w:r>
      <w:proofErr w:type="spellEnd"/>
      <w:r w:rsidRPr="00FD60CA">
        <w:t xml:space="preserve"> и ниската цена на кредита. Според някои анализатори политическата несигурност може да отложи този процес за по-късен момент от годината. Други са по-оптимистично настроени – виждат политическите промени като шанс да се поведе дискусия за устойчиво развитие на страната - например как ръстът на икономиката да е по-бърз, по-балансиран и да се усеща от повече хора.</w:t>
      </w:r>
    </w:p>
    <w:p w:rsidR="00B41CDC" w:rsidRPr="00FD60CA" w:rsidRDefault="00B41CDC" w:rsidP="00B41CDC">
      <w:pPr>
        <w:pStyle w:val="af6"/>
        <w:ind w:left="0"/>
        <w:jc w:val="both"/>
      </w:pPr>
      <w:r w:rsidRPr="00FD60CA">
        <w:t xml:space="preserve">В същото време външните рискове за икономиката остават същите като през </w:t>
      </w:r>
      <w:r w:rsidR="00AC15BC" w:rsidRPr="00FD60CA">
        <w:t>201</w:t>
      </w:r>
      <w:r w:rsidR="00DA7313">
        <w:rPr>
          <w:lang w:val="en-US"/>
        </w:rPr>
        <w:t>7</w:t>
      </w:r>
      <w:r w:rsidR="00AC15BC" w:rsidRPr="00FD60CA">
        <w:t>г.</w:t>
      </w:r>
      <w:r w:rsidRPr="00FD60CA">
        <w:t xml:space="preserve"> - свързани с по-ниския икономически растеж в Китай, забавяне на еврозоната и продължаващо влошаване на икономиката на Турция.</w:t>
      </w:r>
    </w:p>
    <w:p w:rsidR="001B0DDE" w:rsidRPr="00FD60CA" w:rsidRDefault="00B41CDC" w:rsidP="00B41CDC">
      <w:pPr>
        <w:pStyle w:val="af6"/>
        <w:numPr>
          <w:ilvl w:val="0"/>
          <w:numId w:val="3"/>
        </w:numPr>
        <w:spacing w:after="0"/>
        <w:ind w:left="284" w:hanging="284"/>
        <w:jc w:val="both"/>
      </w:pPr>
      <w:r w:rsidRPr="00FD60CA">
        <w:t>Очакванията на повечето иконом</w:t>
      </w:r>
      <w:r w:rsidR="00AC15BC" w:rsidRPr="00FD60CA">
        <w:t>исти и организации са през 2017</w:t>
      </w:r>
      <w:r w:rsidRPr="00FD60CA">
        <w:t xml:space="preserve">г. БВП на България да расте с между 2.7% и 2.9%. Има и по-оптимистични прогнози, тъй като според анализатори икономическият цикъл на България все още е във фаза на растеж, а пикът й ще е към края на </w:t>
      </w:r>
      <w:r w:rsidR="00AC15BC" w:rsidRPr="00FD60CA">
        <w:t>2017г.</w:t>
      </w:r>
      <w:r w:rsidRPr="00FD60CA">
        <w:t xml:space="preserve"> - началото на 2018 г</w:t>
      </w:r>
      <w:r w:rsidR="001B0DDE" w:rsidRPr="00FD60CA">
        <w:t>.</w:t>
      </w:r>
    </w:p>
    <w:p w:rsidR="001B0DDE" w:rsidRPr="00FD60CA" w:rsidRDefault="001B0DDE" w:rsidP="001B0DDE">
      <w:pPr>
        <w:pStyle w:val="af6"/>
        <w:ind w:left="0"/>
        <w:rPr>
          <w:b/>
        </w:rPr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b/>
          <w:color w:val="E36C0A"/>
          <w:u w:val="single"/>
        </w:rPr>
      </w:pPr>
      <w:r w:rsidRPr="00FD60CA">
        <w:rPr>
          <w:i/>
        </w:rPr>
        <w:t>На база посоченото по-горе, към момента на изготвяне на настоящия доклад, оценяваме другите рискове, свързани с влиянието на основни макроикономически фактори като</w:t>
      </w:r>
      <w:r w:rsidRPr="00FD60CA">
        <w:rPr>
          <w:i/>
          <w:color w:val="76923C"/>
        </w:rPr>
        <w:t xml:space="preserve">: </w:t>
      </w:r>
      <w:r w:rsidRPr="00FD60CA">
        <w:rPr>
          <w:b/>
          <w:i/>
          <w:color w:val="E36C0A"/>
        </w:rPr>
        <w:t xml:space="preserve"> ниски </w:t>
      </w:r>
    </w:p>
    <w:p w:rsidR="001B0DDE" w:rsidRPr="00FD60CA" w:rsidRDefault="001B0DDE" w:rsidP="001B0DDE">
      <w:pPr>
        <w:pStyle w:val="af6"/>
        <w:ind w:left="0"/>
        <w:rPr>
          <w:b/>
          <w:color w:val="E36C0A"/>
          <w:u w:val="single"/>
        </w:rPr>
      </w:pPr>
    </w:p>
    <w:p w:rsidR="001B0DDE" w:rsidRPr="00FD60CA" w:rsidRDefault="001B0DDE" w:rsidP="002228B1">
      <w:pPr>
        <w:pStyle w:val="af2"/>
        <w:numPr>
          <w:ilvl w:val="0"/>
          <w:numId w:val="20"/>
        </w:numPr>
        <w:jc w:val="both"/>
        <w:rPr>
          <w:rFonts w:ascii="Calibri" w:hAnsi="Calibri"/>
          <w:b/>
          <w:color w:val="E36C0A"/>
          <w:sz w:val="22"/>
          <w:szCs w:val="22"/>
          <w:u w:val="single"/>
        </w:rPr>
      </w:pPr>
      <w:r w:rsidRPr="00FD60CA">
        <w:rPr>
          <w:rFonts w:ascii="Calibri" w:hAnsi="Calibri"/>
          <w:b/>
          <w:color w:val="E36C0A"/>
          <w:sz w:val="22"/>
          <w:szCs w:val="22"/>
          <w:u w:val="single"/>
        </w:rPr>
        <w:t>Несистематични (микроикономически) рискове:</w:t>
      </w:r>
    </w:p>
    <w:p w:rsidR="007F1EC6" w:rsidRPr="00FD60CA" w:rsidRDefault="007F1EC6" w:rsidP="007F1EC6">
      <w:pPr>
        <w:pStyle w:val="af2"/>
        <w:jc w:val="both"/>
        <w:rPr>
          <w:rFonts w:ascii="Calibri" w:hAnsi="Calibri"/>
          <w:b/>
          <w:color w:val="76923C"/>
          <w:sz w:val="22"/>
          <w:szCs w:val="22"/>
          <w:u w:val="single"/>
        </w:rPr>
      </w:pPr>
    </w:p>
    <w:p w:rsidR="001B0DDE" w:rsidRPr="00FD60CA" w:rsidRDefault="001B0DDE" w:rsidP="007F1EC6">
      <w:pPr>
        <w:pStyle w:val="af6"/>
        <w:ind w:left="0"/>
        <w:jc w:val="both"/>
      </w:pPr>
      <w:r w:rsidRPr="00FD60CA">
        <w:t xml:space="preserve">Традиционно несистематичните рискове се разглеждат на две нива – отраслов риск, </w:t>
      </w:r>
      <w:proofErr w:type="spellStart"/>
      <w:r w:rsidRPr="00FD60CA">
        <w:t>касаещ</w:t>
      </w:r>
      <w:proofErr w:type="spellEnd"/>
      <w:r w:rsidRPr="00FD60CA">
        <w:t xml:space="preserve"> </w:t>
      </w:r>
      <w:proofErr w:type="spellStart"/>
      <w:r w:rsidRPr="00FD60CA">
        <w:t>несигурностите</w:t>
      </w:r>
      <w:proofErr w:type="spellEnd"/>
      <w:r w:rsidRPr="00FD60CA">
        <w:t xml:space="preserve"> в развитието на отрасъла ни и общ фирмен риск, произтичащ от спецификите на дружеството ни.</w:t>
      </w:r>
    </w:p>
    <w:p w:rsidR="001B0DDE" w:rsidRPr="00FD60CA" w:rsidRDefault="001B0DDE" w:rsidP="007F1EC6">
      <w:pPr>
        <w:pStyle w:val="2"/>
        <w:ind w:right="0"/>
        <w:rPr>
          <w:rFonts w:ascii="Calibri" w:hAnsi="Calibri"/>
          <w:b w:val="0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Отраслов (секторен) риск:</w:t>
      </w:r>
    </w:p>
    <w:p w:rsidR="007F1EC6" w:rsidRPr="00FD60CA" w:rsidRDefault="007F1EC6" w:rsidP="007F1EC6">
      <w:pPr>
        <w:pStyle w:val="af6"/>
        <w:spacing w:after="0"/>
        <w:ind w:left="0"/>
        <w:jc w:val="both"/>
      </w:pPr>
    </w:p>
    <w:p w:rsidR="001B0DDE" w:rsidRPr="00FD60CA" w:rsidRDefault="001B0DDE" w:rsidP="007F1EC6">
      <w:pPr>
        <w:pStyle w:val="af6"/>
        <w:spacing w:after="0"/>
        <w:ind w:left="0"/>
        <w:jc w:val="both"/>
      </w:pPr>
      <w:r w:rsidRPr="00FD60CA">
        <w:t xml:space="preserve">Появява се във вероятността от негативни тенденции в развитието на отрасъла като цяло, технологичната обезпеченост, нормативната база, конкурентната среда и характеристиките на пазарната среда за продуктите и суровините, употребявани в отрасъла. Рискът се свързва преди всичко с отражението върху възможността за реализиране на доходи в рамките на отрасъла и по-конкретно на технологичните промени или измененията в специфичната нормативна база. </w:t>
      </w:r>
    </w:p>
    <w:p w:rsidR="007F1EC6" w:rsidRPr="00FD60CA" w:rsidRDefault="007F1EC6" w:rsidP="007F1EC6">
      <w:pPr>
        <w:pStyle w:val="af6"/>
        <w:spacing w:after="0"/>
        <w:ind w:left="0"/>
        <w:jc w:val="both"/>
      </w:pPr>
    </w:p>
    <w:p w:rsidR="001B0DDE" w:rsidRPr="00FD60CA" w:rsidRDefault="001B0DDE" w:rsidP="007F1EC6">
      <w:pPr>
        <w:pStyle w:val="af6"/>
        <w:ind w:left="0"/>
        <w:jc w:val="both"/>
      </w:pPr>
      <w:r w:rsidRPr="00FD60CA">
        <w:t xml:space="preserve">Отраслите с голям потенциал в България, които следва да се стимулират от правителството са: туризъм, селско стопанство, IT сектор, иновации и </w:t>
      </w:r>
      <w:proofErr w:type="spellStart"/>
      <w:r w:rsidRPr="00FD60CA">
        <w:t>аутсорсинг</w:t>
      </w:r>
      <w:proofErr w:type="spellEnd"/>
      <w:r w:rsidRPr="00FD60CA">
        <w:t xml:space="preserve"> на услуги.</w:t>
      </w: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i/>
          <w:color w:val="E36C0A"/>
        </w:rPr>
      </w:pPr>
      <w:r w:rsidRPr="00FD60CA">
        <w:rPr>
          <w:i/>
        </w:rPr>
        <w:t xml:space="preserve">На база посоченото по-горе и спецификата на отрасъла ни, към момента на изготвяне на настоящия доклад, оценяваме отрасловия риск като: </w:t>
      </w:r>
      <w:r w:rsidRPr="00FD60CA">
        <w:rPr>
          <w:b/>
          <w:i/>
          <w:color w:val="E36C0A"/>
        </w:rPr>
        <w:t>без риск.</w:t>
      </w:r>
    </w:p>
    <w:p w:rsidR="00757417" w:rsidRPr="00FD60CA" w:rsidRDefault="00757417" w:rsidP="00757417">
      <w:pPr>
        <w:pStyle w:val="af6"/>
        <w:spacing w:after="0"/>
        <w:jc w:val="both"/>
        <w:rPr>
          <w:i/>
          <w:color w:val="E36C0A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Технологичен риск:</w:t>
      </w:r>
    </w:p>
    <w:p w:rsidR="001B0DDE" w:rsidRPr="00FD60CA" w:rsidRDefault="001B0DDE" w:rsidP="007F1EC6">
      <w:pPr>
        <w:jc w:val="both"/>
        <w:rPr>
          <w:b/>
          <w:i/>
          <w:color w:val="000000"/>
        </w:rPr>
      </w:pP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  <w:r w:rsidRPr="00FD60CA">
        <w:rPr>
          <w:rFonts w:ascii="Calibri" w:hAnsi="Calibri"/>
          <w:color w:val="000000"/>
          <w:kern w:val="2"/>
          <w:sz w:val="22"/>
          <w:szCs w:val="22"/>
        </w:rPr>
        <w:t>Технологичният риск е производен от необходимите нови технологии за обслужване дейността на дружеството и от скоростта, с която се развиват те. Налице е обратна зависимост на този риск спрямо  технологичното фирмено обезпечение.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i/>
          <w:color w:val="E36C0A"/>
        </w:rPr>
      </w:pPr>
      <w:r w:rsidRPr="00FD60CA">
        <w:rPr>
          <w:i/>
        </w:rPr>
        <w:t xml:space="preserve">На база използваните от дружеството ни технологии и познаването на технологичните тенденции на развитие на бранша, към момента на изготвяне на настоящия доклад оценяваме технологичния риск като: </w:t>
      </w:r>
      <w:r w:rsidRPr="00FD60CA">
        <w:rPr>
          <w:b/>
          <w:i/>
          <w:color w:val="E36C0A"/>
        </w:rPr>
        <w:t xml:space="preserve">нисък 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lastRenderedPageBreak/>
        <w:t>Фирмен риск:</w:t>
      </w:r>
    </w:p>
    <w:p w:rsidR="001B0DDE" w:rsidRPr="00FD60CA" w:rsidRDefault="001B0DDE" w:rsidP="007F1EC6">
      <w:pPr>
        <w:jc w:val="both"/>
        <w:rPr>
          <w:b/>
          <w:i/>
          <w:color w:val="000000"/>
        </w:rPr>
      </w:pPr>
    </w:p>
    <w:p w:rsidR="001B0DDE" w:rsidRPr="00FD60CA" w:rsidRDefault="001B0DDE" w:rsidP="007F1EC6">
      <w:pPr>
        <w:pStyle w:val="af6"/>
        <w:ind w:left="0"/>
        <w:jc w:val="both"/>
        <w:rPr>
          <w:color w:val="000000"/>
          <w:kern w:val="2"/>
        </w:rPr>
      </w:pPr>
      <w:r w:rsidRPr="00FD60CA">
        <w:rPr>
          <w:color w:val="000000"/>
          <w:kern w:val="2"/>
        </w:rPr>
        <w:t xml:space="preserve">Свързан е с характера на основната дейност на дружеството, с технологията и </w:t>
      </w:r>
      <w:r w:rsidRPr="00FD60CA">
        <w:t>организацията</w:t>
      </w:r>
      <w:r w:rsidRPr="00FD60CA">
        <w:rPr>
          <w:color w:val="000000"/>
          <w:kern w:val="2"/>
        </w:rPr>
        <w:t xml:space="preserve"> на цялостната му активност, както и с обезпечеността на дружеството с финансови ресурси. </w:t>
      </w:r>
      <w:proofErr w:type="spellStart"/>
      <w:r w:rsidRPr="00FD60CA">
        <w:rPr>
          <w:color w:val="000000"/>
          <w:kern w:val="2"/>
        </w:rPr>
        <w:t>Подкатегории</w:t>
      </w:r>
      <w:proofErr w:type="spellEnd"/>
      <w:r w:rsidRPr="00FD60CA">
        <w:rPr>
          <w:color w:val="000000"/>
          <w:kern w:val="2"/>
        </w:rPr>
        <w:t xml:space="preserve"> на фирмения риск са: бизнес риск и финансов риск. Основният фирмен риск е свързан със способността на дружеството да генерира приходи, а оттам и положителен финансов резултат. </w:t>
      </w:r>
    </w:p>
    <w:p w:rsidR="001B0DDE" w:rsidRPr="00FD60CA" w:rsidRDefault="001B0DDE" w:rsidP="007F1EC6">
      <w:pPr>
        <w:pStyle w:val="af6"/>
        <w:ind w:left="0"/>
        <w:jc w:val="both"/>
        <w:rPr>
          <w:color w:val="000000"/>
          <w:kern w:val="2"/>
        </w:rPr>
      </w:pPr>
      <w:r w:rsidRPr="00FD60CA">
        <w:rPr>
          <w:color w:val="000000"/>
          <w:kern w:val="2"/>
        </w:rPr>
        <w:t>Управлението на фирмения риск за дружеството ни засяга анализа на услугите, които се предлагат от „</w:t>
      </w:r>
      <w:r w:rsidR="00F25D14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Pr="00FD60CA">
        <w:rPr>
          <w:color w:val="000000"/>
          <w:kern w:val="2"/>
        </w:rPr>
        <w:t>, обезпечеността с човешки ресурси, управленските решения на оперативно и стратегическо ниво, контрола върху прилагането на приетите планове и стратегии за развитие.</w:t>
      </w: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b/>
          <w:i/>
          <w:color w:val="E36C0A"/>
        </w:rPr>
      </w:pPr>
      <w:r w:rsidRPr="00FD60CA">
        <w:rPr>
          <w:i/>
        </w:rPr>
        <w:t xml:space="preserve">На база посоченото по-горе и спецификата на дейността ни, към момента на изготвяне на настоящия доклад оценяваме фирмения риск като: </w:t>
      </w:r>
      <w:r w:rsidRPr="00FD60CA">
        <w:rPr>
          <w:b/>
          <w:i/>
          <w:color w:val="E36C0A"/>
        </w:rPr>
        <w:t xml:space="preserve">нисък </w:t>
      </w:r>
    </w:p>
    <w:p w:rsidR="001B0DDE" w:rsidRPr="00FD60CA" w:rsidRDefault="001B0DDE" w:rsidP="007F1EC6">
      <w:pPr>
        <w:jc w:val="both"/>
        <w:rPr>
          <w:b/>
          <w:i/>
          <w:color w:val="000000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Финансов риск:</w:t>
      </w:r>
    </w:p>
    <w:p w:rsidR="001B0DDE" w:rsidRPr="00FD60CA" w:rsidRDefault="001B0DDE" w:rsidP="007F1EC6">
      <w:pPr>
        <w:jc w:val="both"/>
        <w:rPr>
          <w:b/>
        </w:rPr>
      </w:pPr>
    </w:p>
    <w:p w:rsidR="00B41CDC" w:rsidRPr="00FD60CA" w:rsidRDefault="00B41CDC" w:rsidP="00B41CDC">
      <w:pPr>
        <w:pStyle w:val="af6"/>
        <w:ind w:left="0"/>
        <w:jc w:val="both"/>
        <w:rPr>
          <w:bCs/>
        </w:rPr>
      </w:pPr>
      <w:r w:rsidRPr="00FD60CA">
        <w:rPr>
          <w:bCs/>
        </w:rPr>
        <w:t>Финансовият риск на дружеството е свързан с възможността от влошаване на събираемостта на вземанията и изплащането на задълженията към банковите и др. институции, което би могло да доведе до затруднено финансово състояние.</w:t>
      </w:r>
    </w:p>
    <w:p w:rsidR="00B41CDC" w:rsidRPr="00FD60CA" w:rsidRDefault="00B41CDC" w:rsidP="00B41CDC">
      <w:pPr>
        <w:pStyle w:val="af6"/>
        <w:ind w:left="0"/>
        <w:jc w:val="both"/>
        <w:rPr>
          <w:color w:val="000000"/>
          <w:kern w:val="2"/>
        </w:rPr>
      </w:pPr>
      <w:r w:rsidRPr="00FD60CA">
        <w:rPr>
          <w:bCs/>
        </w:rPr>
        <w:t xml:space="preserve">Като основен </w:t>
      </w:r>
      <w:r w:rsidRPr="00FD60CA">
        <w:rPr>
          <w:color w:val="000000"/>
          <w:kern w:val="2"/>
        </w:rPr>
        <w:t xml:space="preserve">проблем в макроикономически аспект са високите стойности на </w:t>
      </w:r>
      <w:proofErr w:type="spellStart"/>
      <w:r w:rsidRPr="00FD60CA">
        <w:rPr>
          <w:color w:val="000000"/>
          <w:kern w:val="2"/>
        </w:rPr>
        <w:t>междуфирмена</w:t>
      </w:r>
      <w:proofErr w:type="spellEnd"/>
      <w:r w:rsidRPr="00FD60CA">
        <w:rPr>
          <w:color w:val="000000"/>
          <w:kern w:val="2"/>
        </w:rPr>
        <w:t xml:space="preserve"> задлъжнялост. Негативен ефект върху предприятията и задлъжнялостта имат ниският ръст на БВП, неблагоприятният бизнес климат, свиването на инвестициите, нарастването на случаите с фактическа неплатежоспособност, фалитите и бавните процедури по несъстоятелност. Броят на необслужените кредити остава висок. Положително влияние върху задлъжнялостта може да се очаква от засилването на износа, ниските петролни цени, получаването на средства от ЕС и евентуалното ускоряване на икономическия ръст у нас благодарение на постепенното икономическо подобрение в страните на ЕС. Но основно решение на проблема засега е ускореното усвояване на </w:t>
      </w:r>
      <w:proofErr w:type="spellStart"/>
      <w:r w:rsidRPr="00FD60CA">
        <w:rPr>
          <w:color w:val="000000"/>
          <w:kern w:val="2"/>
        </w:rPr>
        <w:t>еврофондове</w:t>
      </w:r>
      <w:proofErr w:type="spellEnd"/>
      <w:r w:rsidRPr="00FD60CA">
        <w:rPr>
          <w:color w:val="000000"/>
          <w:kern w:val="2"/>
        </w:rPr>
        <w:t xml:space="preserve"> и по-достъпното, </w:t>
      </w:r>
      <w:proofErr w:type="spellStart"/>
      <w:r w:rsidRPr="00FD60CA">
        <w:rPr>
          <w:color w:val="000000"/>
          <w:kern w:val="2"/>
        </w:rPr>
        <w:t>нисколихвено</w:t>
      </w:r>
      <w:proofErr w:type="spellEnd"/>
      <w:r w:rsidRPr="00FD60CA">
        <w:rPr>
          <w:color w:val="000000"/>
          <w:kern w:val="2"/>
        </w:rPr>
        <w:t xml:space="preserve">, банково финансиране за бизнеса, както и директивното налагане на срокове за разплащане. </w:t>
      </w:r>
    </w:p>
    <w:p w:rsidR="001B0DDE" w:rsidRPr="00FD60CA" w:rsidRDefault="00B41CDC" w:rsidP="00B41CDC">
      <w:pPr>
        <w:pStyle w:val="af6"/>
        <w:ind w:left="0"/>
        <w:jc w:val="both"/>
      </w:pPr>
      <w:r w:rsidRPr="00FD60CA">
        <w:rPr>
          <w:bCs/>
        </w:rPr>
        <w:t>Управлението на финансовия риск за дружеството ни е фокусирано върху оптимизиране на оперативните разходи /повишаване събираемостта на вземанията/ определяне на адекватни и конкурентоспособни цени на продуктите и услугите, адекватна оценка на формите на поддържане на свободни ликвидни средства</w:t>
      </w:r>
      <w:r w:rsidR="001B0DDE" w:rsidRPr="00FD60CA">
        <w:rPr>
          <w:bCs/>
        </w:rPr>
        <w:t>.</w:t>
      </w: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i/>
          <w:color w:val="E36C0A"/>
        </w:rPr>
      </w:pPr>
      <w:r w:rsidRPr="00FD60CA">
        <w:rPr>
          <w:i/>
        </w:rPr>
        <w:t xml:space="preserve">На база посоченото по-горе и анализа на финансовото ни състояние, към момента на изготвяне на настоящия доклад оценяваме финансовия риск като: </w:t>
      </w:r>
      <w:r w:rsidRPr="00FD60CA">
        <w:rPr>
          <w:b/>
          <w:i/>
          <w:color w:val="E36C0A"/>
        </w:rPr>
        <w:t>среден риск.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632423"/>
          <w:sz w:val="22"/>
          <w:szCs w:val="22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Ликвиден риск: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sz w:val="22"/>
          <w:szCs w:val="22"/>
        </w:rPr>
      </w:pPr>
    </w:p>
    <w:p w:rsidR="001B0DDE" w:rsidRPr="00FD60CA" w:rsidRDefault="001B0DDE" w:rsidP="007F1EC6">
      <w:pPr>
        <w:pStyle w:val="af6"/>
        <w:ind w:left="0"/>
        <w:jc w:val="both"/>
        <w:rPr>
          <w:kern w:val="2"/>
        </w:rPr>
      </w:pPr>
      <w:r w:rsidRPr="00FD60CA">
        <w:rPr>
          <w:kern w:val="2"/>
        </w:rPr>
        <w:t xml:space="preserve">Неспособността на дружеството да покрива насрещните си задължения съгласно техния падеж е израз на ликвиден риск. Ликвидността зависи главно от наличието в дружеството на парични средства или на съответните им алтернативи. Другият основен фактор, който влияе силно  е свързан с привлечения капитал. Той трябва да се поддържа в оптимално равнище, като се контролира както нивото на заемните средства, така и стойностите на задълженията към доставчиците и от клиентите на </w:t>
      </w:r>
      <w:r w:rsidR="004C09D1" w:rsidRPr="00FD60CA">
        <w:rPr>
          <w:kern w:val="2"/>
        </w:rPr>
        <w:t>дружеството</w:t>
      </w:r>
      <w:r w:rsidRPr="00FD60CA">
        <w:rPr>
          <w:kern w:val="2"/>
        </w:rPr>
        <w:t>.</w:t>
      </w:r>
    </w:p>
    <w:p w:rsidR="001B0DDE" w:rsidRPr="00FD60CA" w:rsidRDefault="001B0DDE" w:rsidP="007F1EC6">
      <w:pPr>
        <w:pStyle w:val="af6"/>
        <w:ind w:left="0"/>
        <w:jc w:val="both"/>
        <w:rPr>
          <w:kern w:val="2"/>
        </w:rPr>
      </w:pPr>
      <w:r w:rsidRPr="00FD60CA">
        <w:rPr>
          <w:kern w:val="2"/>
        </w:rPr>
        <w:t xml:space="preserve">Управлението на ликвидния риск </w:t>
      </w:r>
      <w:r w:rsidRPr="00FD60CA">
        <w:rPr>
          <w:bCs/>
        </w:rPr>
        <w:t xml:space="preserve">за дружеството ни </w:t>
      </w:r>
      <w:r w:rsidRPr="00FD60CA">
        <w:rPr>
          <w:kern w:val="2"/>
        </w:rPr>
        <w:t xml:space="preserve">изисква консервативна политика по ликвидността чрез постоянно поддържане на оптимален ликвиден запас парични средства, добра </w:t>
      </w:r>
      <w:r w:rsidRPr="00FD60CA">
        <w:rPr>
          <w:kern w:val="2"/>
        </w:rPr>
        <w:lastRenderedPageBreak/>
        <w:t xml:space="preserve">способност за финансиране на фирмената дейност, осигуряване и поддържане на адекватни кредитни ресурси, ежедневен мониторинг на наличните парични средства, предстоящи </w:t>
      </w:r>
      <w:r w:rsidR="004C09D1" w:rsidRPr="00FD60CA">
        <w:rPr>
          <w:kern w:val="2"/>
        </w:rPr>
        <w:t>плащания и падежи.</w:t>
      </w: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</w:tabs>
        <w:spacing w:after="0"/>
        <w:ind w:left="284" w:hanging="284"/>
        <w:jc w:val="both"/>
        <w:rPr>
          <w:i/>
          <w:color w:val="E36C0A"/>
        </w:rPr>
      </w:pPr>
      <w:r w:rsidRPr="00FD60CA">
        <w:rPr>
          <w:i/>
        </w:rPr>
        <w:t>На база посоченото по-горе и анализа на задълженията на дружеството ни, както и съотношението между собствения ни и привлечен капитал, към момента на изготвяне на настоящия доклад оценяваме ликвидния риск като:</w:t>
      </w:r>
      <w:r w:rsidRPr="00FD60CA">
        <w:rPr>
          <w:b/>
          <w:i/>
          <w:color w:val="339966"/>
        </w:rPr>
        <w:t xml:space="preserve"> </w:t>
      </w:r>
      <w:r w:rsidRPr="00FD60CA">
        <w:rPr>
          <w:b/>
          <w:i/>
          <w:color w:val="E36C0A"/>
        </w:rPr>
        <w:t xml:space="preserve"> нисък риск.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Ценови риск:</w:t>
      </w:r>
    </w:p>
    <w:p w:rsidR="001B0DDE" w:rsidRPr="00FD60CA" w:rsidRDefault="001B0DDE" w:rsidP="007F1EC6">
      <w:pPr>
        <w:pStyle w:val="af2"/>
        <w:ind w:firstLine="720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1B0DDE" w:rsidRPr="00FD60CA" w:rsidRDefault="001B0DDE" w:rsidP="007F1EC6">
      <w:pPr>
        <w:pStyle w:val="af6"/>
        <w:ind w:left="0"/>
        <w:jc w:val="both"/>
        <w:rPr>
          <w:color w:val="000000"/>
          <w:kern w:val="2"/>
        </w:rPr>
      </w:pPr>
      <w:r w:rsidRPr="00FD60CA">
        <w:rPr>
          <w:color w:val="000000"/>
          <w:kern w:val="2"/>
        </w:rPr>
        <w:t xml:space="preserve">Ценовият риск се определя в две направления: по отношение на пазарната конюнктура и по отношение на вътрешнофирмените производствени разходи. Продажната цена трябва да бъде съобразена </w:t>
      </w:r>
      <w:r w:rsidRPr="00FD60CA">
        <w:rPr>
          <w:kern w:val="2"/>
        </w:rPr>
        <w:t xml:space="preserve">и с двата фактора, </w:t>
      </w:r>
      <w:r w:rsidRPr="00FD60CA">
        <w:rPr>
          <w:color w:val="000000"/>
          <w:kern w:val="2"/>
        </w:rPr>
        <w:t xml:space="preserve">като </w:t>
      </w:r>
      <w:r w:rsidRPr="00FD60CA">
        <w:rPr>
          <w:kern w:val="2"/>
        </w:rPr>
        <w:t>се цели</w:t>
      </w:r>
      <w:r w:rsidRPr="00FD60CA">
        <w:rPr>
          <w:color w:val="0000FF"/>
          <w:kern w:val="2"/>
        </w:rPr>
        <w:t xml:space="preserve"> </w:t>
      </w:r>
      <w:r w:rsidRPr="00FD60CA">
        <w:rPr>
          <w:color w:val="000000"/>
          <w:kern w:val="2"/>
        </w:rPr>
        <w:t>тя да покрива разходите на предприятието и да носи определена норма на печалба. Цената, съответно не следва да се отдалечава значително от дефинираната на пазара, тъй като това ще рефлектира върху търсенето на фирмените продукти/услуги.</w:t>
      </w:r>
    </w:p>
    <w:p w:rsidR="001B0DDE" w:rsidRPr="00FD60CA" w:rsidRDefault="001B0DDE" w:rsidP="007F1EC6">
      <w:pPr>
        <w:pStyle w:val="af6"/>
        <w:ind w:left="0"/>
        <w:jc w:val="both"/>
        <w:rPr>
          <w:kern w:val="2"/>
        </w:rPr>
      </w:pPr>
      <w:r w:rsidRPr="00FD60CA">
        <w:rPr>
          <w:kern w:val="2"/>
        </w:rPr>
        <w:t xml:space="preserve">Управлението на ценовия риск </w:t>
      </w:r>
      <w:r w:rsidRPr="00FD60CA">
        <w:rPr>
          <w:bCs/>
        </w:rPr>
        <w:t xml:space="preserve">за дружеството ни </w:t>
      </w:r>
      <w:r w:rsidRPr="00FD60CA">
        <w:rPr>
          <w:kern w:val="2"/>
        </w:rPr>
        <w:t>изисква периодичен анализ и предоговаряне на договорните параметри с клиенти и доставчици съобразно пазарните промени.</w:t>
      </w: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i/>
          <w:color w:val="E36C0A"/>
        </w:rPr>
      </w:pPr>
      <w:r w:rsidRPr="00FD60CA">
        <w:rPr>
          <w:i/>
        </w:rPr>
        <w:t xml:space="preserve">На база посоченото по-горе, пазарната конюнктура, както и себестойността на произведената от нас продукция / предлагани услуги, както и нивото на вътрешнофирмени разходи и нивото на печалбата ни, към момента на изготвяне на настоящия доклад оценяваме ценовия риск като: </w:t>
      </w:r>
      <w:r w:rsidRPr="00FD60CA">
        <w:rPr>
          <w:b/>
          <w:i/>
          <w:color w:val="E36C0A"/>
        </w:rPr>
        <w:t>нисък риск.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Риск</w:t>
      </w:r>
      <w:r w:rsidR="004C09D1" w:rsidRPr="00FD60CA">
        <w:rPr>
          <w:b/>
          <w:color w:val="E36C0A"/>
        </w:rPr>
        <w:t>,</w:t>
      </w:r>
      <w:r w:rsidRPr="00FD60CA">
        <w:rPr>
          <w:b/>
          <w:color w:val="E36C0A"/>
        </w:rPr>
        <w:t xml:space="preserve"> свързан с паричния поток:</w:t>
      </w:r>
    </w:p>
    <w:p w:rsidR="001B0DDE" w:rsidRPr="00FD60CA" w:rsidRDefault="001B0DDE" w:rsidP="007F1EC6">
      <w:pPr>
        <w:pStyle w:val="af2"/>
        <w:ind w:firstLine="720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  <w:r w:rsidRPr="00FD60CA">
        <w:rPr>
          <w:rFonts w:ascii="Calibri" w:hAnsi="Calibri"/>
          <w:color w:val="000000"/>
          <w:kern w:val="2"/>
          <w:sz w:val="22"/>
          <w:szCs w:val="22"/>
        </w:rPr>
        <w:t xml:space="preserve">Рискът, свързан с паричния поток разглежда проблемите с наличните парични средства в дружеството. Тук от съществено значение е договорната политика, която следва да защитава фирмените финанси, като гарантира регулярни входящи потоци от страна на клиенти, както и навременни плащания на задълженията. 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  <w:r w:rsidRPr="00FD60CA">
        <w:rPr>
          <w:rFonts w:ascii="Calibri" w:hAnsi="Calibri"/>
          <w:color w:val="000000"/>
          <w:kern w:val="2"/>
          <w:sz w:val="22"/>
          <w:szCs w:val="22"/>
        </w:rPr>
        <w:t>Управлението на риска, свързан с паричните потоци за дружеството ни изисква поддържане на положителна стойност на ликвидността, т.е. готовност за посрещане на текущите задължения.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i/>
          <w:color w:val="548DD4"/>
        </w:rPr>
      </w:pPr>
      <w:r w:rsidRPr="00FD60CA">
        <w:rPr>
          <w:i/>
        </w:rPr>
        <w:t xml:space="preserve">На база посоченото по-горе и анализа на входящите и изходящите ни парични потоци, към момента на изготвяне на настоящия доклад оценяваме риска, свързан с паричния поток като: </w:t>
      </w:r>
      <w:r w:rsidRPr="00FD60CA">
        <w:rPr>
          <w:b/>
          <w:i/>
          <w:color w:val="E36C0A"/>
        </w:rPr>
        <w:t>среден риск</w:t>
      </w:r>
      <w:r w:rsidRPr="00FD60CA">
        <w:rPr>
          <w:i/>
          <w:color w:val="E36C0A"/>
        </w:rPr>
        <w:t>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Кредитен риск:</w:t>
      </w:r>
    </w:p>
    <w:p w:rsidR="001B0DDE" w:rsidRPr="00FD60CA" w:rsidRDefault="001B0DDE" w:rsidP="007F1EC6">
      <w:pPr>
        <w:pStyle w:val="af2"/>
        <w:ind w:firstLine="720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B41CDC" w:rsidRPr="00FD60CA" w:rsidRDefault="00B41CDC" w:rsidP="00B41CDC">
      <w:pPr>
        <w:pStyle w:val="af6"/>
        <w:ind w:left="0"/>
        <w:jc w:val="both"/>
      </w:pPr>
      <w:r w:rsidRPr="00FD60CA">
        <w:t>Ако дружеството използва заемни средства, то тогава е изложено на кредитен риск. Възниква, когато съществува вероятност кредитополучателят да не изпълнява съзнателно или да е в невъзможност да изпълни поетия от него ангажимент по сключения договор за заем или когато клиентите на дружеството не са в състояние да изплатят изцяло или в обичайно предвидимите срокове дължимите от тях суми.</w:t>
      </w:r>
    </w:p>
    <w:p w:rsidR="001B0DDE" w:rsidRPr="00FD60CA" w:rsidRDefault="00B41CDC" w:rsidP="00B41CDC">
      <w:pPr>
        <w:pStyle w:val="af6"/>
        <w:ind w:left="0"/>
        <w:jc w:val="both"/>
      </w:pPr>
      <w:r w:rsidRPr="00FD60CA">
        <w:rPr>
          <w:kern w:val="2"/>
        </w:rPr>
        <w:t xml:space="preserve">Управлението на кредитния риск </w:t>
      </w:r>
      <w:r w:rsidRPr="00FD60CA">
        <w:rPr>
          <w:bCs/>
        </w:rPr>
        <w:t xml:space="preserve">за дружеството ни </w:t>
      </w:r>
      <w:r w:rsidRPr="00FD60CA">
        <w:rPr>
          <w:kern w:val="2"/>
        </w:rPr>
        <w:t xml:space="preserve">изисква предоставяне на отсрочени плащания (продажби с отложен падеж) на клиенти с дългогодишна история и партньорски взаимоотношения, добро финансово състояние и липса на нарушения по спазване на кредитния период. Кредитната </w:t>
      </w:r>
      <w:r w:rsidRPr="00FD60CA">
        <w:rPr>
          <w:kern w:val="2"/>
        </w:rPr>
        <w:lastRenderedPageBreak/>
        <w:t>ни политика има отношение към събираемостта на вземанията, които следва да се контролират текущо чрез ежедневен преглед на откритите позиции по клиенти и извършените плащания</w:t>
      </w:r>
      <w:r w:rsidR="001B0DDE" w:rsidRPr="00FD60CA">
        <w:rPr>
          <w:kern w:val="2"/>
        </w:rPr>
        <w:t>.</w:t>
      </w: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left" w:pos="284"/>
        </w:tabs>
        <w:spacing w:after="0"/>
        <w:ind w:left="284" w:hanging="284"/>
        <w:jc w:val="both"/>
        <w:rPr>
          <w:i/>
          <w:color w:val="E36C0A"/>
        </w:rPr>
      </w:pPr>
      <w:r w:rsidRPr="00FD60CA">
        <w:rPr>
          <w:i/>
        </w:rPr>
        <w:t xml:space="preserve">На база посоченото по-горе, познаването на кредитната политика на банките, състоянието на </w:t>
      </w:r>
      <w:proofErr w:type="spellStart"/>
      <w:r w:rsidRPr="00FD60CA">
        <w:rPr>
          <w:i/>
        </w:rPr>
        <w:t>банковавата</w:t>
      </w:r>
      <w:proofErr w:type="spellEnd"/>
      <w:r w:rsidRPr="00FD60CA">
        <w:rPr>
          <w:i/>
        </w:rPr>
        <w:t xml:space="preserve"> система по време на финансова криза, както и кредитната политика на дружеството, към момента на изготвяне на настоящия доклад оценяваме кредитния риск като: </w:t>
      </w:r>
      <w:r w:rsidRPr="00FD60CA">
        <w:rPr>
          <w:b/>
          <w:i/>
          <w:color w:val="E36C0A"/>
        </w:rPr>
        <w:t xml:space="preserve"> без риск.</w:t>
      </w:r>
    </w:p>
    <w:p w:rsidR="001B0DDE" w:rsidRPr="00FD60CA" w:rsidRDefault="001B0DDE" w:rsidP="007F1EC6">
      <w:pPr>
        <w:pStyle w:val="af6"/>
        <w:ind w:left="0"/>
        <w:jc w:val="both"/>
        <w:rPr>
          <w:i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Инвестиционен риск:</w:t>
      </w:r>
    </w:p>
    <w:p w:rsidR="001B0DDE" w:rsidRPr="00FD60CA" w:rsidRDefault="001B0DDE" w:rsidP="007F1EC6">
      <w:pPr>
        <w:pStyle w:val="af2"/>
        <w:ind w:firstLine="720"/>
        <w:jc w:val="both"/>
        <w:rPr>
          <w:rFonts w:ascii="Calibri" w:hAnsi="Calibri"/>
          <w:b/>
          <w:color w:val="000000"/>
          <w:kern w:val="2"/>
          <w:sz w:val="22"/>
          <w:szCs w:val="22"/>
        </w:rPr>
      </w:pP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  <w:r w:rsidRPr="00FD60CA">
        <w:rPr>
          <w:rFonts w:ascii="Calibri" w:hAnsi="Calibri"/>
          <w:color w:val="000000"/>
          <w:kern w:val="2"/>
          <w:sz w:val="22"/>
          <w:szCs w:val="22"/>
        </w:rPr>
        <w:t xml:space="preserve">Инвестиционният риск се изразява в това дали реалната доходност от направена инвестиция се различава </w:t>
      </w:r>
      <w:r w:rsidRPr="00FD60CA">
        <w:rPr>
          <w:rFonts w:ascii="Calibri" w:hAnsi="Calibri"/>
          <w:kern w:val="2"/>
          <w:sz w:val="22"/>
          <w:szCs w:val="22"/>
        </w:rPr>
        <w:t>от</w:t>
      </w:r>
      <w:r w:rsidRPr="00FD60CA">
        <w:rPr>
          <w:rFonts w:ascii="Calibri" w:hAnsi="Calibri"/>
          <w:color w:val="0000FF"/>
          <w:kern w:val="2"/>
          <w:sz w:val="22"/>
          <w:szCs w:val="22"/>
        </w:rPr>
        <w:t xml:space="preserve"> </w:t>
      </w:r>
      <w:r w:rsidRPr="00FD60CA">
        <w:rPr>
          <w:rFonts w:ascii="Calibri" w:hAnsi="Calibri"/>
          <w:kern w:val="2"/>
          <w:sz w:val="22"/>
          <w:szCs w:val="22"/>
        </w:rPr>
        <w:t>предварително планираната</w:t>
      </w:r>
      <w:r w:rsidRPr="00FD60CA">
        <w:rPr>
          <w:rFonts w:ascii="Calibri" w:hAnsi="Calibri"/>
          <w:color w:val="000000"/>
          <w:kern w:val="2"/>
          <w:sz w:val="22"/>
          <w:szCs w:val="22"/>
        </w:rPr>
        <w:t xml:space="preserve"> такава. Поради дефицита на финансов ресурс и съществуващата финансова криза, банките не финансират много от проектите, класирани по новите рискови матрици. Налага се преразглеждане на планираните инвестиции и специално внимание върху тези с критична значимост за успеха на дружеството и върху тези с бърза възвръщаемост.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  <w:r w:rsidRPr="00FD60CA">
        <w:rPr>
          <w:rFonts w:ascii="Calibri" w:hAnsi="Calibri"/>
          <w:color w:val="000000"/>
          <w:kern w:val="2"/>
          <w:sz w:val="22"/>
          <w:szCs w:val="22"/>
        </w:rPr>
        <w:t>За управление на инвестиционния риск</w:t>
      </w:r>
      <w:r w:rsidR="004C09D1" w:rsidRPr="00FD60CA">
        <w:rPr>
          <w:rFonts w:ascii="Calibri" w:hAnsi="Calibri"/>
          <w:color w:val="000000"/>
          <w:kern w:val="2"/>
          <w:sz w:val="22"/>
          <w:szCs w:val="22"/>
        </w:rPr>
        <w:t xml:space="preserve"> се</w:t>
      </w:r>
      <w:r w:rsidRPr="00FD60CA">
        <w:rPr>
          <w:rFonts w:ascii="Calibri" w:hAnsi="Calibri"/>
          <w:color w:val="000000"/>
          <w:kern w:val="2"/>
          <w:sz w:val="22"/>
          <w:szCs w:val="22"/>
        </w:rPr>
        <w:t xml:space="preserve"> прил</w:t>
      </w:r>
      <w:r w:rsidR="004C09D1" w:rsidRPr="00FD60CA">
        <w:rPr>
          <w:rFonts w:ascii="Calibri" w:hAnsi="Calibri"/>
          <w:color w:val="000000"/>
          <w:kern w:val="2"/>
          <w:sz w:val="22"/>
          <w:szCs w:val="22"/>
        </w:rPr>
        <w:t>ага</w:t>
      </w:r>
      <w:r w:rsidRPr="00FD60CA">
        <w:rPr>
          <w:rFonts w:ascii="Calibri" w:hAnsi="Calibri"/>
          <w:color w:val="000000"/>
          <w:kern w:val="2"/>
          <w:sz w:val="22"/>
          <w:szCs w:val="22"/>
        </w:rPr>
        <w:t xml:space="preserve"> </w:t>
      </w:r>
      <w:r w:rsidR="004C09D1" w:rsidRPr="00FD60CA">
        <w:rPr>
          <w:rFonts w:ascii="Calibri" w:hAnsi="Calibri"/>
          <w:color w:val="000000"/>
          <w:kern w:val="2"/>
          <w:sz w:val="22"/>
          <w:szCs w:val="22"/>
        </w:rPr>
        <w:t>политика на</w:t>
      </w:r>
      <w:r w:rsidRPr="00FD60CA">
        <w:rPr>
          <w:rFonts w:ascii="Calibri" w:hAnsi="Calibri"/>
          <w:color w:val="000000"/>
          <w:kern w:val="2"/>
          <w:sz w:val="22"/>
          <w:szCs w:val="22"/>
        </w:rPr>
        <w:t xml:space="preserve"> </w:t>
      </w:r>
      <w:proofErr w:type="spellStart"/>
      <w:r w:rsidRPr="00FD60CA">
        <w:rPr>
          <w:rFonts w:ascii="Calibri" w:hAnsi="Calibri"/>
          <w:color w:val="000000"/>
          <w:kern w:val="2"/>
          <w:sz w:val="22"/>
          <w:szCs w:val="22"/>
        </w:rPr>
        <w:t>хеджиране</w:t>
      </w:r>
      <w:proofErr w:type="spellEnd"/>
      <w:r w:rsidRPr="00FD60CA">
        <w:rPr>
          <w:rFonts w:ascii="Calibri" w:hAnsi="Calibri"/>
          <w:color w:val="000000"/>
          <w:kern w:val="2"/>
          <w:sz w:val="22"/>
          <w:szCs w:val="22"/>
        </w:rPr>
        <w:t xml:space="preserve"> - застраховка срещу неблагоприятни събития, която не ги предотвратява, но ограничава последиците от тях. 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color w:val="000000"/>
          <w:kern w:val="2"/>
          <w:sz w:val="22"/>
          <w:szCs w:val="22"/>
        </w:rPr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b/>
          <w:i/>
          <w:color w:val="E36C0A"/>
        </w:rPr>
      </w:pPr>
      <w:r w:rsidRPr="00FD60CA">
        <w:rPr>
          <w:i/>
        </w:rPr>
        <w:t xml:space="preserve">На база посоченото по-горе и реализираните от нас инвестиционни мероприятия, към момента на изготвяне на настоящия доклад, оценяваме инвестиционния риск като: </w:t>
      </w:r>
      <w:r w:rsidRPr="00FD60CA">
        <w:rPr>
          <w:b/>
          <w:i/>
          <w:color w:val="E36C0A"/>
        </w:rPr>
        <w:t>нисък  риск.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b/>
          <w:color w:val="632423"/>
          <w:kern w:val="2"/>
          <w:sz w:val="22"/>
          <w:szCs w:val="22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Регулативен риск:</w:t>
      </w:r>
    </w:p>
    <w:p w:rsidR="001B0DDE" w:rsidRPr="00FD60CA" w:rsidRDefault="001B0DDE" w:rsidP="007F1EC6">
      <w:pPr>
        <w:jc w:val="both"/>
      </w:pPr>
    </w:p>
    <w:p w:rsidR="001B0DDE" w:rsidRPr="00FD60CA" w:rsidRDefault="001B0DDE" w:rsidP="007F1EC6">
      <w:pPr>
        <w:jc w:val="both"/>
      </w:pPr>
      <w:r w:rsidRPr="00FD60CA">
        <w:t xml:space="preserve">Регулативният риск е свързан с вероятността да се понесат загуби в резултат на нарушения или неспазване на законовите и подзаконови нормативни актове или </w:t>
      </w:r>
      <w:proofErr w:type="spellStart"/>
      <w:r w:rsidRPr="00FD60CA">
        <w:t>вътрешнодружествените</w:t>
      </w:r>
      <w:proofErr w:type="spellEnd"/>
      <w:r w:rsidRPr="00FD60CA">
        <w:t xml:space="preserve"> документи, както и от загуби в резултат на интервенция на данъчните власти. Този риск се отнася и за промени в нормативната база, свързани с опазването на околната среда, както и с вероятността дружеството да не бъде в състояние да </w:t>
      </w:r>
      <w:r w:rsidRPr="00FD60CA">
        <w:rPr>
          <w:color w:val="000000"/>
          <w:kern w:val="2"/>
        </w:rPr>
        <w:t>изпълнява</w:t>
      </w:r>
      <w:r w:rsidRPr="00FD60CA">
        <w:t xml:space="preserve"> предписанията и изискванията на екологичното законодателство и компетентните органи, за което да му бъдат налагани съответните наказания.</w:t>
      </w:r>
    </w:p>
    <w:p w:rsidR="001B0DDE" w:rsidRPr="00FD60CA" w:rsidRDefault="001B0DDE" w:rsidP="007F1EC6">
      <w:pPr>
        <w:jc w:val="both"/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b/>
          <w:i/>
          <w:color w:val="E36C0A"/>
        </w:rPr>
      </w:pPr>
      <w:r w:rsidRPr="00FD60CA">
        <w:rPr>
          <w:i/>
        </w:rPr>
        <w:t xml:space="preserve">На база посоченото по-горе, прилаганата от дружеството ни екологична политика и познаването на нормативната база, към момента на изготвяне на настоящия доклад, оценяваме регулативния риск като: </w:t>
      </w:r>
      <w:r w:rsidRPr="00FD60CA">
        <w:rPr>
          <w:b/>
          <w:i/>
          <w:color w:val="E36C0A"/>
        </w:rPr>
        <w:t>среден риск.</w:t>
      </w:r>
    </w:p>
    <w:p w:rsidR="001B0DDE" w:rsidRPr="00FD60CA" w:rsidRDefault="001B0DDE" w:rsidP="007F1EC6">
      <w:pPr>
        <w:pStyle w:val="af2"/>
        <w:jc w:val="both"/>
        <w:rPr>
          <w:rFonts w:ascii="Calibri" w:hAnsi="Calibri"/>
          <w:b/>
          <w:sz w:val="22"/>
          <w:szCs w:val="22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Рискове, свързани с продуктите и пазарите:</w:t>
      </w:r>
    </w:p>
    <w:p w:rsidR="001B0DDE" w:rsidRPr="00FD60CA" w:rsidRDefault="001B0DDE" w:rsidP="007F1EC6">
      <w:pPr>
        <w:jc w:val="both"/>
      </w:pPr>
    </w:p>
    <w:p w:rsidR="001B0DDE" w:rsidRPr="00FD60CA" w:rsidRDefault="001B0DDE" w:rsidP="007F1EC6">
      <w:pPr>
        <w:jc w:val="both"/>
      </w:pPr>
      <w:r w:rsidRPr="00FD60CA">
        <w:t>Този риск се свързва с възможността на дружеството да произвежда продукти / услуги, които не могат да се реализират успешно на съществуващия пазар. Рисковете по отношение на пазарите са свързани с ограниченията, които налагат международните пазари по отношение стандартите за качество. Пазарната война се води предимно на база цена, което води до нейното редуциране.</w:t>
      </w:r>
    </w:p>
    <w:p w:rsidR="001B0DDE" w:rsidRPr="00FD60CA" w:rsidRDefault="001B0DDE" w:rsidP="007F1EC6">
      <w:pPr>
        <w:jc w:val="both"/>
      </w:pPr>
    </w:p>
    <w:p w:rsidR="001B0DDE" w:rsidRPr="00FD60CA" w:rsidRDefault="001B0DDE" w:rsidP="007F1EC6">
      <w:pPr>
        <w:jc w:val="both"/>
      </w:pPr>
      <w:r w:rsidRPr="00FD60CA">
        <w:t xml:space="preserve">Управлението на риска, свързан с продуктите и пазарите за дружеството ни изисква прецизна сегментация и анализ на потенциала на съществуващите пазарни сегменти и при необходимост – проучване на възможностите за </w:t>
      </w:r>
      <w:proofErr w:type="spellStart"/>
      <w:r w:rsidRPr="00FD60CA">
        <w:t>диверсифициране</w:t>
      </w:r>
      <w:proofErr w:type="spellEnd"/>
      <w:r w:rsidRPr="00FD60CA">
        <w:t xml:space="preserve"> на дейността (разработване на нови продукти и услуги за нови пазари).</w:t>
      </w:r>
    </w:p>
    <w:p w:rsidR="001B0DDE" w:rsidRPr="00FD60CA" w:rsidRDefault="001B0DDE" w:rsidP="007F1EC6">
      <w:pPr>
        <w:jc w:val="both"/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b/>
          <w:i/>
          <w:color w:val="E36C0A"/>
        </w:rPr>
      </w:pPr>
      <w:r w:rsidRPr="00FD60CA">
        <w:rPr>
          <w:i/>
        </w:rPr>
        <w:lastRenderedPageBreak/>
        <w:t>На база посоченото по-горе и изпълнението на продуктовата и пласментната ни политики, към момента на изготвяне на настоящия доклад оценяваме рисковете, свързани с продуктите и пазарите като</w:t>
      </w:r>
      <w:r w:rsidRPr="00FD60CA">
        <w:rPr>
          <w:i/>
          <w:color w:val="00B050"/>
        </w:rPr>
        <w:t xml:space="preserve">: </w:t>
      </w:r>
      <w:r w:rsidRPr="00FD60CA">
        <w:rPr>
          <w:b/>
          <w:i/>
          <w:color w:val="E36C0A"/>
        </w:rPr>
        <w:t>нисък.</w:t>
      </w:r>
    </w:p>
    <w:p w:rsidR="00C222B8" w:rsidRPr="00FD60CA" w:rsidRDefault="00C222B8" w:rsidP="004C09D1">
      <w:pPr>
        <w:pStyle w:val="af6"/>
        <w:spacing w:after="0"/>
        <w:ind w:left="0"/>
        <w:jc w:val="both"/>
        <w:rPr>
          <w:b/>
          <w:i/>
          <w:color w:val="76923C"/>
        </w:rPr>
      </w:pPr>
    </w:p>
    <w:p w:rsidR="001B0DDE" w:rsidRPr="00FD60CA" w:rsidRDefault="001B0DDE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Риск, свързан с корпоративната сигурност:</w:t>
      </w:r>
    </w:p>
    <w:p w:rsidR="001B0DDE" w:rsidRPr="00FD60CA" w:rsidRDefault="001B0DDE" w:rsidP="004C09D1">
      <w:pPr>
        <w:tabs>
          <w:tab w:val="left" w:pos="284"/>
        </w:tabs>
        <w:jc w:val="both"/>
        <w:rPr>
          <w:b/>
          <w:color w:val="4F6228"/>
        </w:rPr>
      </w:pPr>
    </w:p>
    <w:p w:rsidR="001B0DDE" w:rsidRPr="00FD60CA" w:rsidRDefault="001B0DDE" w:rsidP="007F1EC6">
      <w:pPr>
        <w:jc w:val="both"/>
      </w:pPr>
      <w:r w:rsidRPr="00FD60CA">
        <w:t>Този риск е актуален и засяга редица аспекти от фирмената сигурност като ефективно противодействие на нелоялната конкуренция; надеждна защита на търговската тайна; прилагане на практически мерки за редуциране и неутрализиране на корпоративни заплахи; мотивиране, обучаване и възпитаване на служителите за избягване пропуски в системата за фирмена сигурност.</w:t>
      </w:r>
    </w:p>
    <w:p w:rsidR="001B0DDE" w:rsidRPr="00FD60CA" w:rsidRDefault="001B0DDE" w:rsidP="007F1EC6">
      <w:pPr>
        <w:jc w:val="both"/>
      </w:pPr>
    </w:p>
    <w:p w:rsidR="001B0DDE" w:rsidRPr="00FD60CA" w:rsidRDefault="001B0DDE" w:rsidP="002228B1">
      <w:pPr>
        <w:pStyle w:val="af6"/>
        <w:numPr>
          <w:ilvl w:val="0"/>
          <w:numId w:val="2"/>
        </w:numPr>
        <w:tabs>
          <w:tab w:val="clear" w:pos="3690"/>
          <w:tab w:val="num" w:pos="284"/>
        </w:tabs>
        <w:spacing w:after="0"/>
        <w:ind w:left="284" w:hanging="284"/>
        <w:jc w:val="both"/>
        <w:rPr>
          <w:b/>
          <w:i/>
          <w:color w:val="76923C"/>
        </w:rPr>
      </w:pPr>
      <w:r w:rsidRPr="00FD60CA">
        <w:rPr>
          <w:i/>
        </w:rPr>
        <w:t xml:space="preserve">На база посоченото по-горе и познаване нивото на фирмена сигурност, към момента на изготвяне на настоящия доклад оценяваме риска, свързан с корпоративната сигурност като: </w:t>
      </w:r>
      <w:r w:rsidRPr="00FD60CA">
        <w:rPr>
          <w:b/>
          <w:i/>
          <w:color w:val="E36C0A"/>
        </w:rPr>
        <w:t>среден риск.</w:t>
      </w:r>
    </w:p>
    <w:p w:rsidR="001B0DDE" w:rsidRPr="006E085E" w:rsidRDefault="001B0DDE" w:rsidP="001B0DDE">
      <w:pPr>
        <w:jc w:val="center"/>
        <w:rPr>
          <w:b/>
          <w:i/>
          <w:color w:val="E36C0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085E">
        <w:rPr>
          <w:b/>
          <w:i/>
          <w:color w:val="E36C0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ТАБЛИЦА ЗА ПРОХОДИМОСТТА НА БИЗНЕСА</w:t>
      </w:r>
    </w:p>
    <w:p w:rsidR="001B0DDE" w:rsidRPr="00FD60CA" w:rsidRDefault="001B0DDE" w:rsidP="001B0DDE">
      <w:pPr>
        <w:pStyle w:val="af2"/>
        <w:rPr>
          <w:rFonts w:ascii="Calibri" w:hAnsi="Calibri"/>
          <w:b/>
          <w:i/>
          <w:color w:val="339966"/>
          <w:sz w:val="24"/>
        </w:rPr>
      </w:pPr>
    </w:p>
    <w:tbl>
      <w:tblPr>
        <w:tblW w:w="1002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500"/>
        <w:gridCol w:w="500"/>
        <w:gridCol w:w="500"/>
        <w:gridCol w:w="500"/>
        <w:gridCol w:w="5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20"/>
        <w:gridCol w:w="520"/>
        <w:gridCol w:w="520"/>
      </w:tblGrid>
      <w:tr w:rsidR="00E81A49" w:rsidRPr="00FD60CA" w:rsidTr="00AC15BC">
        <w:trPr>
          <w:trHeight w:val="3918"/>
        </w:trPr>
        <w:tc>
          <w:tcPr>
            <w:tcW w:w="1380" w:type="dxa"/>
            <w:tcBorders>
              <w:top w:val="double" w:sz="6" w:space="0" w:color="E26B0A"/>
              <w:left w:val="double" w:sz="6" w:space="0" w:color="E26B0A"/>
              <w:bottom w:val="nil"/>
              <w:right w:val="double" w:sz="6" w:space="0" w:color="FFFFFF"/>
            </w:tcBorders>
            <w:shd w:val="clear" w:color="auto" w:fill="F68D36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D60CA">
              <w:rPr>
                <w:rFonts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Политически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Валутен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Инфлационен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Риск от лицензионни режими</w:t>
            </w:r>
          </w:p>
        </w:tc>
        <w:tc>
          <w:tcPr>
            <w:tcW w:w="58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Други рискове, свързани с влиянието на основни макроикономически фактори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Секторен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Технологичен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Фирмен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Финансов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Ликвиден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Ценови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Риск, свързан с паричния поток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Кредитен риск</w:t>
            </w:r>
          </w:p>
        </w:tc>
        <w:tc>
          <w:tcPr>
            <w:tcW w:w="50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Инвестиционен риск</w:t>
            </w:r>
          </w:p>
        </w:tc>
        <w:tc>
          <w:tcPr>
            <w:tcW w:w="52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Регулативен риск</w:t>
            </w:r>
          </w:p>
        </w:tc>
        <w:tc>
          <w:tcPr>
            <w:tcW w:w="52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FFFFFF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Рискове, свързани с </w:t>
            </w:r>
            <w:proofErr w:type="spellStart"/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проуктите</w:t>
            </w:r>
            <w:proofErr w:type="spellEnd"/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 и пазарите</w:t>
            </w:r>
          </w:p>
        </w:tc>
        <w:tc>
          <w:tcPr>
            <w:tcW w:w="52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textDirection w:val="btLr"/>
            <w:vAlign w:val="center"/>
          </w:tcPr>
          <w:p w:rsidR="00E81A49" w:rsidRPr="00FD60CA" w:rsidRDefault="00E81A49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Риск, свързан с корпоративната сигурност</w:t>
            </w:r>
          </w:p>
        </w:tc>
      </w:tr>
      <w:tr w:rsidR="00E81A49" w:rsidRPr="00FD60CA" w:rsidTr="00AC15BC">
        <w:trPr>
          <w:trHeight w:val="285"/>
        </w:trPr>
        <w:tc>
          <w:tcPr>
            <w:tcW w:w="1380" w:type="dxa"/>
            <w:tcBorders>
              <w:top w:val="double" w:sz="6" w:space="0" w:color="FFFFFF"/>
              <w:left w:val="double" w:sz="6" w:space="0" w:color="E26B0A"/>
              <w:bottom w:val="double" w:sz="6" w:space="0" w:color="FFFFFF"/>
              <w:right w:val="double" w:sz="6" w:space="0" w:color="E26B0A"/>
            </w:tcBorders>
            <w:shd w:val="clear" w:color="auto" w:fill="F68D36"/>
          </w:tcPr>
          <w:p w:rsidR="00E81A49" w:rsidRPr="00FD60CA" w:rsidRDefault="00E81A49" w:rsidP="00AC15B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D60CA">
              <w:rPr>
                <w:rFonts w:cs="Calibri"/>
                <w:b/>
                <w:bCs/>
                <w:color w:val="FFFFFF"/>
                <w:sz w:val="18"/>
                <w:szCs w:val="18"/>
              </w:rPr>
              <w:t>Много Висок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E81A49" w:rsidRPr="00FD60CA" w:rsidTr="00AC15BC">
        <w:trPr>
          <w:trHeight w:val="285"/>
        </w:trPr>
        <w:tc>
          <w:tcPr>
            <w:tcW w:w="1380" w:type="dxa"/>
            <w:tcBorders>
              <w:top w:val="nil"/>
              <w:left w:val="double" w:sz="6" w:space="0" w:color="E26B0A"/>
              <w:bottom w:val="double" w:sz="6" w:space="0" w:color="FFFFFF"/>
              <w:right w:val="double" w:sz="6" w:space="0" w:color="E26B0A"/>
            </w:tcBorders>
            <w:shd w:val="clear" w:color="auto" w:fill="F68D36"/>
          </w:tcPr>
          <w:p w:rsidR="00E81A49" w:rsidRPr="00FD60CA" w:rsidRDefault="00E81A49" w:rsidP="00AC15B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D60CA">
              <w:rPr>
                <w:rFonts w:cs="Calibri"/>
                <w:b/>
                <w:bCs/>
                <w:color w:val="FFFFFF"/>
                <w:sz w:val="18"/>
                <w:szCs w:val="18"/>
              </w:rPr>
              <w:t>Висок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E81A49" w:rsidRPr="00FD60CA" w:rsidTr="00AC15BC">
        <w:trPr>
          <w:trHeight w:val="285"/>
        </w:trPr>
        <w:tc>
          <w:tcPr>
            <w:tcW w:w="1380" w:type="dxa"/>
            <w:tcBorders>
              <w:top w:val="nil"/>
              <w:left w:val="double" w:sz="6" w:space="0" w:color="E26B0A"/>
              <w:bottom w:val="double" w:sz="6" w:space="0" w:color="FFFFFF"/>
              <w:right w:val="double" w:sz="6" w:space="0" w:color="E26B0A"/>
            </w:tcBorders>
            <w:shd w:val="clear" w:color="auto" w:fill="F68D36"/>
          </w:tcPr>
          <w:p w:rsidR="00E81A49" w:rsidRPr="00FD60CA" w:rsidRDefault="00E81A49" w:rsidP="00AC15B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D60CA">
              <w:rPr>
                <w:rFonts w:cs="Calibri"/>
                <w:b/>
                <w:bCs/>
                <w:color w:val="FFFFFF"/>
                <w:sz w:val="18"/>
                <w:szCs w:val="18"/>
              </w:rPr>
              <w:t>Среден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F0000"/>
          </w:tcPr>
          <w:p w:rsidR="00E81A49" w:rsidRPr="00FD60CA" w:rsidRDefault="00E81A49">
            <w:pPr>
              <w:jc w:val="both"/>
              <w:rPr>
                <w:rFonts w:cs="Calibri"/>
                <w:color w:val="FF0000"/>
                <w:sz w:val="14"/>
                <w:szCs w:val="14"/>
              </w:rPr>
            </w:pPr>
            <w:r w:rsidRPr="00FD60CA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F000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F000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F000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E81A49" w:rsidRPr="00FD60CA" w:rsidTr="00AC15BC">
        <w:trPr>
          <w:trHeight w:val="285"/>
        </w:trPr>
        <w:tc>
          <w:tcPr>
            <w:tcW w:w="1380" w:type="dxa"/>
            <w:tcBorders>
              <w:top w:val="nil"/>
              <w:left w:val="double" w:sz="6" w:space="0" w:color="E26B0A"/>
              <w:bottom w:val="double" w:sz="6" w:space="0" w:color="FFFFFF"/>
              <w:right w:val="double" w:sz="6" w:space="0" w:color="E26B0A"/>
            </w:tcBorders>
            <w:shd w:val="clear" w:color="auto" w:fill="F68D36"/>
          </w:tcPr>
          <w:p w:rsidR="00E81A49" w:rsidRPr="00FD60CA" w:rsidRDefault="00E81A49" w:rsidP="00AC15B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D60CA">
              <w:rPr>
                <w:rFonts w:cs="Calibri"/>
                <w:b/>
                <w:bCs/>
                <w:color w:val="FFFFFF"/>
                <w:sz w:val="18"/>
                <w:szCs w:val="18"/>
              </w:rPr>
              <w:t>Нисък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E81A49" w:rsidRPr="00FD60CA" w:rsidRDefault="00E81A49">
            <w:pPr>
              <w:rPr>
                <w:rFonts w:ascii="Arial" w:hAnsi="Arial" w:cs="Arial"/>
                <w:sz w:val="20"/>
                <w:szCs w:val="20"/>
              </w:rPr>
            </w:pPr>
            <w:r w:rsidRPr="00FD60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 w:rsidP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E81A49" w:rsidRPr="00FD60CA" w:rsidTr="00AC15BC">
        <w:trPr>
          <w:trHeight w:val="285"/>
        </w:trPr>
        <w:tc>
          <w:tcPr>
            <w:tcW w:w="13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</w:tcPr>
          <w:p w:rsidR="00E81A49" w:rsidRPr="00FD60CA" w:rsidRDefault="00E81A49" w:rsidP="00AC15B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D60CA">
              <w:rPr>
                <w:rFonts w:cs="Calibri"/>
                <w:b/>
                <w:bCs/>
                <w:color w:val="FFFFFF"/>
                <w:sz w:val="18"/>
                <w:szCs w:val="18"/>
              </w:rPr>
              <w:t>Без риск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00B050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E81A49" w:rsidRPr="00FD60CA" w:rsidRDefault="00E81A49">
            <w:pPr>
              <w:jc w:val="both"/>
              <w:rPr>
                <w:rFonts w:cs="Calibri"/>
                <w:sz w:val="14"/>
                <w:szCs w:val="14"/>
              </w:rPr>
            </w:pPr>
            <w:r w:rsidRPr="00FD60CA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2C0C46" w:rsidRPr="00FD60CA">
        <w:trPr>
          <w:trHeight w:val="27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2C0C46" w:rsidRPr="00FD60CA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D60C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bg-BG"/>
              </w:rPr>
              <w:t>Труднопроходимо поле (много висок / висок / среден)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2C0C46" w:rsidRPr="00FD60CA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8000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D60C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bg-BG"/>
              </w:rPr>
            </w:pPr>
            <w:proofErr w:type="spellStart"/>
            <w:r w:rsidRPr="00FD60C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bg-BG"/>
              </w:rPr>
              <w:t>Леснопроходимо</w:t>
            </w:r>
            <w:proofErr w:type="spellEnd"/>
            <w:r w:rsidRPr="00FD60C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 поле (нисък / без риск)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C46" w:rsidRPr="00FD60CA" w:rsidRDefault="002C0C46" w:rsidP="002C0C46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AC15BC" w:rsidRDefault="00AC15BC" w:rsidP="00AC15BC">
      <w:pPr>
        <w:tabs>
          <w:tab w:val="left" w:pos="180"/>
        </w:tabs>
        <w:ind w:left="180" w:right="114"/>
        <w:jc w:val="both"/>
      </w:pPr>
    </w:p>
    <w:p w:rsidR="004B1A09" w:rsidRDefault="004B1A09" w:rsidP="00AC15BC">
      <w:pPr>
        <w:tabs>
          <w:tab w:val="left" w:pos="180"/>
        </w:tabs>
        <w:ind w:left="180" w:right="114"/>
        <w:jc w:val="both"/>
      </w:pPr>
    </w:p>
    <w:p w:rsidR="004B1A09" w:rsidRDefault="004B1A09" w:rsidP="00AC15BC">
      <w:pPr>
        <w:tabs>
          <w:tab w:val="left" w:pos="180"/>
        </w:tabs>
        <w:ind w:left="180" w:right="114"/>
        <w:jc w:val="both"/>
      </w:pPr>
    </w:p>
    <w:p w:rsidR="004B1A09" w:rsidRDefault="004B1A09" w:rsidP="00AC15BC">
      <w:pPr>
        <w:tabs>
          <w:tab w:val="left" w:pos="180"/>
        </w:tabs>
        <w:ind w:left="180" w:right="114"/>
        <w:jc w:val="both"/>
      </w:pPr>
    </w:p>
    <w:p w:rsidR="00D22162" w:rsidRDefault="00D22162" w:rsidP="00AC15BC">
      <w:pPr>
        <w:tabs>
          <w:tab w:val="left" w:pos="180"/>
        </w:tabs>
        <w:ind w:left="180" w:right="114"/>
        <w:jc w:val="both"/>
      </w:pPr>
    </w:p>
    <w:p w:rsidR="00D22162" w:rsidRDefault="00D22162" w:rsidP="00AC15BC">
      <w:pPr>
        <w:tabs>
          <w:tab w:val="left" w:pos="180"/>
        </w:tabs>
        <w:ind w:left="180" w:right="114"/>
        <w:jc w:val="both"/>
      </w:pPr>
    </w:p>
    <w:p w:rsidR="00D22162" w:rsidRDefault="00D22162" w:rsidP="00AC15BC">
      <w:pPr>
        <w:tabs>
          <w:tab w:val="left" w:pos="180"/>
        </w:tabs>
        <w:ind w:left="180" w:right="114"/>
        <w:jc w:val="both"/>
      </w:pPr>
    </w:p>
    <w:p w:rsidR="00D22162" w:rsidRDefault="00D22162" w:rsidP="00AC15BC">
      <w:pPr>
        <w:tabs>
          <w:tab w:val="left" w:pos="180"/>
        </w:tabs>
        <w:ind w:left="180" w:right="114"/>
        <w:jc w:val="both"/>
      </w:pPr>
    </w:p>
    <w:p w:rsidR="00D22162" w:rsidRDefault="00D22162" w:rsidP="00AC15BC">
      <w:pPr>
        <w:tabs>
          <w:tab w:val="left" w:pos="180"/>
        </w:tabs>
        <w:ind w:left="180" w:right="114"/>
        <w:jc w:val="both"/>
      </w:pPr>
    </w:p>
    <w:p w:rsidR="00D22162" w:rsidRDefault="00D22162" w:rsidP="00AC15BC">
      <w:pPr>
        <w:tabs>
          <w:tab w:val="left" w:pos="180"/>
        </w:tabs>
        <w:ind w:left="180" w:right="114"/>
        <w:jc w:val="both"/>
      </w:pPr>
    </w:p>
    <w:p w:rsidR="004B1A09" w:rsidRPr="00FD60CA" w:rsidRDefault="004B1A09" w:rsidP="00AC15BC">
      <w:pPr>
        <w:tabs>
          <w:tab w:val="left" w:pos="180"/>
        </w:tabs>
        <w:ind w:left="180" w:right="114"/>
        <w:jc w:val="both"/>
      </w:pPr>
    </w:p>
    <w:p w:rsidR="00504F83" w:rsidRPr="006E085E" w:rsidRDefault="00FC53D3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АНАЛИЗ на </w:t>
      </w:r>
      <w:r w:rsidR="00504F83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ФИНАНСОВ</w:t>
      </w:r>
      <w:r w:rsidR="00B13ED1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И</w:t>
      </w:r>
      <w:r w:rsidR="00504F83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и НЕФИНАНСОВИ ПОКАЗАТЕЛИ</w:t>
      </w:r>
      <w:r w:rsidR="0074615C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</w:p>
    <w:p w:rsidR="008D397F" w:rsidRPr="00FD60CA" w:rsidRDefault="008D397F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t>Финансови показатели</w:t>
      </w:r>
    </w:p>
    <w:p w:rsidR="008D397F" w:rsidRPr="00FD60CA" w:rsidRDefault="008D397F" w:rsidP="008D397F">
      <w:pPr>
        <w:jc w:val="both"/>
      </w:pPr>
    </w:p>
    <w:p w:rsidR="00504F83" w:rsidRPr="00FD60CA" w:rsidRDefault="00504F83" w:rsidP="008D397F">
      <w:pPr>
        <w:jc w:val="both"/>
      </w:pPr>
      <w:r w:rsidRPr="00FD60CA">
        <w:t xml:space="preserve">Постигнатите от дружеството </w:t>
      </w:r>
      <w:r w:rsidR="008D397F" w:rsidRPr="00FD60CA">
        <w:rPr>
          <w:b/>
        </w:rPr>
        <w:t>финансови показатели</w:t>
      </w:r>
      <w:r w:rsidRPr="00FD60CA">
        <w:t xml:space="preserve"> за</w:t>
      </w:r>
      <w:r w:rsidR="00C54468">
        <w:t xml:space="preserve"> 1-вото </w:t>
      </w:r>
      <w:proofErr w:type="spellStart"/>
      <w:r w:rsidR="00C54468">
        <w:t>шесмесечие</w:t>
      </w:r>
      <w:proofErr w:type="spellEnd"/>
      <w:r w:rsidR="00C54468">
        <w:t xml:space="preserve"> на </w:t>
      </w:r>
      <w:r w:rsidRPr="00FD60CA">
        <w:t xml:space="preserve"> </w:t>
      </w:r>
      <w:r w:rsidR="00AC15BC" w:rsidRPr="00FD60CA">
        <w:t>201</w:t>
      </w:r>
      <w:r w:rsidR="00C54468">
        <w:t>7</w:t>
      </w:r>
      <w:r w:rsidR="00AC15BC" w:rsidRPr="00FD60CA">
        <w:t>г.</w:t>
      </w:r>
      <w:r w:rsidRPr="00FD60CA">
        <w:t xml:space="preserve"> спрямо</w:t>
      </w:r>
      <w:r w:rsidR="00C54468">
        <w:t xml:space="preserve"> същия период на </w:t>
      </w:r>
      <w:r w:rsidRPr="00FD60CA">
        <w:t xml:space="preserve"> 201</w:t>
      </w:r>
      <w:r w:rsidR="00C54468">
        <w:t>6</w:t>
      </w:r>
      <w:r w:rsidRPr="00FD60CA">
        <w:t xml:space="preserve"> г. са както следва:</w:t>
      </w:r>
    </w:p>
    <w:tbl>
      <w:tblPr>
        <w:tblW w:w="1043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60"/>
        <w:gridCol w:w="6537"/>
        <w:gridCol w:w="837"/>
        <w:gridCol w:w="837"/>
        <w:gridCol w:w="938"/>
        <w:gridCol w:w="886"/>
      </w:tblGrid>
      <w:tr w:rsidR="00A82028" w:rsidRPr="00FD60CA" w:rsidTr="001648DD">
        <w:trPr>
          <w:trHeight w:val="300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28" w:rsidRPr="00FD60CA" w:rsidRDefault="00A82028" w:rsidP="00A82028">
            <w:pPr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bg-BG"/>
              </w:rPr>
              <w:t>(хил.лв.)</w:t>
            </w:r>
          </w:p>
        </w:tc>
      </w:tr>
      <w:tr w:rsidR="00A82028" w:rsidRPr="00FD60CA" w:rsidTr="001648DD">
        <w:trPr>
          <w:trHeight w:val="244"/>
        </w:trPr>
        <w:tc>
          <w:tcPr>
            <w:tcW w:w="343" w:type="dxa"/>
            <w:vMerge w:val="restart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center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N:</w:t>
            </w:r>
          </w:p>
        </w:tc>
        <w:tc>
          <w:tcPr>
            <w:tcW w:w="6597" w:type="dxa"/>
            <w:gridSpan w:val="2"/>
            <w:vMerge w:val="restart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center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Показатели:</w:t>
            </w:r>
          </w:p>
        </w:tc>
        <w:tc>
          <w:tcPr>
            <w:tcW w:w="837" w:type="dxa"/>
            <w:vMerge w:val="restart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423E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37" w:type="dxa"/>
            <w:vMerge w:val="restart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423E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824" w:type="dxa"/>
            <w:gridSpan w:val="2"/>
            <w:vMerge w:val="restart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2016/2015</w:t>
            </w:r>
          </w:p>
        </w:tc>
      </w:tr>
      <w:tr w:rsidR="00A82028" w:rsidRPr="00FD60CA" w:rsidTr="001648DD">
        <w:trPr>
          <w:trHeight w:val="244"/>
        </w:trPr>
        <w:tc>
          <w:tcPr>
            <w:tcW w:w="343" w:type="dxa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6597" w:type="dxa"/>
            <w:gridSpan w:val="2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837" w:type="dxa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837" w:type="dxa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1824" w:type="dxa"/>
            <w:gridSpan w:val="2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</w:tr>
      <w:tr w:rsidR="00A82028" w:rsidRPr="00FD60CA" w:rsidTr="001648DD">
        <w:trPr>
          <w:trHeight w:val="270"/>
        </w:trPr>
        <w:tc>
          <w:tcPr>
            <w:tcW w:w="343" w:type="dxa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6597" w:type="dxa"/>
            <w:gridSpan w:val="2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година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година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стойност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процент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Финансов резултат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100.0%</w:t>
            </w:r>
          </w:p>
        </w:tc>
      </w:tr>
      <w:tr w:rsidR="001648DD" w:rsidRPr="00FD60CA" w:rsidTr="001648DD">
        <w:trPr>
          <w:trHeight w:val="25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Нетни приходи от продажби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578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-2.7%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Общо приходи от оперативна дейност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602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619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-17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-2.7%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Общо приходи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602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619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-17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-2.7%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Общо разходи за оперативна дейност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602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619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-17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-2.7%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Общо разходи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595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619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-24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-3.9%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Собствен капитал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463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-1.1%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Пасиви (дългосрочни и краткосрочни)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-7.7%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Обща сума на активите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324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345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-21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-6.1%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Краткотрайни активи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287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-11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-3.7%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Краткосрочни задължения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133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-11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-7.6%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Краткосрочни вземания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159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149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6.7%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Краткосрочни финансови активи (без парични средства)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Парични средства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134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-10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-6.9%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Материални запаси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0.0%</w:t>
            </w:r>
          </w:p>
        </w:tc>
      </w:tr>
      <w:tr w:rsidR="001648DD" w:rsidRPr="00FD60CA" w:rsidTr="001648DD">
        <w:trPr>
          <w:trHeight w:val="285"/>
        </w:trPr>
        <w:tc>
          <w:tcPr>
            <w:tcW w:w="34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Дългосрочни задължения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45.8%</w:t>
            </w:r>
          </w:p>
        </w:tc>
      </w:tr>
      <w:tr w:rsidR="00A82028" w:rsidRPr="00FD60CA" w:rsidTr="001648DD">
        <w:trPr>
          <w:trHeight w:val="285"/>
        </w:trPr>
        <w:tc>
          <w:tcPr>
            <w:tcW w:w="10438" w:type="dxa"/>
            <w:gridSpan w:val="7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Рентабилност: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рентабилност на приходите от продажби (1/2)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0.0104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0.0104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100.0%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рентабилност на собствения капитал (1/7)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0.0130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0.0130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100.0%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рентабилност на пасивите (1/8)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0.0335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0.0335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100.0%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капитализация на активите (1/9)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0.0185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0.0185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100.0%</w:t>
            </w:r>
          </w:p>
        </w:tc>
      </w:tr>
      <w:tr w:rsidR="00A82028" w:rsidRPr="00FD60CA" w:rsidTr="001648DD">
        <w:trPr>
          <w:trHeight w:val="285"/>
        </w:trPr>
        <w:tc>
          <w:tcPr>
            <w:tcW w:w="10438" w:type="dxa"/>
            <w:gridSpan w:val="7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Ефективност: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ефективност на разходите (4/6)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1.0118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0.0118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1.2%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Коефициент на ефективност на разходите от оперативна дейност (3/5)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1.0000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0.0000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0.0%</w:t>
            </w:r>
          </w:p>
        </w:tc>
      </w:tr>
      <w:tr w:rsidR="00A82028" w:rsidRPr="00FD60CA" w:rsidTr="001648DD">
        <w:trPr>
          <w:trHeight w:val="285"/>
        </w:trPr>
        <w:tc>
          <w:tcPr>
            <w:tcW w:w="10438" w:type="dxa"/>
            <w:gridSpan w:val="7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A82028" w:rsidRPr="00FD60CA" w:rsidRDefault="00A82028" w:rsidP="00A820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Ликвидност: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обща ликвидност (10/11)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2.1579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2.0694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0.0885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4.3%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бърза ликвидност  (12+13+14)/11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2.2030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2.0347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0.1683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8.3%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незабавна ликвидност (13+14)/11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1.0075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0.0075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0.8%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абсолютна ликвидност (14/11)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1.0075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1.0000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0.0075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0.8%</w:t>
            </w:r>
          </w:p>
        </w:tc>
      </w:tr>
      <w:tr w:rsidR="007F5008" w:rsidRPr="00FD60CA" w:rsidTr="001648DD">
        <w:trPr>
          <w:trHeight w:val="285"/>
        </w:trPr>
        <w:tc>
          <w:tcPr>
            <w:tcW w:w="10438" w:type="dxa"/>
            <w:gridSpan w:val="7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7F5008" w:rsidRPr="00FD60CA" w:rsidRDefault="007F5008" w:rsidP="007F5008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color w:val="FFFFFF"/>
                <w:sz w:val="20"/>
                <w:szCs w:val="20"/>
              </w:rPr>
              <w:t>Финансова автономност: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lastRenderedPageBreak/>
              <w:t>27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финансова автономност (7/8)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2.5866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2.4124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0.1742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7.2%</w:t>
            </w:r>
          </w:p>
        </w:tc>
      </w:tr>
      <w:tr w:rsidR="001648DD" w:rsidRPr="00FD60CA" w:rsidTr="001648DD">
        <w:trPr>
          <w:trHeight w:val="285"/>
        </w:trPr>
        <w:tc>
          <w:tcPr>
            <w:tcW w:w="403" w:type="dxa"/>
            <w:gridSpan w:val="2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jc w:val="center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65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Коеф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>. на платежоспособност (9/8)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1.8101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1.7784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0.0317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1.8%</w:t>
            </w:r>
          </w:p>
        </w:tc>
      </w:tr>
    </w:tbl>
    <w:p w:rsidR="00A82028" w:rsidRPr="00FD60CA" w:rsidRDefault="00A82028" w:rsidP="008D397F">
      <w:pPr>
        <w:jc w:val="center"/>
        <w:rPr>
          <w:noProof/>
          <w:lang w:eastAsia="bg-BG"/>
        </w:rPr>
      </w:pPr>
    </w:p>
    <w:p w:rsidR="00FB5904" w:rsidRPr="00FD60CA" w:rsidRDefault="00FB5904" w:rsidP="002A1079">
      <w:pPr>
        <w:tabs>
          <w:tab w:val="left" w:pos="180"/>
        </w:tabs>
        <w:ind w:left="180" w:right="114"/>
        <w:jc w:val="both"/>
        <w:rPr>
          <w:color w:val="000000"/>
        </w:rPr>
      </w:pPr>
    </w:p>
    <w:p w:rsidR="00A82028" w:rsidRPr="00FD60CA" w:rsidRDefault="001648DD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1D9769BD" wp14:editId="6D99947C">
            <wp:extent cx="4922693" cy="2679989"/>
            <wp:effectExtent l="57150" t="19050" r="49530" b="101600"/>
            <wp:docPr id="21" name="Ди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2028" w:rsidRPr="00FD60CA" w:rsidRDefault="00A82028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</w:p>
    <w:p w:rsidR="00A82028" w:rsidRPr="00FD60CA" w:rsidRDefault="001648DD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6A6B82DD" wp14:editId="39FD5B87">
            <wp:extent cx="5082887" cy="2901662"/>
            <wp:effectExtent l="57150" t="19050" r="60960" b="89535"/>
            <wp:docPr id="22" name="Ди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2028" w:rsidRPr="00FD60CA" w:rsidRDefault="001648DD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 wp14:anchorId="6FB3D8CC" wp14:editId="12C44224">
            <wp:extent cx="5081154" cy="2660939"/>
            <wp:effectExtent l="57150" t="19050" r="62865" b="101600"/>
            <wp:docPr id="23" name="Ди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15BC" w:rsidRPr="00FD60CA" w:rsidRDefault="00AC15BC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</w:p>
    <w:p w:rsidR="00A82028" w:rsidRPr="00FD60CA" w:rsidRDefault="001648DD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5155BE2F" wp14:editId="52721251">
            <wp:extent cx="5090679" cy="2711161"/>
            <wp:effectExtent l="57150" t="19050" r="53340" b="89535"/>
            <wp:docPr id="24" name="Диагра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2028" w:rsidRPr="00FD60CA" w:rsidRDefault="00A82028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</w:p>
    <w:p w:rsidR="00A82028" w:rsidRPr="00FD60CA" w:rsidRDefault="001648DD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 wp14:anchorId="085FF91C" wp14:editId="271D47FD">
            <wp:extent cx="5100204" cy="2738870"/>
            <wp:effectExtent l="57150" t="19050" r="62865" b="99695"/>
            <wp:docPr id="25" name="Диагра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2028" w:rsidRPr="00FD60CA" w:rsidRDefault="001648DD" w:rsidP="00A82028">
      <w:pPr>
        <w:tabs>
          <w:tab w:val="left" w:pos="180"/>
        </w:tabs>
        <w:ind w:left="180" w:right="114"/>
        <w:jc w:val="cent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40679960" wp14:editId="31CE5BD6">
            <wp:extent cx="5073362" cy="2873086"/>
            <wp:effectExtent l="57150" t="19050" r="51435" b="99060"/>
            <wp:docPr id="26" name="Диагра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2028" w:rsidRPr="00FD60CA" w:rsidRDefault="00A82028" w:rsidP="00FB5904">
      <w:pPr>
        <w:tabs>
          <w:tab w:val="left" w:pos="180"/>
        </w:tabs>
        <w:ind w:left="180" w:right="114"/>
        <w:jc w:val="both"/>
        <w:rPr>
          <w:b/>
        </w:rPr>
      </w:pPr>
    </w:p>
    <w:p w:rsidR="00F06578" w:rsidRPr="00FD60CA" w:rsidRDefault="00F06578" w:rsidP="008D397F">
      <w:pPr>
        <w:jc w:val="center"/>
        <w:rPr>
          <w:noProof/>
          <w:lang w:eastAsia="bg-BG"/>
        </w:rPr>
      </w:pPr>
    </w:p>
    <w:p w:rsidR="007314E1" w:rsidRPr="00FD60CA" w:rsidRDefault="001648DD" w:rsidP="008D397F">
      <w:pPr>
        <w:jc w:val="center"/>
        <w:rPr>
          <w:noProof/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 wp14:anchorId="2059BE09" wp14:editId="73F7FF4F">
            <wp:extent cx="4676775" cy="2676525"/>
            <wp:effectExtent l="57150" t="19050" r="47625" b="85725"/>
            <wp:docPr id="28" name="Диагра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14E1" w:rsidRPr="00FD60CA" w:rsidRDefault="001648DD" w:rsidP="008D397F">
      <w:pPr>
        <w:jc w:val="cent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45D495F0" wp14:editId="2ADF520C">
            <wp:extent cx="4676775" cy="2619375"/>
            <wp:effectExtent l="57150" t="19050" r="47625" b="85725"/>
            <wp:docPr id="285" name="Диаграма 2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314E1" w:rsidRDefault="007314E1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Default="001648DD" w:rsidP="008D397F">
      <w:pPr>
        <w:jc w:val="center"/>
        <w:rPr>
          <w:noProof/>
          <w:lang w:val="en-US" w:eastAsia="bg-BG"/>
        </w:rPr>
      </w:pPr>
    </w:p>
    <w:p w:rsidR="001648DD" w:rsidRPr="001648DD" w:rsidRDefault="001648DD" w:rsidP="008D397F">
      <w:pPr>
        <w:jc w:val="center"/>
        <w:rPr>
          <w:noProof/>
          <w:lang w:val="en-US" w:eastAsia="bg-BG"/>
        </w:rPr>
      </w:pPr>
    </w:p>
    <w:p w:rsidR="00CA67F6" w:rsidRPr="00FD60CA" w:rsidRDefault="00CA67F6" w:rsidP="002228B1">
      <w:pPr>
        <w:numPr>
          <w:ilvl w:val="0"/>
          <w:numId w:val="22"/>
        </w:numPr>
        <w:tabs>
          <w:tab w:val="left" w:pos="426"/>
        </w:tabs>
        <w:ind w:hanging="4973"/>
        <w:jc w:val="both"/>
        <w:rPr>
          <w:b/>
          <w:color w:val="E36C0A"/>
        </w:rPr>
      </w:pPr>
      <w:r w:rsidRPr="00FD60CA">
        <w:rPr>
          <w:b/>
          <w:color w:val="E36C0A"/>
        </w:rPr>
        <w:lastRenderedPageBreak/>
        <w:t>Нефинансови показатели</w:t>
      </w:r>
    </w:p>
    <w:p w:rsidR="00492B1F" w:rsidRPr="00FD60CA" w:rsidRDefault="00A21F5D" w:rsidP="002228B1">
      <w:pPr>
        <w:numPr>
          <w:ilvl w:val="0"/>
          <w:numId w:val="6"/>
        </w:numPr>
        <w:ind w:left="993" w:hanging="284"/>
        <w:rPr>
          <w:b/>
        </w:rPr>
      </w:pPr>
      <w:r w:rsidRPr="00FD60CA">
        <w:rPr>
          <w:b/>
        </w:rPr>
        <w:t xml:space="preserve">         </w:t>
      </w:r>
      <w:r w:rsidR="00535FFF" w:rsidRPr="00FD60CA">
        <w:rPr>
          <w:b/>
        </w:rPr>
        <w:t>Организационна структура</w:t>
      </w:r>
    </w:p>
    <w:p w:rsidR="00724729" w:rsidRPr="00FD60CA" w:rsidRDefault="006E085E" w:rsidP="00724729">
      <w:pPr>
        <w:rPr>
          <w:b/>
          <w:sz w:val="24"/>
          <w:szCs w:val="24"/>
        </w:rPr>
      </w:pPr>
      <w:r w:rsidRPr="00FD60CA">
        <w:rPr>
          <w:noProof/>
          <w:lang w:eastAsia="bg-BG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161925</wp:posOffset>
            </wp:positionV>
            <wp:extent cx="6029325" cy="4476750"/>
            <wp:effectExtent l="0" t="0" r="0" b="0"/>
            <wp:wrapSquare wrapText="bothSides"/>
            <wp:docPr id="281" name="Картина 281" descr="Заснеман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Заснемане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FFF" w:rsidRPr="00FD60CA" w:rsidRDefault="00535FFF" w:rsidP="002228B1">
      <w:pPr>
        <w:numPr>
          <w:ilvl w:val="0"/>
          <w:numId w:val="6"/>
        </w:numPr>
        <w:ind w:left="993" w:hanging="284"/>
        <w:rPr>
          <w:b/>
        </w:rPr>
      </w:pPr>
      <w:r w:rsidRPr="00FD60CA">
        <w:rPr>
          <w:b/>
        </w:rPr>
        <w:t>Численост и структура на персонала:</w:t>
      </w:r>
    </w:p>
    <w:tbl>
      <w:tblPr>
        <w:tblW w:w="838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960"/>
        <w:gridCol w:w="960"/>
      </w:tblGrid>
      <w:tr w:rsidR="00B40764" w:rsidRPr="00FD60CA">
        <w:trPr>
          <w:trHeight w:val="255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jc w:val="right"/>
              <w:rPr>
                <w:rFonts w:eastAsia="Times New Roman" w:cs="Calibri"/>
                <w:i/>
                <w:iCs/>
                <w:sz w:val="16"/>
                <w:szCs w:val="16"/>
                <w:lang w:eastAsia="bg-BG"/>
              </w:rPr>
            </w:pPr>
            <w:r w:rsidRPr="00FD60CA">
              <w:rPr>
                <w:rFonts w:eastAsia="Times New Roman" w:cs="Calibri"/>
                <w:i/>
                <w:iCs/>
                <w:sz w:val="16"/>
                <w:szCs w:val="16"/>
                <w:lang w:eastAsia="bg-BG"/>
              </w:rPr>
              <w:t>(брой)</w:t>
            </w:r>
          </w:p>
        </w:tc>
      </w:tr>
      <w:tr w:rsidR="00B40764" w:rsidRPr="00FD60CA" w:rsidTr="00AC15BC">
        <w:trPr>
          <w:trHeight w:val="285"/>
        </w:trPr>
        <w:tc>
          <w:tcPr>
            <w:tcW w:w="6460" w:type="dxa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</w:tcPr>
          <w:p w:rsidR="00B40764" w:rsidRPr="00FD60CA" w:rsidRDefault="00B40764" w:rsidP="00B40764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96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B40764" w:rsidRPr="00025BB0" w:rsidRDefault="00B40764" w:rsidP="00025BB0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201</w:t>
            </w:r>
            <w:r w:rsidR="00025B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96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B40764" w:rsidRPr="00025BB0" w:rsidRDefault="00B40764" w:rsidP="00025BB0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201</w:t>
            </w:r>
            <w:r w:rsidR="00025B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 w:eastAsia="bg-BG"/>
              </w:rPr>
              <w:t>6</w:t>
            </w:r>
          </w:p>
        </w:tc>
      </w:tr>
      <w:tr w:rsidR="007F5008" w:rsidRPr="00FD60CA">
        <w:trPr>
          <w:trHeight w:val="285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</w:tcPr>
          <w:p w:rsidR="007F5008" w:rsidRPr="00FD60CA" w:rsidRDefault="007F500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Общо, в т.ч.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</w:tcPr>
          <w:p w:rsidR="007F5008" w:rsidRPr="00025BB0" w:rsidRDefault="00025BB0">
            <w:pPr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ABF8F"/>
          </w:tcPr>
          <w:p w:rsidR="007F5008" w:rsidRPr="00FD60CA" w:rsidRDefault="007F500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57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Ръководители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9E1DAD" w:rsidRDefault="009E1DAD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Специалисти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9E1DAD" w:rsidRDefault="009E1DAD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38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Техници и приложни специалисти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025BB0" w:rsidRDefault="00025BB0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7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Помощен административен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025BB0" w:rsidRDefault="00025BB0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Персонал, зает с услуги за населението, търговията и охраната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025BB0" w:rsidRDefault="00025BB0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3</w:t>
            </w:r>
          </w:p>
        </w:tc>
      </w:tr>
      <w:tr w:rsidR="007F5008" w:rsidRPr="00FD60CA">
        <w:trPr>
          <w:trHeight w:val="57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Квалифицирани работници в селското, горското, ловното и рибното стопанство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Квалифицирани работници и сродни на тях занаятчии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Машинни оператори и монтажници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1</w:t>
            </w:r>
          </w:p>
        </w:tc>
      </w:tr>
      <w:tr w:rsidR="007F5008" w:rsidRPr="00FD60CA">
        <w:trPr>
          <w:trHeight w:val="300"/>
        </w:trPr>
        <w:tc>
          <w:tcPr>
            <w:tcW w:w="646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vAlign w:val="bottom"/>
          </w:tcPr>
          <w:p w:rsidR="007F5008" w:rsidRPr="00FD60CA" w:rsidRDefault="007F5008">
            <w:pPr>
              <w:rPr>
                <w:rFonts w:cs="Calibri"/>
                <w:color w:val="000000"/>
                <w:sz w:val="20"/>
                <w:szCs w:val="20"/>
              </w:rPr>
            </w:pPr>
            <w:r w:rsidRPr="00FD60CA">
              <w:rPr>
                <w:rFonts w:cs="Calibri"/>
                <w:color w:val="000000"/>
                <w:sz w:val="20"/>
                <w:szCs w:val="20"/>
              </w:rPr>
              <w:t>Професии, неизискващи специална квалификация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025BB0" w:rsidRDefault="00025BB0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vAlign w:val="center"/>
          </w:tcPr>
          <w:p w:rsidR="007F5008" w:rsidRPr="00FD60CA" w:rsidRDefault="007F5008">
            <w:pPr>
              <w:jc w:val="right"/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B40764" w:rsidRPr="00FD60CA" w:rsidRDefault="001648DD" w:rsidP="00535FFF">
      <w:pPr>
        <w:jc w:val="center"/>
        <w:rPr>
          <w:b/>
          <w:sz w:val="24"/>
          <w:szCs w:val="24"/>
        </w:rPr>
      </w:pPr>
      <w:r>
        <w:rPr>
          <w:noProof/>
          <w:lang w:eastAsia="bg-BG"/>
        </w:rPr>
        <w:lastRenderedPageBreak/>
        <w:drawing>
          <wp:inline distT="0" distB="0" distL="0" distR="0" wp14:anchorId="28ED788A" wp14:editId="6A58FD71">
            <wp:extent cx="5114925" cy="3324225"/>
            <wp:effectExtent l="57150" t="0" r="47625" b="104775"/>
            <wp:docPr id="286" name="Диаграма 2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40764" w:rsidRPr="00FD60CA" w:rsidRDefault="00B40764" w:rsidP="00535FFF">
      <w:pPr>
        <w:jc w:val="center"/>
        <w:rPr>
          <w:b/>
          <w:sz w:val="24"/>
          <w:szCs w:val="24"/>
        </w:rPr>
      </w:pPr>
    </w:p>
    <w:p w:rsidR="00382855" w:rsidRPr="00FD60CA" w:rsidRDefault="00382855" w:rsidP="002228B1">
      <w:pPr>
        <w:numPr>
          <w:ilvl w:val="0"/>
          <w:numId w:val="6"/>
        </w:numPr>
        <w:ind w:left="993" w:hanging="284"/>
        <w:rPr>
          <w:b/>
        </w:rPr>
      </w:pPr>
      <w:r w:rsidRPr="00FD60CA">
        <w:rPr>
          <w:b/>
        </w:rPr>
        <w:t>Производителност на труда:</w:t>
      </w:r>
    </w:p>
    <w:p w:rsidR="00B40764" w:rsidRPr="00FD60CA" w:rsidRDefault="00B40764" w:rsidP="00B40764">
      <w:pPr>
        <w:rPr>
          <w:b/>
        </w:rPr>
      </w:pPr>
    </w:p>
    <w:tbl>
      <w:tblPr>
        <w:tblW w:w="78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3"/>
        <w:gridCol w:w="1243"/>
        <w:gridCol w:w="1244"/>
      </w:tblGrid>
      <w:tr w:rsidR="00B40764" w:rsidRPr="00FD60CA" w:rsidTr="00EF0B57">
        <w:trPr>
          <w:trHeight w:val="27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  <w:t>(лева)</w:t>
            </w:r>
          </w:p>
        </w:tc>
      </w:tr>
      <w:tr w:rsidR="00B40764" w:rsidRPr="00FD60CA" w:rsidTr="00EF0B57">
        <w:trPr>
          <w:trHeight w:val="338"/>
        </w:trPr>
        <w:tc>
          <w:tcPr>
            <w:tcW w:w="7880" w:type="dxa"/>
            <w:gridSpan w:val="3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B40764" w:rsidRPr="00FD60CA" w:rsidRDefault="00B40764" w:rsidP="00B40764">
            <w:pPr>
              <w:jc w:val="center"/>
              <w:rPr>
                <w:rFonts w:eastAsia="Times New Roman" w:cs="Calibri"/>
                <w:b/>
                <w:bCs/>
                <w:color w:val="FFFFFF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lang w:eastAsia="bg-BG"/>
              </w:rPr>
              <w:t xml:space="preserve">Производителност на труда </w:t>
            </w:r>
          </w:p>
        </w:tc>
      </w:tr>
      <w:tr w:rsidR="007F5008" w:rsidRPr="00FD60CA" w:rsidTr="00EF0B57">
        <w:trPr>
          <w:trHeight w:val="292"/>
        </w:trPr>
        <w:tc>
          <w:tcPr>
            <w:tcW w:w="539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7F5008" w:rsidRPr="00FD60CA" w:rsidRDefault="007F5008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Години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7F5008" w:rsidRPr="00FD60CA" w:rsidRDefault="007F5008" w:rsidP="00423E2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201</w:t>
            </w:r>
            <w:r w:rsidR="00423E28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7F5008" w:rsidRPr="00FD60CA" w:rsidRDefault="007F5008" w:rsidP="00423E2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201</w:t>
            </w:r>
            <w:r w:rsidR="00423E28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1648DD" w:rsidRPr="00FD60CA" w:rsidTr="00EF0B57">
        <w:trPr>
          <w:trHeight w:val="292"/>
        </w:trPr>
        <w:tc>
          <w:tcPr>
            <w:tcW w:w="539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Средносписъчен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 xml:space="preserve"> състав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Pr="004173AE" w:rsidRDefault="004173AE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Pr="004173AE" w:rsidRDefault="004173AE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57</w:t>
            </w:r>
          </w:p>
        </w:tc>
      </w:tr>
      <w:tr w:rsidR="001648DD" w:rsidRPr="00FD60CA" w:rsidTr="00EF0B57">
        <w:trPr>
          <w:trHeight w:val="292"/>
        </w:trPr>
        <w:tc>
          <w:tcPr>
            <w:tcW w:w="539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Нетни приходи от продажби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602 591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609 864</w:t>
            </w:r>
          </w:p>
        </w:tc>
      </w:tr>
      <w:tr w:rsidR="001648DD" w:rsidRPr="00FD60CA" w:rsidTr="00EF0B57">
        <w:trPr>
          <w:trHeight w:val="292"/>
        </w:trPr>
        <w:tc>
          <w:tcPr>
            <w:tcW w:w="5393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 xml:space="preserve">Нетни приходи от продажби / 1 лице 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10572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10515</w:t>
            </w:r>
          </w:p>
        </w:tc>
      </w:tr>
      <w:tr w:rsidR="00A35A1A" w:rsidRPr="00FD60CA" w:rsidTr="00EF0B57">
        <w:trPr>
          <w:trHeight w:val="115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1A" w:rsidRPr="00FD60CA" w:rsidRDefault="00A35A1A" w:rsidP="00A35A1A">
            <w:pPr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1A" w:rsidRPr="00FD60CA" w:rsidRDefault="00A35A1A" w:rsidP="00A35A1A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1A" w:rsidRPr="00FD60CA" w:rsidRDefault="00A35A1A" w:rsidP="00A35A1A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</w:p>
        </w:tc>
      </w:tr>
    </w:tbl>
    <w:p w:rsidR="00A35A1A" w:rsidRPr="00FD60CA" w:rsidRDefault="001648DD" w:rsidP="00535FFF">
      <w:pPr>
        <w:jc w:val="cent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13D13F64" wp14:editId="1DCAC5F3">
            <wp:extent cx="4676775" cy="2847975"/>
            <wp:effectExtent l="57150" t="19050" r="47625" b="85725"/>
            <wp:docPr id="287" name="Диаграма 2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63EC2" w:rsidRPr="00FD60CA" w:rsidRDefault="00382855" w:rsidP="002228B1">
      <w:pPr>
        <w:numPr>
          <w:ilvl w:val="0"/>
          <w:numId w:val="6"/>
        </w:numPr>
        <w:ind w:left="993" w:hanging="284"/>
        <w:rPr>
          <w:b/>
        </w:rPr>
      </w:pPr>
      <w:r w:rsidRPr="00FD60CA">
        <w:rPr>
          <w:b/>
        </w:rPr>
        <w:lastRenderedPageBreak/>
        <w:t>Рентабилност на труда:</w:t>
      </w:r>
    </w:p>
    <w:p w:rsidR="009E1D2E" w:rsidRPr="00FD60CA" w:rsidRDefault="009E1D2E" w:rsidP="009E1D2E">
      <w:pPr>
        <w:ind w:left="349"/>
        <w:rPr>
          <w:b/>
        </w:rPr>
      </w:pPr>
    </w:p>
    <w:tbl>
      <w:tblPr>
        <w:tblW w:w="694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180"/>
        <w:gridCol w:w="1180"/>
      </w:tblGrid>
      <w:tr w:rsidR="00B40764" w:rsidRPr="00FD60CA">
        <w:trPr>
          <w:trHeight w:val="27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764" w:rsidRPr="00FD60CA" w:rsidRDefault="00B40764" w:rsidP="00B40764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  <w:t>(лева)</w:t>
            </w:r>
          </w:p>
        </w:tc>
      </w:tr>
      <w:tr w:rsidR="00B40764" w:rsidRPr="00FD60CA" w:rsidTr="00AC15BC">
        <w:trPr>
          <w:trHeight w:val="270"/>
        </w:trPr>
        <w:tc>
          <w:tcPr>
            <w:tcW w:w="6940" w:type="dxa"/>
            <w:gridSpan w:val="3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B40764" w:rsidRPr="00FD60CA" w:rsidRDefault="00B40764" w:rsidP="00B40764">
            <w:pPr>
              <w:jc w:val="center"/>
              <w:rPr>
                <w:rFonts w:eastAsia="Times New Roman" w:cs="Calibri"/>
                <w:b/>
                <w:bCs/>
                <w:color w:val="FFFFFF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lang w:eastAsia="bg-BG"/>
              </w:rPr>
              <w:t xml:space="preserve">Рентабилност на труда </w:t>
            </w:r>
          </w:p>
        </w:tc>
      </w:tr>
      <w:tr w:rsidR="007F5008" w:rsidRPr="00FD60CA">
        <w:trPr>
          <w:trHeight w:val="25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7F5008" w:rsidRPr="00FD60CA" w:rsidRDefault="007F5008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Години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7F5008" w:rsidRPr="00FD60CA" w:rsidRDefault="007F5008" w:rsidP="00423E2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201</w:t>
            </w:r>
            <w:r w:rsidR="00423E28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7F5008" w:rsidRPr="00FD60CA" w:rsidRDefault="007F5008" w:rsidP="00423E2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201</w:t>
            </w:r>
            <w:r w:rsidR="00423E28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1648DD" w:rsidRPr="00FD60CA">
        <w:trPr>
          <w:trHeight w:val="28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D60CA">
              <w:rPr>
                <w:rFonts w:cs="Calibri"/>
                <w:sz w:val="20"/>
                <w:szCs w:val="20"/>
              </w:rPr>
              <w:t>Средносписъчен</w:t>
            </w:r>
            <w:proofErr w:type="spellEnd"/>
            <w:r w:rsidRPr="00FD60CA">
              <w:rPr>
                <w:rFonts w:cs="Calibri"/>
                <w:sz w:val="20"/>
                <w:szCs w:val="20"/>
              </w:rPr>
              <w:t xml:space="preserve"> състав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Pr="004173AE" w:rsidRDefault="004173AE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Pr="004173AE" w:rsidRDefault="004173AE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57</w:t>
            </w:r>
          </w:p>
        </w:tc>
      </w:tr>
      <w:tr w:rsidR="001648DD" w:rsidRPr="00FD60CA">
        <w:trPr>
          <w:trHeight w:val="28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000000" w:fill="FFFFFF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Финансов резултат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6 485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1648DD" w:rsidRPr="00FD60CA">
        <w:trPr>
          <w:trHeight w:val="28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000000" w:fill="FFFFFF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 xml:space="preserve">Финансов резултат / 1 лице 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A35A1A" w:rsidRPr="00FD60CA" w:rsidRDefault="00A35A1A" w:rsidP="00535FFF">
      <w:pPr>
        <w:jc w:val="center"/>
        <w:rPr>
          <w:noProof/>
          <w:lang w:eastAsia="bg-BG"/>
        </w:rPr>
      </w:pPr>
    </w:p>
    <w:p w:rsidR="00AC15BC" w:rsidRPr="00FD60CA" w:rsidRDefault="00AC15BC" w:rsidP="00535FFF">
      <w:pPr>
        <w:jc w:val="center"/>
        <w:rPr>
          <w:noProof/>
          <w:lang w:eastAsia="bg-BG"/>
        </w:rPr>
      </w:pPr>
    </w:p>
    <w:p w:rsidR="009E1D2E" w:rsidRPr="00FD60CA" w:rsidRDefault="001648DD" w:rsidP="00535FFF">
      <w:pPr>
        <w:jc w:val="cent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7246776A" wp14:editId="4707595D">
            <wp:extent cx="4676775" cy="2962275"/>
            <wp:effectExtent l="57150" t="19050" r="47625" b="85725"/>
            <wp:docPr id="288" name="Диагра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35A1A" w:rsidRPr="00FD60CA" w:rsidRDefault="00A35A1A" w:rsidP="00535FFF">
      <w:pPr>
        <w:jc w:val="center"/>
        <w:rPr>
          <w:noProof/>
          <w:lang w:eastAsia="bg-BG"/>
        </w:rPr>
      </w:pPr>
    </w:p>
    <w:p w:rsidR="00163EC2" w:rsidRPr="00FD60CA" w:rsidRDefault="00163EC2" w:rsidP="002228B1">
      <w:pPr>
        <w:numPr>
          <w:ilvl w:val="0"/>
          <w:numId w:val="6"/>
        </w:numPr>
        <w:ind w:left="993" w:hanging="284"/>
        <w:rPr>
          <w:b/>
        </w:rPr>
      </w:pPr>
      <w:r w:rsidRPr="00FD60CA">
        <w:rPr>
          <w:b/>
        </w:rPr>
        <w:t xml:space="preserve">Издръжка на едно лице от </w:t>
      </w:r>
      <w:proofErr w:type="spellStart"/>
      <w:r w:rsidRPr="00FD60CA">
        <w:rPr>
          <w:b/>
        </w:rPr>
        <w:t>средносписъчния</w:t>
      </w:r>
      <w:proofErr w:type="spellEnd"/>
      <w:r w:rsidRPr="00FD60CA">
        <w:rPr>
          <w:b/>
        </w:rPr>
        <w:t xml:space="preserve"> състав на персонала:</w:t>
      </w:r>
    </w:p>
    <w:p w:rsidR="00163EC2" w:rsidRPr="00FD60CA" w:rsidRDefault="00163EC2" w:rsidP="00163EC2">
      <w:pPr>
        <w:ind w:left="349"/>
        <w:rPr>
          <w:b/>
          <w:sz w:val="24"/>
          <w:szCs w:val="24"/>
        </w:rPr>
      </w:pPr>
    </w:p>
    <w:tbl>
      <w:tblPr>
        <w:tblW w:w="694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180"/>
        <w:gridCol w:w="1180"/>
      </w:tblGrid>
      <w:tr w:rsidR="009E1D2E" w:rsidRPr="00FD60CA">
        <w:trPr>
          <w:trHeight w:val="27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2E" w:rsidRPr="00FD60CA" w:rsidRDefault="009E1D2E" w:rsidP="009E1D2E">
            <w:pPr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2E" w:rsidRPr="00FD60CA" w:rsidRDefault="009E1D2E" w:rsidP="009E1D2E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2E" w:rsidRPr="00FD60CA" w:rsidRDefault="009E1D2E" w:rsidP="009E1D2E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  <w:t>(лева)</w:t>
            </w:r>
          </w:p>
        </w:tc>
      </w:tr>
      <w:tr w:rsidR="009E1D2E" w:rsidRPr="00FD60CA" w:rsidTr="00AC15BC">
        <w:trPr>
          <w:trHeight w:val="244"/>
        </w:trPr>
        <w:tc>
          <w:tcPr>
            <w:tcW w:w="6940" w:type="dxa"/>
            <w:gridSpan w:val="3"/>
            <w:vMerge w:val="restart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bottom"/>
          </w:tcPr>
          <w:p w:rsidR="009E1D2E" w:rsidRPr="00FD60CA" w:rsidRDefault="009E1D2E" w:rsidP="009E1D2E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Издръжка на едно лице от </w:t>
            </w:r>
            <w:proofErr w:type="spellStart"/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средносписъчния</w:t>
            </w:r>
            <w:proofErr w:type="spellEnd"/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 xml:space="preserve"> състав на персонала</w:t>
            </w:r>
          </w:p>
        </w:tc>
      </w:tr>
      <w:tr w:rsidR="009E1D2E" w:rsidRPr="00FD60CA" w:rsidTr="00AC15BC">
        <w:trPr>
          <w:trHeight w:val="244"/>
        </w:trPr>
        <w:tc>
          <w:tcPr>
            <w:tcW w:w="6940" w:type="dxa"/>
            <w:gridSpan w:val="3"/>
            <w:vMerge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vAlign w:val="center"/>
          </w:tcPr>
          <w:p w:rsidR="009E1D2E" w:rsidRPr="00FD60CA" w:rsidRDefault="009E1D2E" w:rsidP="009E1D2E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</w:tr>
      <w:tr w:rsidR="007F5008" w:rsidRPr="00FD60CA">
        <w:trPr>
          <w:trHeight w:val="28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7F5008" w:rsidRPr="00FD60CA" w:rsidRDefault="007F5008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Години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7F5008" w:rsidRPr="00FD60CA" w:rsidRDefault="007F5008" w:rsidP="00423E2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201</w:t>
            </w:r>
            <w:r w:rsidR="00423E28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7F5008" w:rsidRPr="00FD60CA" w:rsidRDefault="007F5008" w:rsidP="00423E2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60CA">
              <w:rPr>
                <w:rFonts w:cs="Calibri"/>
                <w:b/>
                <w:bCs/>
                <w:sz w:val="20"/>
                <w:szCs w:val="20"/>
              </w:rPr>
              <w:t>201</w:t>
            </w:r>
            <w:r w:rsidR="00423E28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1648DD" w:rsidRPr="00FD60CA">
        <w:trPr>
          <w:trHeight w:val="28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Персонал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Pr="004173AE" w:rsidRDefault="004173AE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Pr="00DA7313" w:rsidRDefault="00DA7313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57</w:t>
            </w:r>
          </w:p>
        </w:tc>
      </w:tr>
      <w:tr w:rsidR="001648DD" w:rsidRPr="00FD60CA">
        <w:trPr>
          <w:trHeight w:val="28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Възнаграждения и осигуровки*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478 090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DE9D9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476 747</w:t>
            </w:r>
          </w:p>
        </w:tc>
      </w:tr>
      <w:tr w:rsidR="001648DD" w:rsidRPr="00FD60CA">
        <w:trPr>
          <w:trHeight w:val="285"/>
        </w:trPr>
        <w:tc>
          <w:tcPr>
            <w:tcW w:w="458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Издръжка на 1 лице, лв.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8388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8220</w:t>
            </w:r>
          </w:p>
        </w:tc>
      </w:tr>
      <w:tr w:rsidR="009E1D2E" w:rsidRPr="00FD60CA">
        <w:trPr>
          <w:trHeight w:val="285"/>
        </w:trPr>
        <w:tc>
          <w:tcPr>
            <w:tcW w:w="6940" w:type="dxa"/>
            <w:gridSpan w:val="3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9E1D2E" w:rsidRPr="00FD60CA" w:rsidRDefault="009E1D2E" w:rsidP="009E1D2E">
            <w:pPr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  <w:t>* От отчета за приходите и разходите</w:t>
            </w:r>
          </w:p>
        </w:tc>
      </w:tr>
    </w:tbl>
    <w:p w:rsidR="007314E1" w:rsidRPr="00FD60CA" w:rsidRDefault="007314E1" w:rsidP="006C457D">
      <w:pPr>
        <w:rPr>
          <w:noProof/>
          <w:lang w:eastAsia="bg-BG"/>
        </w:rPr>
      </w:pPr>
    </w:p>
    <w:p w:rsidR="00A35A1A" w:rsidRPr="00FD60CA" w:rsidRDefault="00A35A1A" w:rsidP="00535FFF">
      <w:pPr>
        <w:jc w:val="center"/>
        <w:rPr>
          <w:noProof/>
          <w:lang w:eastAsia="bg-BG"/>
        </w:rPr>
      </w:pPr>
    </w:p>
    <w:p w:rsidR="00A35A1A" w:rsidRPr="00FD60CA" w:rsidRDefault="00A35A1A" w:rsidP="00535FFF">
      <w:pPr>
        <w:jc w:val="center"/>
        <w:rPr>
          <w:noProof/>
          <w:lang w:eastAsia="bg-BG"/>
        </w:rPr>
      </w:pPr>
    </w:p>
    <w:p w:rsidR="009E1D2E" w:rsidRPr="00FD60CA" w:rsidRDefault="009E1D2E" w:rsidP="00535FFF">
      <w:pPr>
        <w:jc w:val="center"/>
        <w:rPr>
          <w:noProof/>
          <w:lang w:eastAsia="bg-BG"/>
        </w:rPr>
      </w:pPr>
    </w:p>
    <w:p w:rsidR="009E1D2E" w:rsidRPr="00FD60CA" w:rsidRDefault="009E1D2E" w:rsidP="00535FFF">
      <w:pPr>
        <w:jc w:val="center"/>
        <w:rPr>
          <w:noProof/>
          <w:lang w:eastAsia="bg-BG"/>
        </w:rPr>
      </w:pPr>
    </w:p>
    <w:p w:rsidR="009E1D2E" w:rsidRPr="00FD60CA" w:rsidRDefault="001648DD" w:rsidP="00535FFF">
      <w:pPr>
        <w:jc w:val="center"/>
        <w:rPr>
          <w:noProof/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 wp14:anchorId="7A5F634B" wp14:editId="6A3AEE6B">
            <wp:extent cx="5038725" cy="3038475"/>
            <wp:effectExtent l="57150" t="19050" r="47625" b="85725"/>
            <wp:docPr id="290" name="Диаграма 2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14E1" w:rsidRPr="00FD60CA" w:rsidRDefault="007314E1" w:rsidP="00535FFF">
      <w:pPr>
        <w:jc w:val="center"/>
        <w:rPr>
          <w:noProof/>
          <w:lang w:eastAsia="bg-BG"/>
        </w:rPr>
      </w:pPr>
    </w:p>
    <w:p w:rsidR="007544B6" w:rsidRPr="00FD60CA" w:rsidRDefault="007544B6" w:rsidP="002228B1">
      <w:pPr>
        <w:pStyle w:val="af2"/>
        <w:numPr>
          <w:ilvl w:val="0"/>
          <w:numId w:val="6"/>
        </w:numPr>
        <w:tabs>
          <w:tab w:val="num" w:pos="426"/>
        </w:tabs>
        <w:ind w:right="180"/>
        <w:jc w:val="both"/>
        <w:rPr>
          <w:rFonts w:ascii="Calibri" w:eastAsia="Calibri" w:hAnsi="Calibri"/>
          <w:b/>
          <w:sz w:val="22"/>
          <w:szCs w:val="22"/>
        </w:rPr>
      </w:pPr>
      <w:r w:rsidRPr="00FD60CA">
        <w:rPr>
          <w:rFonts w:ascii="Calibri" w:eastAsia="Calibri" w:hAnsi="Calibri"/>
          <w:b/>
          <w:sz w:val="22"/>
          <w:szCs w:val="22"/>
        </w:rPr>
        <w:t xml:space="preserve">Картина за издръжка на едно лице от </w:t>
      </w:r>
      <w:proofErr w:type="spellStart"/>
      <w:r w:rsidRPr="00FD60CA">
        <w:rPr>
          <w:rFonts w:ascii="Calibri" w:eastAsia="Calibri" w:hAnsi="Calibri"/>
          <w:b/>
          <w:sz w:val="22"/>
          <w:szCs w:val="22"/>
        </w:rPr>
        <w:t>средносписъчния</w:t>
      </w:r>
      <w:proofErr w:type="spellEnd"/>
      <w:r w:rsidRPr="00FD60CA">
        <w:rPr>
          <w:rFonts w:ascii="Calibri" w:eastAsia="Calibri" w:hAnsi="Calibri"/>
          <w:b/>
          <w:sz w:val="22"/>
          <w:szCs w:val="22"/>
        </w:rPr>
        <w:t xml:space="preserve"> състав на персонала спрямо производителност на труда и рентабилност на труда:</w:t>
      </w:r>
    </w:p>
    <w:p w:rsidR="00163EC2" w:rsidRPr="00FD60CA" w:rsidRDefault="00163EC2" w:rsidP="00535FFF">
      <w:pPr>
        <w:jc w:val="center"/>
        <w:rPr>
          <w:b/>
          <w:sz w:val="24"/>
          <w:szCs w:val="24"/>
        </w:rPr>
      </w:pPr>
    </w:p>
    <w:tbl>
      <w:tblPr>
        <w:tblW w:w="806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960"/>
        <w:gridCol w:w="980"/>
      </w:tblGrid>
      <w:tr w:rsidR="009E1D2E" w:rsidRPr="00FD60CA">
        <w:trPr>
          <w:trHeight w:val="27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2E" w:rsidRPr="00FD60CA" w:rsidRDefault="009E1D2E" w:rsidP="009E1D2E">
            <w:pPr>
              <w:rPr>
                <w:rFonts w:eastAsia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2E" w:rsidRPr="00FD60CA" w:rsidRDefault="009E1D2E" w:rsidP="009E1D2E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2E" w:rsidRPr="00FD60CA" w:rsidRDefault="009E1D2E" w:rsidP="009E1D2E">
            <w:pPr>
              <w:jc w:val="right"/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i/>
                <w:iCs/>
                <w:sz w:val="20"/>
                <w:szCs w:val="20"/>
                <w:lang w:eastAsia="bg-BG"/>
              </w:rPr>
              <w:t>(лева)</w:t>
            </w:r>
          </w:p>
        </w:tc>
      </w:tr>
      <w:tr w:rsidR="009E1D2E" w:rsidRPr="00FD60CA" w:rsidTr="00AC15BC">
        <w:trPr>
          <w:trHeight w:val="285"/>
        </w:trPr>
        <w:tc>
          <w:tcPr>
            <w:tcW w:w="6120" w:type="dxa"/>
            <w:tcBorders>
              <w:top w:val="double" w:sz="6" w:space="0" w:color="E26B0A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9E1D2E" w:rsidRPr="00FD60CA" w:rsidRDefault="009E1D2E" w:rsidP="009E1D2E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Години</w:t>
            </w:r>
          </w:p>
        </w:tc>
        <w:tc>
          <w:tcPr>
            <w:tcW w:w="96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9E1D2E" w:rsidRPr="00FD60CA" w:rsidRDefault="009E1D2E" w:rsidP="00423E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80" w:type="dxa"/>
            <w:tcBorders>
              <w:top w:val="double" w:sz="6" w:space="0" w:color="E26B0A"/>
              <w:left w:val="nil"/>
              <w:bottom w:val="double" w:sz="6" w:space="0" w:color="E26B0A"/>
              <w:right w:val="double" w:sz="6" w:space="0" w:color="E26B0A"/>
            </w:tcBorders>
            <w:shd w:val="clear" w:color="auto" w:fill="F68D36"/>
            <w:noWrap/>
            <w:vAlign w:val="bottom"/>
          </w:tcPr>
          <w:p w:rsidR="009E1D2E" w:rsidRPr="00FD60CA" w:rsidRDefault="009E1D2E" w:rsidP="00423E2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FD60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201</w:t>
            </w:r>
            <w:r w:rsidR="00423E2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g-BG"/>
              </w:rPr>
              <w:t>6</w:t>
            </w:r>
          </w:p>
        </w:tc>
      </w:tr>
      <w:tr w:rsidR="001648DD" w:rsidRPr="00FD60CA">
        <w:trPr>
          <w:trHeight w:val="285"/>
        </w:trPr>
        <w:tc>
          <w:tcPr>
            <w:tcW w:w="612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Издръжка на едно лице от 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8388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8220</w:t>
            </w:r>
          </w:p>
        </w:tc>
      </w:tr>
      <w:tr w:rsidR="001648DD" w:rsidRPr="00FD60CA">
        <w:trPr>
          <w:trHeight w:val="285"/>
        </w:trPr>
        <w:tc>
          <w:tcPr>
            <w:tcW w:w="612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Производителност на труда (спрямо нетни приходи от продажби)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10572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10515</w:t>
            </w:r>
          </w:p>
        </w:tc>
      </w:tr>
      <w:tr w:rsidR="001648DD" w:rsidRPr="00FD60CA">
        <w:trPr>
          <w:trHeight w:val="285"/>
        </w:trPr>
        <w:tc>
          <w:tcPr>
            <w:tcW w:w="6120" w:type="dxa"/>
            <w:tcBorders>
              <w:top w:val="nil"/>
              <w:left w:val="double" w:sz="6" w:space="0" w:color="E26B0A"/>
              <w:bottom w:val="double" w:sz="6" w:space="0" w:color="E26B0A"/>
              <w:right w:val="double" w:sz="6" w:space="0" w:color="E26B0A"/>
            </w:tcBorders>
            <w:shd w:val="clear" w:color="auto" w:fill="auto"/>
            <w:noWrap/>
            <w:vAlign w:val="bottom"/>
          </w:tcPr>
          <w:p w:rsidR="001648DD" w:rsidRPr="00FD60CA" w:rsidRDefault="001648DD">
            <w:pPr>
              <w:rPr>
                <w:rFonts w:cs="Calibri"/>
                <w:sz w:val="20"/>
                <w:szCs w:val="20"/>
              </w:rPr>
            </w:pPr>
            <w:r w:rsidRPr="00FD60CA">
              <w:rPr>
                <w:rFonts w:cs="Calibri"/>
                <w:sz w:val="20"/>
                <w:szCs w:val="20"/>
              </w:rPr>
              <w:t>Рентабилност на труда (спрямо финансов резултат)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E26B0A"/>
              <w:right w:val="double" w:sz="6" w:space="0" w:color="E26B0A"/>
            </w:tcBorders>
            <w:shd w:val="clear" w:color="000000" w:fill="FCD5B4"/>
            <w:noWrap/>
            <w:vAlign w:val="bottom"/>
          </w:tcPr>
          <w:p w:rsidR="001648DD" w:rsidRDefault="001648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B13ED1" w:rsidRPr="00FD60CA" w:rsidRDefault="00B13ED1" w:rsidP="00535FFF">
      <w:pPr>
        <w:jc w:val="center"/>
        <w:rPr>
          <w:b/>
          <w:sz w:val="24"/>
          <w:szCs w:val="24"/>
        </w:rPr>
      </w:pPr>
    </w:p>
    <w:p w:rsidR="009E1D2E" w:rsidRDefault="001648DD" w:rsidP="00535FFF">
      <w:pPr>
        <w:jc w:val="center"/>
        <w:rPr>
          <w:noProof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40959357" wp14:editId="187FC7FF">
            <wp:extent cx="4600575" cy="2943225"/>
            <wp:effectExtent l="57150" t="19050" r="47625" b="85725"/>
            <wp:docPr id="291" name="Диаграма 2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648DD" w:rsidRPr="001648DD" w:rsidRDefault="001648DD" w:rsidP="00535FFF">
      <w:pPr>
        <w:jc w:val="center"/>
        <w:rPr>
          <w:b/>
          <w:sz w:val="24"/>
          <w:szCs w:val="24"/>
          <w:lang w:val="en-US"/>
        </w:rPr>
      </w:pPr>
    </w:p>
    <w:p w:rsidR="005F6713" w:rsidRPr="00FD60CA" w:rsidRDefault="005F6713" w:rsidP="005F6713">
      <w:pPr>
        <w:jc w:val="both"/>
      </w:pPr>
    </w:p>
    <w:p w:rsidR="005F6713" w:rsidRPr="00FD60CA" w:rsidRDefault="005F6713" w:rsidP="00B14522">
      <w:pPr>
        <w:tabs>
          <w:tab w:val="left" w:pos="180"/>
        </w:tabs>
        <w:ind w:right="114"/>
        <w:jc w:val="right"/>
        <w:rPr>
          <w:i/>
          <w:sz w:val="20"/>
          <w:szCs w:val="20"/>
        </w:rPr>
      </w:pPr>
      <w:r w:rsidRPr="00FD60CA">
        <w:rPr>
          <w:i/>
          <w:sz w:val="20"/>
          <w:szCs w:val="20"/>
        </w:rPr>
        <w:t>(лева)</w:t>
      </w:r>
    </w:p>
    <w:p w:rsidR="00822440" w:rsidRPr="006E085E" w:rsidRDefault="0074615C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822440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НАУЧНОИЗСЛЕДОВАТЕЛСКА И РАЗВОЙНА ДЕЙНОСТ</w:t>
      </w:r>
      <w:r w:rsidR="00C54468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</w:p>
    <w:p w:rsidR="00A35A1A" w:rsidRPr="00FD60CA" w:rsidRDefault="00A35A1A" w:rsidP="00822440">
      <w:pPr>
        <w:tabs>
          <w:tab w:val="left" w:pos="0"/>
        </w:tabs>
        <w:ind w:right="180"/>
        <w:jc w:val="both"/>
      </w:pPr>
    </w:p>
    <w:p w:rsidR="00822440" w:rsidRPr="00FD60CA" w:rsidRDefault="00822440" w:rsidP="00822440">
      <w:pPr>
        <w:tabs>
          <w:tab w:val="left" w:pos="0"/>
        </w:tabs>
        <w:ind w:right="180"/>
        <w:jc w:val="both"/>
      </w:pPr>
      <w:r w:rsidRPr="00FD60CA">
        <w:t>През</w:t>
      </w:r>
      <w:r w:rsidR="00C54468">
        <w:t xml:space="preserve"> 1-вото </w:t>
      </w:r>
      <w:proofErr w:type="spellStart"/>
      <w:r w:rsidR="00C54468">
        <w:t>шесмесечие</w:t>
      </w:r>
      <w:proofErr w:type="spellEnd"/>
      <w:r w:rsidR="00C54468">
        <w:t xml:space="preserve"> на</w:t>
      </w:r>
      <w:r w:rsidRPr="00FD60CA">
        <w:t xml:space="preserve"> </w:t>
      </w:r>
      <w:r w:rsidR="00AC15BC" w:rsidRPr="00FD60CA">
        <w:t>201</w:t>
      </w:r>
      <w:r w:rsidR="00C54468">
        <w:t>7</w:t>
      </w:r>
      <w:r w:rsidR="00AC15BC" w:rsidRPr="00FD60CA">
        <w:t>г.</w:t>
      </w:r>
      <w:r w:rsidRPr="00FD60CA">
        <w:t xml:space="preserve"> </w:t>
      </w:r>
      <w:r w:rsidRPr="00FD60CA">
        <w:rPr>
          <w:color w:val="000000"/>
          <w:kern w:val="2"/>
        </w:rPr>
        <w:t>„</w:t>
      </w:r>
      <w:r w:rsidR="00F879C8" w:rsidRPr="00FD60CA">
        <w:rPr>
          <w:color w:val="000000"/>
          <w:kern w:val="2"/>
        </w:rPr>
        <w:t>ДКЦ V Варна</w:t>
      </w:r>
      <w:r w:rsidR="00AC15BC" w:rsidRPr="00FD60CA">
        <w:rPr>
          <w:color w:val="000000"/>
          <w:kern w:val="2"/>
        </w:rPr>
        <w:t xml:space="preserve"> -</w:t>
      </w:r>
      <w:r w:rsidR="00F879C8" w:rsidRPr="00FD60CA">
        <w:rPr>
          <w:color w:val="000000"/>
          <w:kern w:val="2"/>
        </w:rPr>
        <w:t xml:space="preserve"> Света Екатерина</w:t>
      </w:r>
      <w:r w:rsidR="00AC15BC" w:rsidRPr="00FD60CA">
        <w:rPr>
          <w:color w:val="000000"/>
          <w:kern w:val="2"/>
        </w:rPr>
        <w:t>“ ЕООД</w:t>
      </w:r>
      <w:r w:rsidR="00E4259A" w:rsidRPr="00FD60CA">
        <w:rPr>
          <w:color w:val="000000"/>
          <w:kern w:val="2"/>
        </w:rPr>
        <w:t xml:space="preserve"> </w:t>
      </w:r>
      <w:r w:rsidRPr="00FD60CA">
        <w:t>не е развивало действия, свързани с научноизследователската и развойна дейност</w:t>
      </w:r>
      <w:r w:rsidR="007C1452" w:rsidRPr="00FD60CA">
        <w:t>.</w:t>
      </w:r>
    </w:p>
    <w:p w:rsidR="00822440" w:rsidRPr="00FD60CA" w:rsidRDefault="00822440" w:rsidP="00822440">
      <w:pPr>
        <w:tabs>
          <w:tab w:val="left" w:pos="0"/>
        </w:tabs>
        <w:ind w:left="180" w:right="180"/>
        <w:jc w:val="both"/>
      </w:pPr>
    </w:p>
    <w:p w:rsidR="00164295" w:rsidRPr="00FD60CA" w:rsidRDefault="00164295" w:rsidP="005F6713">
      <w:pPr>
        <w:jc w:val="both"/>
        <w:rPr>
          <w:rFonts w:eastAsia="Times New Roman" w:cs="Calibri"/>
          <w:lang w:eastAsia="bg-BG"/>
        </w:rPr>
      </w:pPr>
    </w:p>
    <w:p w:rsidR="00164295" w:rsidRPr="00FD60CA" w:rsidRDefault="00164295" w:rsidP="00C54468">
      <w:pPr>
        <w:pStyle w:val="a3"/>
        <w:shd w:val="clear" w:color="auto" w:fill="E36C0A"/>
        <w:autoSpaceDE w:val="0"/>
        <w:autoSpaceDN w:val="0"/>
        <w:adjustRightInd w:val="0"/>
        <w:jc w:val="both"/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ВАЖНИ СЪБИТИЯ, КОИТО СА НАСТЪПИЛИ СЛЕД ДАТАТА, КЪМ КОЯТО Е СЪСТАВЕН </w:t>
      </w:r>
      <w:r w:rsidR="00C54468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МЕЖДИННИЯТ</w:t>
      </w: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ФИНАНСОВ ОТЧЕТ</w:t>
      </w:r>
      <w:r w:rsidR="0074615C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</w:p>
    <w:p w:rsidR="00EC5CE2" w:rsidRPr="00FD60CA" w:rsidRDefault="00164295" w:rsidP="00F879C8">
      <w:pPr>
        <w:tabs>
          <w:tab w:val="left" w:pos="0"/>
        </w:tabs>
        <w:ind w:right="180"/>
        <w:jc w:val="both"/>
      </w:pPr>
      <w:r w:rsidRPr="00FD60CA">
        <w:t xml:space="preserve">След съставянето на </w:t>
      </w:r>
      <w:r w:rsidR="00C54468">
        <w:t>Междинният</w:t>
      </w:r>
      <w:r w:rsidRPr="00FD60CA">
        <w:t xml:space="preserve"> финансов отчет за отчетната 201</w:t>
      </w:r>
      <w:r w:rsidR="00C54468">
        <w:t>7</w:t>
      </w:r>
      <w:r w:rsidRPr="00FD60CA">
        <w:t xml:space="preserve">г. в </w:t>
      </w:r>
      <w:r w:rsidRPr="00FD60CA">
        <w:rPr>
          <w:color w:val="000000"/>
          <w:kern w:val="2"/>
        </w:rPr>
        <w:t>„</w:t>
      </w:r>
      <w:r w:rsidR="00F879C8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="00E4259A" w:rsidRPr="00FD60CA">
        <w:rPr>
          <w:color w:val="000000"/>
          <w:kern w:val="2"/>
        </w:rPr>
        <w:t xml:space="preserve"> </w:t>
      </w:r>
      <w:r w:rsidRPr="00FD60CA">
        <w:t>не са настъпили важни събития</w:t>
      </w:r>
      <w:r w:rsidR="00C54468">
        <w:t>.</w:t>
      </w:r>
    </w:p>
    <w:p w:rsidR="00EC5CE2" w:rsidRPr="00FD60CA" w:rsidRDefault="00EC5CE2" w:rsidP="004A0CAD">
      <w:pPr>
        <w:jc w:val="both"/>
        <w:rPr>
          <w:rFonts w:eastAsia="Times New Roman" w:cs="Calibri"/>
          <w:lang w:eastAsia="bg-BG"/>
        </w:rPr>
      </w:pPr>
    </w:p>
    <w:p w:rsidR="00965ADD" w:rsidRPr="006E085E" w:rsidRDefault="00965ADD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ИНФОРМАЦИЯ ЗА СКЛЮЧЕНИ СЪЩЕСТВЕНИ СДЕЛКИ </w:t>
      </w:r>
    </w:p>
    <w:p w:rsidR="004A0CAD" w:rsidRPr="00FD60CA" w:rsidRDefault="004A0CAD" w:rsidP="00164295">
      <w:pPr>
        <w:jc w:val="both"/>
        <w:rPr>
          <w:rFonts w:eastAsia="Times New Roman" w:cs="Calibri"/>
          <w:lang w:eastAsia="bg-BG"/>
        </w:rPr>
      </w:pPr>
    </w:p>
    <w:p w:rsidR="000F480E" w:rsidRPr="00FD60CA" w:rsidRDefault="00587A90" w:rsidP="000F480E">
      <w:pPr>
        <w:tabs>
          <w:tab w:val="left" w:pos="0"/>
        </w:tabs>
        <w:ind w:right="180"/>
        <w:jc w:val="both"/>
      </w:pPr>
      <w:r w:rsidRPr="00FD60CA">
        <w:t>През</w:t>
      </w:r>
      <w:r w:rsidR="000F480E" w:rsidRPr="00FD60CA">
        <w:t xml:space="preserve"> </w:t>
      </w:r>
      <w:r w:rsidR="00C54468">
        <w:t>първото шестмесечие на 2017г</w:t>
      </w:r>
      <w:r w:rsidR="000F480E" w:rsidRPr="00FD60CA">
        <w:t xml:space="preserve">. в </w:t>
      </w:r>
      <w:r w:rsidR="000F480E" w:rsidRPr="00FD60CA">
        <w:rPr>
          <w:color w:val="000000"/>
          <w:kern w:val="2"/>
        </w:rPr>
        <w:t>„</w:t>
      </w:r>
      <w:r w:rsidR="00C22A78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="000F480E" w:rsidRPr="00FD60CA">
        <w:rPr>
          <w:color w:val="000000"/>
          <w:kern w:val="2"/>
        </w:rPr>
        <w:t xml:space="preserve">” </w:t>
      </w:r>
      <w:r w:rsidR="000F480E" w:rsidRPr="00FD60CA">
        <w:t xml:space="preserve">не </w:t>
      </w:r>
      <w:r w:rsidR="00E4259A" w:rsidRPr="00FD60CA">
        <w:t>е</w:t>
      </w:r>
      <w:r w:rsidR="000F480E" w:rsidRPr="00FD60CA">
        <w:t xml:space="preserve"> </w:t>
      </w:r>
      <w:r w:rsidRPr="00FD60CA">
        <w:t>сключил</w:t>
      </w:r>
      <w:r w:rsidR="00E4259A" w:rsidRPr="00FD60CA">
        <w:t>о</w:t>
      </w:r>
      <w:r w:rsidR="000F480E" w:rsidRPr="00FD60CA">
        <w:t xml:space="preserve"> </w:t>
      </w:r>
      <w:r w:rsidRPr="00FD60CA">
        <w:t>съществени сделки</w:t>
      </w:r>
      <w:r w:rsidR="000F480E" w:rsidRPr="00FD60CA">
        <w:t>:</w:t>
      </w:r>
    </w:p>
    <w:p w:rsidR="00666C3C" w:rsidRPr="006E085E" w:rsidRDefault="00666C3C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:rsidR="00587A90" w:rsidRPr="006E085E" w:rsidRDefault="00587A90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СДЕЛКИ, СКЛЮЧЕНИ МЕЖДУ „</w:t>
      </w:r>
      <w:r w:rsidR="00715034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ДКЦ V Варна Света Екатерина</w:t>
      </w:r>
      <w:r w:rsidR="00AC15BC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“ ЕООД</w:t>
      </w: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и СВЪРЗАНИ ЛИЦА, СДЕЛКИ ИЗВЪН ОБИЧАЙНАТА МУ Д</w:t>
      </w:r>
      <w:r w:rsidR="00715AB3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Е</w:t>
      </w: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ЙНОСТ И СДЕЛКИ, КОИТО СЪЩЕСТВЕНО СЕ ОТКЛОНЯВАТ ОТ ПАЗАРНИТЕ УСЛОВИЯ</w:t>
      </w:r>
      <w:r w:rsidR="00C54468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</w:p>
    <w:p w:rsidR="00715AB3" w:rsidRPr="00FD60CA" w:rsidRDefault="00715AB3" w:rsidP="00587A90">
      <w:pPr>
        <w:tabs>
          <w:tab w:val="left" w:pos="0"/>
        </w:tabs>
        <w:ind w:right="180"/>
        <w:jc w:val="both"/>
      </w:pPr>
    </w:p>
    <w:p w:rsidR="00715AB3" w:rsidRPr="00FD60CA" w:rsidRDefault="00715AB3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сключените сделки със свързани лица:</w:t>
      </w:r>
    </w:p>
    <w:p w:rsidR="00715AB3" w:rsidRPr="00FD60CA" w:rsidRDefault="00715AB3" w:rsidP="00587A90">
      <w:pPr>
        <w:tabs>
          <w:tab w:val="left" w:pos="0"/>
        </w:tabs>
        <w:ind w:right="180"/>
        <w:jc w:val="both"/>
      </w:pPr>
    </w:p>
    <w:p w:rsidR="00587A90" w:rsidRPr="00FD60CA" w:rsidRDefault="00587A90" w:rsidP="00587A90">
      <w:pPr>
        <w:tabs>
          <w:tab w:val="left" w:pos="0"/>
        </w:tabs>
        <w:ind w:right="180"/>
        <w:jc w:val="both"/>
      </w:pPr>
      <w:r w:rsidRPr="00FD60CA">
        <w:t>През</w:t>
      </w:r>
      <w:r w:rsidR="00C54468">
        <w:t xml:space="preserve"> 1-вото шестмесечие на </w:t>
      </w:r>
      <w:r w:rsidRPr="00FD60CA">
        <w:t xml:space="preserve"> 201</w:t>
      </w:r>
      <w:r w:rsidR="00C54468">
        <w:t>7</w:t>
      </w:r>
      <w:r w:rsidRPr="00FD60CA">
        <w:t>г.</w:t>
      </w:r>
      <w:r w:rsidR="00666C3C" w:rsidRPr="00FD60CA">
        <w:t xml:space="preserve"> на </w:t>
      </w:r>
      <w:r w:rsidRPr="00FD60CA">
        <w:t xml:space="preserve"> </w:t>
      </w:r>
      <w:r w:rsidRPr="00FD60CA">
        <w:rPr>
          <w:color w:val="000000"/>
          <w:kern w:val="2"/>
        </w:rPr>
        <w:t>„</w:t>
      </w:r>
      <w:r w:rsidR="00AE6AE9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="00E4259A" w:rsidRPr="00FD60CA">
        <w:rPr>
          <w:color w:val="000000"/>
          <w:kern w:val="2"/>
        </w:rPr>
        <w:t xml:space="preserve"> </w:t>
      </w:r>
      <w:r w:rsidR="00C54468">
        <w:t xml:space="preserve"> не е извършвало сделки със свързани лица</w:t>
      </w:r>
      <w:r w:rsidR="00666C3C" w:rsidRPr="00FD60CA">
        <w:t>.</w:t>
      </w:r>
    </w:p>
    <w:p w:rsidR="00587A90" w:rsidRPr="00FD60CA" w:rsidRDefault="00587A90" w:rsidP="000F480E">
      <w:pPr>
        <w:jc w:val="both"/>
        <w:rPr>
          <w:rFonts w:eastAsia="Times New Roman" w:cs="Calibri"/>
          <w:b/>
          <w:lang w:eastAsia="bg-BG"/>
        </w:rPr>
      </w:pPr>
    </w:p>
    <w:p w:rsidR="00715AB3" w:rsidRPr="00FD60CA" w:rsidRDefault="00715AB3" w:rsidP="000F480E">
      <w:pPr>
        <w:jc w:val="both"/>
        <w:rPr>
          <w:rFonts w:eastAsia="Times New Roman" w:cs="Calibri"/>
          <w:b/>
          <w:lang w:eastAsia="bg-BG"/>
        </w:rPr>
      </w:pPr>
    </w:p>
    <w:p w:rsidR="00715AB3" w:rsidRPr="00FD60CA" w:rsidRDefault="00715AB3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сключените сделки извън обичайната дейност:</w:t>
      </w:r>
    </w:p>
    <w:p w:rsidR="00715AB3" w:rsidRPr="00FD60CA" w:rsidRDefault="00715AB3" w:rsidP="00715AB3">
      <w:pPr>
        <w:tabs>
          <w:tab w:val="left" w:pos="0"/>
        </w:tabs>
        <w:ind w:right="180"/>
        <w:jc w:val="both"/>
      </w:pPr>
    </w:p>
    <w:p w:rsidR="00715AB3" w:rsidRPr="00FD60CA" w:rsidRDefault="00715AB3" w:rsidP="00715AB3">
      <w:pPr>
        <w:tabs>
          <w:tab w:val="left" w:pos="0"/>
        </w:tabs>
        <w:ind w:right="180"/>
        <w:jc w:val="both"/>
      </w:pPr>
      <w:r w:rsidRPr="00FD60CA">
        <w:t xml:space="preserve">През </w:t>
      </w:r>
      <w:r w:rsidR="001E58AB">
        <w:t xml:space="preserve">първото </w:t>
      </w:r>
      <w:proofErr w:type="spellStart"/>
      <w:r w:rsidR="001E58AB">
        <w:t>шесмесечие</w:t>
      </w:r>
      <w:proofErr w:type="spellEnd"/>
      <w:r w:rsidRPr="00FD60CA">
        <w:t xml:space="preserve"> 201</w:t>
      </w:r>
      <w:r w:rsidR="007F3543">
        <w:t>7</w:t>
      </w:r>
      <w:r w:rsidRPr="00FD60CA">
        <w:t xml:space="preserve">г. </w:t>
      </w:r>
      <w:r w:rsidRPr="00FD60CA">
        <w:rPr>
          <w:color w:val="000000"/>
          <w:kern w:val="2"/>
        </w:rPr>
        <w:t>„</w:t>
      </w:r>
      <w:r w:rsidR="00715034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="00E4259A" w:rsidRPr="00FD60CA">
        <w:rPr>
          <w:color w:val="000000"/>
          <w:kern w:val="2"/>
        </w:rPr>
        <w:t xml:space="preserve"> </w:t>
      </w:r>
      <w:r w:rsidRPr="00FD60CA">
        <w:t>не е</w:t>
      </w:r>
      <w:r w:rsidR="00715034" w:rsidRPr="00FD60CA">
        <w:t xml:space="preserve"> сключило</w:t>
      </w:r>
      <w:r w:rsidRPr="00FD60CA">
        <w:t xml:space="preserve"> сделки извън обичайната му дейност :</w:t>
      </w:r>
    </w:p>
    <w:p w:rsidR="00715AB3" w:rsidRPr="00FD60CA" w:rsidRDefault="00715AB3" w:rsidP="00715AB3">
      <w:pPr>
        <w:jc w:val="both"/>
        <w:rPr>
          <w:rFonts w:eastAsia="Times New Roman" w:cs="Calibri"/>
          <w:b/>
          <w:lang w:eastAsia="bg-BG"/>
        </w:rPr>
      </w:pPr>
    </w:p>
    <w:p w:rsidR="00D62972" w:rsidRPr="00FD60CA" w:rsidRDefault="00D62972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сключените сделки, които съществено се отклоняват от пазарните условия</w:t>
      </w:r>
    </w:p>
    <w:p w:rsidR="00D62972" w:rsidRPr="00FD60CA" w:rsidRDefault="00D62972" w:rsidP="00D62972">
      <w:pPr>
        <w:tabs>
          <w:tab w:val="left" w:pos="0"/>
        </w:tabs>
        <w:ind w:right="180"/>
        <w:jc w:val="both"/>
      </w:pPr>
    </w:p>
    <w:p w:rsidR="00EC5CE2" w:rsidRPr="00FD60CA" w:rsidRDefault="00D62972" w:rsidP="00E4259A">
      <w:pPr>
        <w:tabs>
          <w:tab w:val="left" w:pos="0"/>
        </w:tabs>
        <w:ind w:right="180"/>
        <w:jc w:val="both"/>
      </w:pPr>
      <w:r w:rsidRPr="00FD60CA">
        <w:t>През</w:t>
      </w:r>
      <w:r w:rsidR="007F3543">
        <w:t xml:space="preserve"> 1-вото </w:t>
      </w:r>
      <w:proofErr w:type="spellStart"/>
      <w:r w:rsidR="007F3543">
        <w:t>шесмесечие</w:t>
      </w:r>
      <w:proofErr w:type="spellEnd"/>
      <w:r w:rsidR="007F3543">
        <w:t xml:space="preserve"> на</w:t>
      </w:r>
      <w:r w:rsidRPr="00FD60CA">
        <w:t xml:space="preserve"> 201</w:t>
      </w:r>
      <w:r w:rsidR="007F3543">
        <w:t>7</w:t>
      </w:r>
      <w:r w:rsidRPr="00FD60CA">
        <w:t xml:space="preserve">г. </w:t>
      </w:r>
      <w:r w:rsidRPr="00FD60CA">
        <w:rPr>
          <w:color w:val="000000"/>
          <w:kern w:val="2"/>
        </w:rPr>
        <w:t>„</w:t>
      </w:r>
      <w:r w:rsidR="0047370F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="00E4259A" w:rsidRPr="00FD60CA">
        <w:rPr>
          <w:color w:val="000000"/>
          <w:kern w:val="2"/>
        </w:rPr>
        <w:t xml:space="preserve"> </w:t>
      </w:r>
      <w:r w:rsidRPr="00FD60CA">
        <w:t>не е</w:t>
      </w:r>
      <w:r w:rsidR="00715034" w:rsidRPr="00FD60CA">
        <w:t xml:space="preserve"> сключило</w:t>
      </w:r>
      <w:r w:rsidRPr="00FD60CA">
        <w:t xml:space="preserve"> сделки, които съществено се отклоняват от пазарните условия</w:t>
      </w:r>
    </w:p>
    <w:p w:rsidR="00EC5CE2" w:rsidRPr="00FD60CA" w:rsidRDefault="00EC5CE2" w:rsidP="00D62972">
      <w:pPr>
        <w:jc w:val="both"/>
        <w:rPr>
          <w:rFonts w:eastAsia="Times New Roman" w:cs="Calibri"/>
          <w:b/>
          <w:lang w:eastAsia="bg-BG"/>
        </w:rPr>
      </w:pPr>
    </w:p>
    <w:p w:rsidR="00E4259A" w:rsidRPr="00FD60CA" w:rsidRDefault="00E4259A" w:rsidP="00D62972">
      <w:pPr>
        <w:jc w:val="both"/>
        <w:rPr>
          <w:rFonts w:eastAsia="Times New Roman" w:cs="Calibri"/>
          <w:b/>
          <w:lang w:eastAsia="bg-BG"/>
        </w:rPr>
      </w:pPr>
    </w:p>
    <w:p w:rsidR="00D62972" w:rsidRPr="006E085E" w:rsidRDefault="00D62972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514E23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СЪБИТИЯ И ПОКАЗАТЕЛИ С НЕОБИЧАЕН ХАРАКТЕР</w:t>
      </w: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</w:p>
    <w:p w:rsidR="00D62972" w:rsidRPr="00FD60CA" w:rsidRDefault="00D62972" w:rsidP="00D62972">
      <w:pPr>
        <w:jc w:val="both"/>
        <w:rPr>
          <w:rFonts w:eastAsia="Times New Roman" w:cs="Calibri"/>
          <w:b/>
          <w:lang w:eastAsia="bg-BG"/>
        </w:rPr>
      </w:pPr>
    </w:p>
    <w:p w:rsidR="00E37059" w:rsidRPr="00FD60CA" w:rsidRDefault="00E37059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събития с необичаен характер:</w:t>
      </w:r>
      <w:r w:rsidR="00AC15BC" w:rsidRPr="00FD60CA">
        <w:rPr>
          <w:rFonts w:cs="Arial"/>
          <w:b/>
          <w:bCs/>
          <w:i/>
          <w:iCs/>
          <w:color w:val="000000"/>
        </w:rPr>
        <w:t xml:space="preserve"> </w:t>
      </w:r>
    </w:p>
    <w:p w:rsidR="00AC15BC" w:rsidRPr="00FD60CA" w:rsidRDefault="00AC15BC" w:rsidP="00AC15BC">
      <w:pPr>
        <w:tabs>
          <w:tab w:val="left" w:pos="0"/>
        </w:tabs>
        <w:ind w:left="720" w:right="180"/>
        <w:jc w:val="both"/>
      </w:pPr>
      <w:r w:rsidRPr="00FD60CA">
        <w:t xml:space="preserve">През </w:t>
      </w:r>
      <w:r w:rsidR="007F3543" w:rsidRPr="007F3543">
        <w:t xml:space="preserve">1-вото </w:t>
      </w:r>
      <w:proofErr w:type="spellStart"/>
      <w:r w:rsidR="007F3543" w:rsidRPr="007F3543">
        <w:t>шесмесечие</w:t>
      </w:r>
      <w:proofErr w:type="spellEnd"/>
      <w:r w:rsidR="007F3543" w:rsidRPr="007F3543">
        <w:t xml:space="preserve"> на 2017г</w:t>
      </w:r>
      <w:r w:rsidRPr="00FD60CA">
        <w:t xml:space="preserve">. в </w:t>
      </w:r>
      <w:r w:rsidRPr="00FD60CA">
        <w:rPr>
          <w:color w:val="000000"/>
          <w:kern w:val="2"/>
        </w:rPr>
        <w:t xml:space="preserve">„ДКЦ V Варна Света Екатерина“ ЕООД </w:t>
      </w:r>
      <w:r w:rsidRPr="00FD60CA">
        <w:t>не са се случили събития и показатели с необичаен характер:</w:t>
      </w:r>
    </w:p>
    <w:p w:rsidR="00514E23" w:rsidRPr="00FD60CA" w:rsidRDefault="00514E23" w:rsidP="00514E23">
      <w:pPr>
        <w:jc w:val="both"/>
        <w:rPr>
          <w:rFonts w:eastAsia="Times New Roman" w:cs="Calibri"/>
          <w:b/>
          <w:lang w:eastAsia="bg-BG"/>
        </w:rPr>
      </w:pPr>
    </w:p>
    <w:p w:rsidR="00E37059" w:rsidRPr="00FD60CA" w:rsidRDefault="00E37059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показатели с необичаен характер:</w:t>
      </w:r>
    </w:p>
    <w:p w:rsidR="00E665FC" w:rsidRPr="00FD60CA" w:rsidRDefault="00E665FC" w:rsidP="00514E23">
      <w:pPr>
        <w:jc w:val="both"/>
        <w:rPr>
          <w:rFonts w:eastAsia="Times New Roman" w:cs="Calibri"/>
          <w:b/>
          <w:lang w:eastAsia="bg-BG"/>
        </w:rPr>
      </w:pPr>
    </w:p>
    <w:p w:rsidR="00E665FC" w:rsidRPr="00FD60CA" w:rsidRDefault="00E665FC" w:rsidP="00F871A2">
      <w:pPr>
        <w:pStyle w:val="a3"/>
        <w:shd w:val="clear" w:color="auto" w:fill="E36C0A"/>
        <w:autoSpaceDE w:val="0"/>
        <w:autoSpaceDN w:val="0"/>
        <w:adjustRightInd w:val="0"/>
        <w:jc w:val="both"/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СДЕЛКИ, ВОДЕНИ ИЗВЪНБАЛАНСОВО </w:t>
      </w:r>
    </w:p>
    <w:p w:rsidR="00E665FC" w:rsidRPr="00FD60CA" w:rsidRDefault="00E665FC" w:rsidP="00E665FC">
      <w:pPr>
        <w:tabs>
          <w:tab w:val="left" w:pos="0"/>
        </w:tabs>
        <w:ind w:right="180"/>
        <w:jc w:val="both"/>
      </w:pPr>
      <w:r w:rsidRPr="00FD60CA">
        <w:t xml:space="preserve">През </w:t>
      </w:r>
      <w:r w:rsidR="007F3543" w:rsidRPr="007F3543">
        <w:t xml:space="preserve">1-вото </w:t>
      </w:r>
      <w:proofErr w:type="spellStart"/>
      <w:r w:rsidR="007F3543" w:rsidRPr="007F3543">
        <w:t>шесмесечие</w:t>
      </w:r>
      <w:proofErr w:type="spellEnd"/>
      <w:r w:rsidR="007F3543" w:rsidRPr="007F3543">
        <w:t xml:space="preserve"> на 2017г</w:t>
      </w:r>
      <w:r w:rsidRPr="00FD60CA">
        <w:t xml:space="preserve">. </w:t>
      </w:r>
      <w:r w:rsidRPr="00FD60CA">
        <w:rPr>
          <w:color w:val="000000"/>
          <w:kern w:val="2"/>
        </w:rPr>
        <w:t>„</w:t>
      </w:r>
      <w:r w:rsidR="0047370F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="0047370F" w:rsidRPr="00FD60CA">
        <w:rPr>
          <w:color w:val="000000"/>
          <w:kern w:val="2"/>
        </w:rPr>
        <w:t xml:space="preserve"> </w:t>
      </w:r>
      <w:r w:rsidRPr="00FD60CA">
        <w:t>не е</w:t>
      </w:r>
      <w:r w:rsidR="00AE6AE9" w:rsidRPr="00FD60CA">
        <w:t xml:space="preserve"> сключило</w:t>
      </w:r>
      <w:r w:rsidR="0089078B" w:rsidRPr="00FD60CA">
        <w:t xml:space="preserve"> сделки, водени </w:t>
      </w:r>
      <w:proofErr w:type="spellStart"/>
      <w:r w:rsidR="0089078B" w:rsidRPr="00FD60CA">
        <w:t>извънбалансово</w:t>
      </w:r>
      <w:proofErr w:type="spellEnd"/>
      <w:r w:rsidRPr="00FD60CA">
        <w:t>:</w:t>
      </w:r>
    </w:p>
    <w:p w:rsidR="00E665FC" w:rsidRPr="00FD60CA" w:rsidRDefault="00E665FC" w:rsidP="00E665FC">
      <w:pPr>
        <w:jc w:val="both"/>
        <w:rPr>
          <w:rFonts w:eastAsia="Times New Roman" w:cs="Calibri"/>
          <w:b/>
          <w:lang w:eastAsia="bg-BG"/>
        </w:rPr>
      </w:pPr>
    </w:p>
    <w:p w:rsidR="004D6C21" w:rsidRPr="00FD60CA" w:rsidRDefault="004D6C21" w:rsidP="004D6C21">
      <w:pPr>
        <w:jc w:val="both"/>
        <w:rPr>
          <w:color w:val="000000"/>
          <w:kern w:val="2"/>
        </w:rPr>
      </w:pPr>
    </w:p>
    <w:p w:rsidR="00E50CB3" w:rsidRPr="00FD60CA" w:rsidRDefault="00E50CB3" w:rsidP="004D6C21">
      <w:pPr>
        <w:jc w:val="both"/>
      </w:pPr>
    </w:p>
    <w:p w:rsidR="001548C1" w:rsidRPr="00FD60CA" w:rsidRDefault="001548C1" w:rsidP="007F3543">
      <w:pPr>
        <w:pStyle w:val="a3"/>
        <w:shd w:val="clear" w:color="auto" w:fill="E36C0A"/>
        <w:autoSpaceDE w:val="0"/>
        <w:autoSpaceDN w:val="0"/>
        <w:adjustRightInd w:val="0"/>
        <w:jc w:val="both"/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ОЦЕНКА НА ВЪЗМОЖНОСТИТЕ ЗА РЕАЛИЗАЦИЯ НА ИНВЕСТИЦИОННИ НАМЕРЕНИЯ </w:t>
      </w:r>
    </w:p>
    <w:p w:rsidR="001548C1" w:rsidRPr="00FD60CA" w:rsidRDefault="001548C1" w:rsidP="001548C1">
      <w:pPr>
        <w:tabs>
          <w:tab w:val="left" w:pos="0"/>
        </w:tabs>
        <w:ind w:right="114"/>
        <w:jc w:val="both"/>
      </w:pPr>
      <w:r w:rsidRPr="00FD60CA">
        <w:rPr>
          <w:color w:val="000000"/>
          <w:kern w:val="2"/>
        </w:rPr>
        <w:t>„</w:t>
      </w:r>
      <w:r w:rsidR="003F13B3" w:rsidRPr="00FD60CA">
        <w:rPr>
          <w:color w:val="000000"/>
          <w:kern w:val="2"/>
        </w:rPr>
        <w:t>ДКЦ V Варна Света Екатерина</w:t>
      </w:r>
      <w:r w:rsidR="00AC15BC" w:rsidRPr="00FD60CA">
        <w:rPr>
          <w:color w:val="000000"/>
          <w:kern w:val="2"/>
        </w:rPr>
        <w:t>“ ЕООД</w:t>
      </w:r>
      <w:r w:rsidR="00BF1EA1" w:rsidRPr="00FD60CA">
        <w:rPr>
          <w:color w:val="000000"/>
          <w:kern w:val="2"/>
        </w:rPr>
        <w:t xml:space="preserve"> </w:t>
      </w:r>
      <w:r w:rsidRPr="00FD60CA">
        <w:rPr>
          <w:color w:val="000000"/>
          <w:kern w:val="2"/>
        </w:rPr>
        <w:t>има следните инвестиционни намерения и възможности за тяхното реализиране:</w:t>
      </w:r>
    </w:p>
    <w:p w:rsidR="001548C1" w:rsidRPr="00FD60CA" w:rsidRDefault="001548C1" w:rsidP="00213ABA">
      <w:pPr>
        <w:jc w:val="both"/>
        <w:rPr>
          <w:color w:val="000000"/>
          <w:kern w:val="2"/>
        </w:rPr>
      </w:pPr>
    </w:p>
    <w:tbl>
      <w:tblPr>
        <w:tblW w:w="0" w:type="auto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ook w:val="0000" w:firstRow="0" w:lastRow="0" w:firstColumn="0" w:lastColumn="0" w:noHBand="0" w:noVBand="0"/>
      </w:tblPr>
      <w:tblGrid>
        <w:gridCol w:w="1788"/>
        <w:gridCol w:w="1287"/>
        <w:gridCol w:w="1302"/>
        <w:gridCol w:w="1785"/>
        <w:gridCol w:w="1883"/>
        <w:gridCol w:w="1669"/>
      </w:tblGrid>
      <w:tr w:rsidR="00270FDE" w:rsidRPr="00FD60CA" w:rsidTr="00FD60CA">
        <w:trPr>
          <w:trHeight w:val="1007"/>
          <w:jc w:val="center"/>
        </w:trPr>
        <w:tc>
          <w:tcPr>
            <w:tcW w:w="1787" w:type="dxa"/>
            <w:shd w:val="clear" w:color="auto" w:fill="F68D36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FD60CA">
              <w:rPr>
                <w:b/>
                <w:bCs/>
                <w:i/>
                <w:color w:val="FFFFFF"/>
                <w:sz w:val="22"/>
                <w:szCs w:val="22"/>
              </w:rPr>
              <w:t>Инвестиционно намерение</w:t>
            </w:r>
          </w:p>
        </w:tc>
        <w:tc>
          <w:tcPr>
            <w:tcW w:w="1341" w:type="dxa"/>
            <w:shd w:val="clear" w:color="auto" w:fill="F68D36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FD60CA">
              <w:rPr>
                <w:b/>
                <w:bCs/>
                <w:i/>
                <w:color w:val="FFFFFF"/>
                <w:sz w:val="22"/>
                <w:szCs w:val="22"/>
              </w:rPr>
              <w:t>Цел</w:t>
            </w:r>
          </w:p>
        </w:tc>
        <w:tc>
          <w:tcPr>
            <w:tcW w:w="1307" w:type="dxa"/>
            <w:shd w:val="clear" w:color="auto" w:fill="F68D36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FD60CA">
              <w:rPr>
                <w:b/>
                <w:bCs/>
                <w:i/>
                <w:color w:val="FFFFFF"/>
                <w:sz w:val="22"/>
                <w:szCs w:val="22"/>
              </w:rPr>
              <w:t>Стойност</w:t>
            </w:r>
          </w:p>
        </w:tc>
        <w:tc>
          <w:tcPr>
            <w:tcW w:w="1806" w:type="dxa"/>
            <w:shd w:val="clear" w:color="auto" w:fill="F68D36"/>
            <w:vAlign w:val="center"/>
          </w:tcPr>
          <w:p w:rsidR="00270FDE" w:rsidRPr="00FD60CA" w:rsidRDefault="00270FDE" w:rsidP="00270FDE">
            <w:pPr>
              <w:pStyle w:val="7"/>
              <w:spacing w:before="0" w:after="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FD60CA">
              <w:rPr>
                <w:b/>
                <w:bCs/>
                <w:i/>
                <w:color w:val="FFFFFF"/>
                <w:sz w:val="22"/>
                <w:szCs w:val="22"/>
              </w:rPr>
              <w:t>Начин на финансиране</w:t>
            </w:r>
          </w:p>
        </w:tc>
        <w:tc>
          <w:tcPr>
            <w:tcW w:w="1591" w:type="dxa"/>
            <w:shd w:val="clear" w:color="auto" w:fill="F68D36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FD60CA">
              <w:rPr>
                <w:b/>
                <w:bCs/>
                <w:i/>
                <w:color w:val="FFFFFF"/>
                <w:sz w:val="22"/>
                <w:szCs w:val="22"/>
              </w:rPr>
              <w:t>Размер на разполагаемите средства</w:t>
            </w:r>
          </w:p>
        </w:tc>
        <w:tc>
          <w:tcPr>
            <w:tcW w:w="1673" w:type="dxa"/>
            <w:shd w:val="clear" w:color="auto" w:fill="F68D36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FD60CA">
              <w:rPr>
                <w:b/>
                <w:bCs/>
                <w:i/>
                <w:color w:val="FFFFFF"/>
                <w:sz w:val="22"/>
                <w:szCs w:val="22"/>
              </w:rPr>
              <w:t>Възможни промени в структурата на финансиране</w:t>
            </w:r>
          </w:p>
        </w:tc>
      </w:tr>
      <w:tr w:rsidR="00270FDE" w:rsidRPr="00FD60CA" w:rsidTr="00FD60CA">
        <w:trPr>
          <w:trHeight w:val="251"/>
          <w:jc w:val="center"/>
        </w:trPr>
        <w:tc>
          <w:tcPr>
            <w:tcW w:w="1787" w:type="dxa"/>
          </w:tcPr>
          <w:p w:rsidR="00270FDE" w:rsidRPr="00FD60CA" w:rsidRDefault="00270FDE" w:rsidP="00130342">
            <w:pPr>
              <w:pStyle w:val="7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270FDE" w:rsidRPr="00FD60CA" w:rsidRDefault="00270FDE" w:rsidP="00823B25">
            <w:pPr>
              <w:pStyle w:val="7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70FDE" w:rsidRPr="00FD60CA" w:rsidRDefault="00270FDE" w:rsidP="00130342">
            <w:pPr>
              <w:pStyle w:val="7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70FDE" w:rsidRPr="00FD60CA" w:rsidRDefault="00270FDE" w:rsidP="00130342">
            <w:pPr>
              <w:pStyle w:val="7"/>
              <w:spacing w:before="0" w:after="0"/>
              <w:rPr>
                <w:sz w:val="22"/>
                <w:szCs w:val="22"/>
              </w:rPr>
            </w:pPr>
          </w:p>
        </w:tc>
      </w:tr>
      <w:tr w:rsidR="00270FDE" w:rsidRPr="00FD60CA" w:rsidTr="00FD60CA">
        <w:trPr>
          <w:trHeight w:val="237"/>
          <w:jc w:val="center"/>
        </w:trPr>
        <w:tc>
          <w:tcPr>
            <w:tcW w:w="1787" w:type="dxa"/>
          </w:tcPr>
          <w:p w:rsidR="00270FDE" w:rsidRPr="00FD60CA" w:rsidRDefault="00BB57E7" w:rsidP="00130342">
            <w:pPr>
              <w:pStyle w:val="7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биомикроскоп</w:t>
            </w:r>
            <w:proofErr w:type="spellEnd"/>
          </w:p>
        </w:tc>
        <w:tc>
          <w:tcPr>
            <w:tcW w:w="1341" w:type="dxa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270FDE" w:rsidRPr="00FD60CA" w:rsidRDefault="00BB57E7" w:rsidP="004B1A09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23B25" w:rsidRPr="00FD60CA">
              <w:rPr>
                <w:sz w:val="22"/>
                <w:szCs w:val="22"/>
              </w:rPr>
              <w:t xml:space="preserve"> х.</w:t>
            </w:r>
            <w:proofErr w:type="spellStart"/>
            <w:r w:rsidR="00823B25" w:rsidRPr="00FD60CA">
              <w:rPr>
                <w:sz w:val="22"/>
                <w:szCs w:val="22"/>
              </w:rPr>
              <w:t>лв</w:t>
            </w:r>
            <w:proofErr w:type="spellEnd"/>
          </w:p>
        </w:tc>
        <w:tc>
          <w:tcPr>
            <w:tcW w:w="1806" w:type="dxa"/>
            <w:vAlign w:val="center"/>
          </w:tcPr>
          <w:p w:rsidR="00270FDE" w:rsidRPr="00FD60CA" w:rsidRDefault="00823B25" w:rsidP="004B1A09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  <w:r w:rsidRPr="00FD60CA">
              <w:rPr>
                <w:sz w:val="22"/>
                <w:szCs w:val="22"/>
              </w:rPr>
              <w:t xml:space="preserve">Собствени </w:t>
            </w:r>
            <w:proofErr w:type="spellStart"/>
            <w:r w:rsidRPr="00FD60CA">
              <w:rPr>
                <w:sz w:val="22"/>
                <w:szCs w:val="22"/>
              </w:rPr>
              <w:t>с-ва</w:t>
            </w:r>
            <w:proofErr w:type="spellEnd"/>
          </w:p>
        </w:tc>
        <w:tc>
          <w:tcPr>
            <w:tcW w:w="1591" w:type="dxa"/>
          </w:tcPr>
          <w:p w:rsidR="00270FDE" w:rsidRPr="00FD60CA" w:rsidRDefault="00BB57E7" w:rsidP="004B1A09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673" w:type="dxa"/>
          </w:tcPr>
          <w:p w:rsidR="00270FDE" w:rsidRPr="00FD60CA" w:rsidRDefault="00270FDE" w:rsidP="00130342">
            <w:pPr>
              <w:pStyle w:val="7"/>
              <w:spacing w:before="0" w:after="0"/>
              <w:rPr>
                <w:sz w:val="22"/>
                <w:szCs w:val="22"/>
              </w:rPr>
            </w:pPr>
          </w:p>
        </w:tc>
      </w:tr>
      <w:tr w:rsidR="00270FDE" w:rsidRPr="00FD60CA" w:rsidTr="00FD60CA">
        <w:trPr>
          <w:trHeight w:val="251"/>
          <w:jc w:val="center"/>
        </w:trPr>
        <w:tc>
          <w:tcPr>
            <w:tcW w:w="1787" w:type="dxa"/>
          </w:tcPr>
          <w:p w:rsidR="00270FDE" w:rsidRPr="00FD60CA" w:rsidRDefault="00823B25" w:rsidP="00130342">
            <w:pPr>
              <w:pStyle w:val="7"/>
              <w:spacing w:before="0" w:after="0"/>
              <w:rPr>
                <w:sz w:val="22"/>
                <w:szCs w:val="22"/>
              </w:rPr>
            </w:pPr>
            <w:proofErr w:type="spellStart"/>
            <w:r w:rsidRPr="00FD60CA">
              <w:rPr>
                <w:sz w:val="22"/>
                <w:szCs w:val="22"/>
              </w:rPr>
              <w:t>ехограф</w:t>
            </w:r>
            <w:proofErr w:type="spellEnd"/>
          </w:p>
        </w:tc>
        <w:tc>
          <w:tcPr>
            <w:tcW w:w="1341" w:type="dxa"/>
            <w:vAlign w:val="center"/>
          </w:tcPr>
          <w:p w:rsidR="00270FDE" w:rsidRPr="00FD60CA" w:rsidRDefault="00270FDE" w:rsidP="00130342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270FDE" w:rsidRPr="00FD60CA" w:rsidRDefault="00823B25" w:rsidP="004B1A09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  <w:r w:rsidRPr="00FD60CA">
              <w:rPr>
                <w:sz w:val="22"/>
                <w:szCs w:val="22"/>
              </w:rPr>
              <w:t>35х.</w:t>
            </w:r>
            <w:proofErr w:type="spellStart"/>
            <w:r w:rsidRPr="00FD60CA">
              <w:rPr>
                <w:sz w:val="22"/>
                <w:szCs w:val="22"/>
              </w:rPr>
              <w:t>лв</w:t>
            </w:r>
            <w:proofErr w:type="spellEnd"/>
          </w:p>
        </w:tc>
        <w:tc>
          <w:tcPr>
            <w:tcW w:w="1806" w:type="dxa"/>
            <w:vAlign w:val="center"/>
          </w:tcPr>
          <w:p w:rsidR="00270FDE" w:rsidRPr="00FD60CA" w:rsidRDefault="00823B25" w:rsidP="004B1A09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  <w:r w:rsidRPr="00FD60C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1591" w:type="dxa"/>
          </w:tcPr>
          <w:p w:rsidR="00270FDE" w:rsidRPr="00FD60CA" w:rsidRDefault="00823B25" w:rsidP="004B1A09">
            <w:pPr>
              <w:pStyle w:val="7"/>
              <w:spacing w:before="0" w:after="0"/>
              <w:jc w:val="center"/>
              <w:rPr>
                <w:sz w:val="22"/>
                <w:szCs w:val="22"/>
              </w:rPr>
            </w:pPr>
            <w:r w:rsidRPr="00FD60CA">
              <w:rPr>
                <w:sz w:val="22"/>
                <w:szCs w:val="22"/>
              </w:rPr>
              <w:t>100%</w:t>
            </w:r>
          </w:p>
        </w:tc>
        <w:tc>
          <w:tcPr>
            <w:tcW w:w="1673" w:type="dxa"/>
          </w:tcPr>
          <w:p w:rsidR="00270FDE" w:rsidRPr="00FD60CA" w:rsidRDefault="00270FDE" w:rsidP="00130342">
            <w:pPr>
              <w:pStyle w:val="7"/>
              <w:spacing w:before="0" w:after="0"/>
              <w:rPr>
                <w:sz w:val="22"/>
                <w:szCs w:val="22"/>
              </w:rPr>
            </w:pPr>
          </w:p>
        </w:tc>
      </w:tr>
    </w:tbl>
    <w:p w:rsidR="001548C1" w:rsidRPr="00FD60CA" w:rsidRDefault="001548C1" w:rsidP="00213ABA">
      <w:pPr>
        <w:jc w:val="both"/>
        <w:rPr>
          <w:color w:val="000000"/>
          <w:kern w:val="2"/>
        </w:rPr>
      </w:pPr>
    </w:p>
    <w:p w:rsidR="00270FDE" w:rsidRPr="00FD60CA" w:rsidRDefault="00270FDE" w:rsidP="00213ABA">
      <w:pPr>
        <w:jc w:val="both"/>
        <w:rPr>
          <w:color w:val="000000"/>
          <w:kern w:val="2"/>
        </w:rPr>
      </w:pPr>
    </w:p>
    <w:p w:rsidR="00270FDE" w:rsidRPr="006E085E" w:rsidRDefault="00270FDE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НАСТЪПИЛИ ПРОМЕНИ В ОСНОВНИТЕ ПРИНЦИПИ НА УПРАВЛЕНИЕ</w:t>
      </w:r>
      <w:r w:rsidR="005218FD"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</w:p>
    <w:p w:rsidR="00270FDE" w:rsidRPr="00FD60CA" w:rsidRDefault="00270FDE" w:rsidP="00213ABA">
      <w:pPr>
        <w:jc w:val="both"/>
        <w:rPr>
          <w:color w:val="000000"/>
          <w:kern w:val="2"/>
        </w:rPr>
      </w:pPr>
    </w:p>
    <w:p w:rsidR="00270FDE" w:rsidRPr="00FD60CA" w:rsidRDefault="00CB19DC" w:rsidP="00213ABA">
      <w:pPr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През </w:t>
      </w:r>
      <w:r w:rsidRPr="00CB19DC">
        <w:rPr>
          <w:color w:val="000000"/>
          <w:kern w:val="2"/>
        </w:rPr>
        <w:t xml:space="preserve">1-вото </w:t>
      </w:r>
      <w:proofErr w:type="spellStart"/>
      <w:r w:rsidRPr="00CB19DC">
        <w:rPr>
          <w:color w:val="000000"/>
          <w:kern w:val="2"/>
        </w:rPr>
        <w:t>шесмесечие</w:t>
      </w:r>
      <w:proofErr w:type="spellEnd"/>
      <w:r w:rsidRPr="00CB19DC">
        <w:rPr>
          <w:color w:val="000000"/>
          <w:kern w:val="2"/>
        </w:rPr>
        <w:t xml:space="preserve"> на 2017г</w:t>
      </w:r>
      <w:r w:rsidR="00270FDE" w:rsidRPr="00FD60CA">
        <w:rPr>
          <w:color w:val="000000"/>
          <w:kern w:val="2"/>
        </w:rPr>
        <w:t>. в основните принципи на управление на „</w:t>
      </w:r>
      <w:r w:rsidR="007C1452" w:rsidRPr="00FD60CA">
        <w:rPr>
          <w:color w:val="000000"/>
          <w:kern w:val="2"/>
        </w:rPr>
        <w:t>ДКЦ V Варна Света Екатерина</w:t>
      </w:r>
      <w:r w:rsidR="00270FDE" w:rsidRPr="00FD60CA">
        <w:rPr>
          <w:color w:val="000000"/>
          <w:kern w:val="2"/>
        </w:rPr>
        <w:t>”</w:t>
      </w:r>
      <w:r w:rsidR="00D67447" w:rsidRPr="00FD60CA">
        <w:rPr>
          <w:color w:val="000000"/>
          <w:kern w:val="2"/>
        </w:rPr>
        <w:t>Е</w:t>
      </w:r>
      <w:r w:rsidR="00270FDE" w:rsidRPr="00FD60CA">
        <w:rPr>
          <w:color w:val="000000"/>
          <w:kern w:val="2"/>
        </w:rPr>
        <w:t xml:space="preserve"> </w:t>
      </w:r>
      <w:r w:rsidR="00BF1EA1" w:rsidRPr="00FD60CA">
        <w:rPr>
          <w:color w:val="000000"/>
          <w:kern w:val="2"/>
        </w:rPr>
        <w:t>ОО</w:t>
      </w:r>
      <w:r w:rsidR="00270FDE" w:rsidRPr="00FD60CA">
        <w:rPr>
          <w:color w:val="000000"/>
          <w:kern w:val="2"/>
        </w:rPr>
        <w:t>Д</w:t>
      </w:r>
      <w:r w:rsidR="00BF1EA1" w:rsidRPr="00FD60CA">
        <w:rPr>
          <w:color w:val="000000"/>
          <w:kern w:val="2"/>
        </w:rPr>
        <w:t xml:space="preserve"> </w:t>
      </w:r>
      <w:r w:rsidR="004B1A09">
        <w:rPr>
          <w:color w:val="000000"/>
          <w:kern w:val="2"/>
        </w:rPr>
        <w:t>не са настъпили промени.</w:t>
      </w:r>
    </w:p>
    <w:p w:rsidR="005218FD" w:rsidRPr="00FD60CA" w:rsidRDefault="005218FD" w:rsidP="007F3543">
      <w:pPr>
        <w:pStyle w:val="a3"/>
        <w:shd w:val="clear" w:color="auto" w:fill="E36C0A"/>
        <w:autoSpaceDE w:val="0"/>
        <w:autoSpaceDN w:val="0"/>
        <w:adjustRightInd w:val="0"/>
        <w:spacing w:before="240"/>
        <w:jc w:val="both"/>
        <w:rPr>
          <w:color w:val="000000"/>
          <w:kern w:val="2"/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ПРОМЕНИ В УПРАВИТЕЛНИТЕ И НАДЗОРНИТЕ ОРГАНИ </w:t>
      </w:r>
    </w:p>
    <w:p w:rsidR="005218FD" w:rsidRPr="00FD60CA" w:rsidRDefault="005218FD" w:rsidP="005218FD">
      <w:pPr>
        <w:jc w:val="both"/>
        <w:rPr>
          <w:color w:val="000000"/>
          <w:kern w:val="2"/>
        </w:rPr>
      </w:pPr>
      <w:r w:rsidRPr="00FD60CA">
        <w:rPr>
          <w:color w:val="000000"/>
          <w:kern w:val="2"/>
        </w:rPr>
        <w:t xml:space="preserve">През </w:t>
      </w:r>
      <w:r w:rsidR="00CB19DC" w:rsidRPr="00CB19DC">
        <w:rPr>
          <w:color w:val="000000"/>
          <w:kern w:val="2"/>
        </w:rPr>
        <w:t xml:space="preserve">1-вото </w:t>
      </w:r>
      <w:proofErr w:type="spellStart"/>
      <w:r w:rsidR="00CB19DC" w:rsidRPr="00CB19DC">
        <w:rPr>
          <w:color w:val="000000"/>
          <w:kern w:val="2"/>
        </w:rPr>
        <w:t>шесмесечие</w:t>
      </w:r>
      <w:proofErr w:type="spellEnd"/>
      <w:r w:rsidR="00CB19DC" w:rsidRPr="00CB19DC">
        <w:rPr>
          <w:color w:val="000000"/>
          <w:kern w:val="2"/>
        </w:rPr>
        <w:t xml:space="preserve"> на 2017г </w:t>
      </w:r>
      <w:r w:rsidRPr="00FD60CA">
        <w:rPr>
          <w:color w:val="000000"/>
          <w:kern w:val="2"/>
        </w:rPr>
        <w:t xml:space="preserve"> в  управителните и надзорните органи на „</w:t>
      </w:r>
      <w:r w:rsidR="00D67447" w:rsidRPr="00FD60CA">
        <w:rPr>
          <w:color w:val="000000"/>
          <w:kern w:val="2"/>
        </w:rPr>
        <w:t>ДКЦ V Варна Света Екатерина</w:t>
      </w:r>
      <w:r w:rsidRPr="00FD60CA">
        <w:rPr>
          <w:color w:val="000000"/>
          <w:kern w:val="2"/>
        </w:rPr>
        <w:t>.”</w:t>
      </w:r>
      <w:r w:rsidR="00D67447" w:rsidRPr="00FD60CA">
        <w:rPr>
          <w:color w:val="000000"/>
          <w:kern w:val="2"/>
        </w:rPr>
        <w:t>Е</w:t>
      </w:r>
      <w:r w:rsidRPr="00FD60CA">
        <w:rPr>
          <w:color w:val="000000"/>
          <w:kern w:val="2"/>
        </w:rPr>
        <w:t xml:space="preserve"> </w:t>
      </w:r>
      <w:r w:rsidR="00B7505B" w:rsidRPr="00FD60CA">
        <w:rPr>
          <w:color w:val="000000"/>
          <w:kern w:val="2"/>
        </w:rPr>
        <w:t>ОО</w:t>
      </w:r>
      <w:r w:rsidRPr="00FD60CA">
        <w:rPr>
          <w:color w:val="000000"/>
          <w:kern w:val="2"/>
        </w:rPr>
        <w:t>Д</w:t>
      </w:r>
      <w:r w:rsidR="00B7505B" w:rsidRPr="00FD60CA">
        <w:rPr>
          <w:color w:val="000000"/>
          <w:kern w:val="2"/>
        </w:rPr>
        <w:t xml:space="preserve"> </w:t>
      </w:r>
      <w:r w:rsidRPr="00FD60CA">
        <w:rPr>
          <w:color w:val="000000"/>
          <w:kern w:val="2"/>
        </w:rPr>
        <w:t xml:space="preserve">не са </w:t>
      </w:r>
      <w:r w:rsidR="004B1A09">
        <w:rPr>
          <w:color w:val="000000"/>
          <w:kern w:val="2"/>
        </w:rPr>
        <w:t>настъпили промени.</w:t>
      </w:r>
    </w:p>
    <w:p w:rsidR="00757417" w:rsidRPr="00FD60CA" w:rsidRDefault="00757417" w:rsidP="00270FDE">
      <w:pPr>
        <w:jc w:val="both"/>
        <w:rPr>
          <w:color w:val="000000"/>
          <w:kern w:val="2"/>
        </w:rPr>
      </w:pPr>
    </w:p>
    <w:p w:rsidR="00152816" w:rsidRPr="006E085E" w:rsidRDefault="00152816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РАЗМЕР НА ВЪЗНАГРАЖДЕНИЯТА, НАГРАДИТЕ И/ИЛИ ПОЛЗИТЕ НА ВСЕКИ ОТ ЧЛЕНОВЕТЕ НА УПРАВИТЕЛНИТЕ И КОНТРОЛНИТЕ ОРГАНИ </w:t>
      </w:r>
    </w:p>
    <w:p w:rsidR="00130342" w:rsidRPr="00FD60CA" w:rsidRDefault="00130342" w:rsidP="00152816">
      <w:pPr>
        <w:jc w:val="both"/>
        <w:rPr>
          <w:color w:val="000000"/>
          <w:kern w:val="2"/>
        </w:rPr>
      </w:pPr>
    </w:p>
    <w:p w:rsidR="00B7505B" w:rsidRPr="00FD60CA" w:rsidRDefault="00765961" w:rsidP="00B7505B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получените непарични възнаграждения на членовете на управителните и контролните органи на „</w:t>
      </w:r>
      <w:r w:rsidR="00C22A78" w:rsidRPr="00FD60CA">
        <w:rPr>
          <w:rFonts w:cs="Arial"/>
          <w:b/>
          <w:bCs/>
          <w:i/>
          <w:iCs/>
          <w:color w:val="000000"/>
        </w:rPr>
        <w:t>ДКЦ V Варна Света Екатерина</w:t>
      </w:r>
      <w:r w:rsidR="00AC15BC" w:rsidRPr="00FD60CA">
        <w:rPr>
          <w:rFonts w:cs="Arial"/>
          <w:b/>
          <w:bCs/>
          <w:i/>
          <w:iCs/>
          <w:color w:val="000000"/>
        </w:rPr>
        <w:t>“ ЕООД</w:t>
      </w:r>
      <w:r w:rsidRPr="00FD60CA">
        <w:rPr>
          <w:rFonts w:cs="Arial"/>
          <w:b/>
          <w:bCs/>
          <w:i/>
          <w:iCs/>
          <w:color w:val="000000"/>
        </w:rPr>
        <w:t>“</w:t>
      </w:r>
      <w:r w:rsidR="00FA463E" w:rsidRPr="00FD60CA">
        <w:rPr>
          <w:rFonts w:cs="Arial"/>
          <w:b/>
          <w:bCs/>
          <w:i/>
          <w:iCs/>
          <w:color w:val="000000"/>
        </w:rPr>
        <w:t>:</w:t>
      </w:r>
      <w:r w:rsidR="00FD60CA" w:rsidRPr="00FD60CA">
        <w:rPr>
          <w:rFonts w:cs="Arial"/>
          <w:b/>
          <w:bCs/>
          <w:i/>
          <w:iCs/>
          <w:color w:val="000000"/>
        </w:rPr>
        <w:t xml:space="preserve"> </w:t>
      </w:r>
      <w:r w:rsidR="00FA463E" w:rsidRPr="00FD60CA">
        <w:rPr>
          <w:rFonts w:cs="Arial"/>
          <w:b/>
          <w:bCs/>
          <w:i/>
          <w:iCs/>
          <w:color w:val="000000"/>
          <w:sz w:val="28"/>
          <w:szCs w:val="28"/>
        </w:rPr>
        <w:t>няма такива</w:t>
      </w:r>
      <w:r w:rsidRPr="00FD60CA">
        <w:rPr>
          <w:rFonts w:cs="Arial"/>
          <w:b/>
          <w:bCs/>
          <w:i/>
          <w:iCs/>
          <w:color w:val="000000"/>
        </w:rPr>
        <w:t xml:space="preserve"> </w:t>
      </w:r>
    </w:p>
    <w:p w:rsidR="00B7505B" w:rsidRPr="00FD60CA" w:rsidRDefault="00B7505B" w:rsidP="00B7505B">
      <w:pPr>
        <w:ind w:right="181"/>
        <w:jc w:val="both"/>
        <w:rPr>
          <w:rFonts w:cs="Arial"/>
          <w:b/>
          <w:bCs/>
          <w:i/>
          <w:iCs/>
          <w:color w:val="000000"/>
        </w:rPr>
      </w:pPr>
    </w:p>
    <w:p w:rsidR="00765961" w:rsidRPr="00FD60CA" w:rsidRDefault="00765961" w:rsidP="00FA463E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FD60CA">
        <w:rPr>
          <w:rFonts w:cs="Arial"/>
          <w:b/>
          <w:bCs/>
          <w:i/>
          <w:iCs/>
          <w:color w:val="000000"/>
        </w:rPr>
        <w:t xml:space="preserve">Информация за условни възнаграждения, възникнали през годината на членовете на управителните и контролните органи на </w:t>
      </w:r>
      <w:r w:rsidR="00FA463E" w:rsidRPr="00FD60CA">
        <w:rPr>
          <w:rFonts w:cs="Arial"/>
          <w:b/>
          <w:bCs/>
          <w:i/>
          <w:iCs/>
          <w:color w:val="000000"/>
        </w:rPr>
        <w:t>ДКЦ V Варна Света Екатерина</w:t>
      </w:r>
      <w:r w:rsidR="00AC15BC" w:rsidRPr="00FD60CA">
        <w:rPr>
          <w:rFonts w:cs="Arial"/>
          <w:b/>
          <w:bCs/>
          <w:i/>
          <w:iCs/>
          <w:color w:val="000000"/>
        </w:rPr>
        <w:t>“ ЕООД</w:t>
      </w:r>
      <w:r w:rsidR="00FA463E" w:rsidRPr="00FD60CA">
        <w:rPr>
          <w:rFonts w:cs="Arial"/>
          <w:b/>
          <w:bCs/>
          <w:i/>
          <w:iCs/>
          <w:color w:val="000000"/>
        </w:rPr>
        <w:t>:</w:t>
      </w:r>
      <w:r w:rsidR="00FD60CA" w:rsidRPr="00FD60CA">
        <w:rPr>
          <w:rFonts w:cs="Arial"/>
          <w:b/>
          <w:bCs/>
          <w:i/>
          <w:iCs/>
          <w:color w:val="000000"/>
        </w:rPr>
        <w:t xml:space="preserve"> </w:t>
      </w:r>
      <w:r w:rsidR="00FA463E" w:rsidRPr="00FD60CA">
        <w:rPr>
          <w:rFonts w:cs="Arial"/>
          <w:b/>
          <w:bCs/>
          <w:i/>
          <w:iCs/>
          <w:color w:val="000000"/>
          <w:sz w:val="28"/>
          <w:szCs w:val="28"/>
        </w:rPr>
        <w:t>няма такива</w:t>
      </w:r>
    </w:p>
    <w:p w:rsidR="00B7505B" w:rsidRPr="00FD60CA" w:rsidRDefault="00B7505B" w:rsidP="00B7505B">
      <w:pPr>
        <w:ind w:right="181"/>
        <w:jc w:val="both"/>
        <w:rPr>
          <w:rFonts w:cs="Arial"/>
          <w:b/>
          <w:bCs/>
          <w:i/>
          <w:iCs/>
          <w:color w:val="000000"/>
        </w:rPr>
      </w:pPr>
    </w:p>
    <w:p w:rsidR="00B7505B" w:rsidRPr="00FD60CA" w:rsidRDefault="00765961" w:rsidP="00B7505B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разсрочени възнаграждения, възникнали през годината на членовете на управителните и контролните органи на „</w:t>
      </w:r>
      <w:r w:rsidR="00FA463E" w:rsidRPr="00FD60CA">
        <w:rPr>
          <w:rFonts w:cs="Arial"/>
          <w:b/>
          <w:bCs/>
          <w:i/>
          <w:iCs/>
          <w:color w:val="000000"/>
        </w:rPr>
        <w:t>ДКЦ V Варна Света Екатерина</w:t>
      </w:r>
      <w:r w:rsidR="00AC15BC" w:rsidRPr="00FD60CA">
        <w:rPr>
          <w:rFonts w:cs="Arial"/>
          <w:b/>
          <w:bCs/>
          <w:i/>
          <w:iCs/>
          <w:color w:val="000000"/>
        </w:rPr>
        <w:t>“ ЕООД</w:t>
      </w:r>
      <w:r w:rsidR="00FA463E" w:rsidRPr="00FD60CA">
        <w:rPr>
          <w:rFonts w:cs="Arial"/>
          <w:b/>
          <w:bCs/>
          <w:i/>
          <w:iCs/>
          <w:color w:val="000000"/>
        </w:rPr>
        <w:t xml:space="preserve">: </w:t>
      </w:r>
      <w:r w:rsidR="00FA463E" w:rsidRPr="00FD60CA">
        <w:rPr>
          <w:rFonts w:cs="Arial"/>
          <w:b/>
          <w:bCs/>
          <w:i/>
          <w:iCs/>
          <w:color w:val="000000"/>
          <w:sz w:val="28"/>
          <w:szCs w:val="28"/>
        </w:rPr>
        <w:t>няма такива</w:t>
      </w:r>
    </w:p>
    <w:p w:rsidR="00757417" w:rsidRPr="00FD60CA" w:rsidRDefault="00757417" w:rsidP="00765961"/>
    <w:p w:rsidR="00A67A5F" w:rsidRPr="00FD60CA" w:rsidRDefault="00A67A5F" w:rsidP="00FA463E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lastRenderedPageBreak/>
        <w:t xml:space="preserve">Информация за </w:t>
      </w:r>
      <w:r w:rsidR="00FA463E" w:rsidRPr="00FD60CA">
        <w:rPr>
          <w:rFonts w:cs="Arial"/>
          <w:b/>
          <w:bCs/>
          <w:i/>
          <w:iCs/>
          <w:color w:val="000000"/>
        </w:rPr>
        <w:t>дължимите от „ДКЦ V Варна Света Екатерина</w:t>
      </w:r>
      <w:r w:rsidR="00AC15BC" w:rsidRPr="00FD60CA">
        <w:rPr>
          <w:rFonts w:cs="Arial"/>
          <w:b/>
          <w:bCs/>
          <w:i/>
          <w:iCs/>
          <w:color w:val="000000"/>
        </w:rPr>
        <w:t>“ ЕООД</w:t>
      </w:r>
      <w:r w:rsidR="00FA463E" w:rsidRPr="00FD60CA">
        <w:rPr>
          <w:rFonts w:cs="Arial"/>
          <w:b/>
          <w:bCs/>
          <w:i/>
          <w:iCs/>
          <w:color w:val="000000"/>
        </w:rPr>
        <w:t xml:space="preserve"> </w:t>
      </w:r>
      <w:r w:rsidRPr="00FD60CA">
        <w:rPr>
          <w:rFonts w:cs="Arial"/>
          <w:b/>
          <w:bCs/>
          <w:i/>
          <w:iCs/>
          <w:color w:val="000000"/>
        </w:rPr>
        <w:t>суми за изплащане на пенсии, обезщетения при пенсиониране или други подобни обезщетения:</w:t>
      </w:r>
      <w:r w:rsidR="00FA463E" w:rsidRPr="00FD60CA">
        <w:rPr>
          <w:rFonts w:cs="Arial"/>
          <w:b/>
          <w:bCs/>
          <w:i/>
          <w:iCs/>
          <w:color w:val="000000"/>
        </w:rPr>
        <w:t xml:space="preserve"> </w:t>
      </w:r>
      <w:r w:rsidR="00FA463E" w:rsidRPr="00FD60CA">
        <w:rPr>
          <w:rFonts w:cs="Arial"/>
          <w:b/>
          <w:bCs/>
          <w:i/>
          <w:iCs/>
          <w:color w:val="000000"/>
          <w:sz w:val="28"/>
          <w:szCs w:val="28"/>
        </w:rPr>
        <w:t>не дължи обезщетения</w:t>
      </w:r>
    </w:p>
    <w:p w:rsidR="00A67A5F" w:rsidRPr="00FD60CA" w:rsidRDefault="00A67A5F" w:rsidP="00A67A5F">
      <w:pPr>
        <w:ind w:right="181"/>
        <w:jc w:val="both"/>
        <w:rPr>
          <w:rFonts w:cs="Arial"/>
          <w:b/>
          <w:bCs/>
          <w:i/>
          <w:iCs/>
          <w:color w:val="000000"/>
        </w:rPr>
      </w:pPr>
    </w:p>
    <w:p w:rsidR="007579EF" w:rsidRPr="00FD60CA" w:rsidRDefault="007579EF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дължимите от дъщерните дружества суми за изплащане на пенсии, обезщетения при пенсиониране или други подобни обезщетения:</w:t>
      </w:r>
    </w:p>
    <w:p w:rsidR="007579EF" w:rsidRPr="00FD60CA" w:rsidRDefault="006E6FED" w:rsidP="002228B1">
      <w:pPr>
        <w:pStyle w:val="7"/>
        <w:numPr>
          <w:ilvl w:val="0"/>
          <w:numId w:val="7"/>
        </w:numPr>
        <w:ind w:left="1418"/>
        <w:rPr>
          <w:rFonts w:cs="Calibri"/>
          <w:b/>
          <w:bCs/>
          <w:sz w:val="22"/>
          <w:szCs w:val="22"/>
        </w:rPr>
      </w:pPr>
      <w:r w:rsidRPr="00FD60CA">
        <w:rPr>
          <w:rFonts w:cs="Calibri"/>
          <w:b/>
          <w:bCs/>
          <w:sz w:val="22"/>
          <w:szCs w:val="22"/>
        </w:rPr>
        <w:t>Д</w:t>
      </w:r>
      <w:r w:rsidR="007579EF" w:rsidRPr="00FD60CA">
        <w:rPr>
          <w:rFonts w:cs="Calibri"/>
          <w:b/>
          <w:bCs/>
          <w:sz w:val="22"/>
          <w:szCs w:val="22"/>
        </w:rPr>
        <w:t xml:space="preserve">ъщерното дружество </w:t>
      </w:r>
      <w:r w:rsidR="00FA463E" w:rsidRPr="00FD60CA">
        <w:rPr>
          <w:rFonts w:cs="Calibri"/>
          <w:b/>
          <w:bCs/>
          <w:sz w:val="22"/>
          <w:szCs w:val="22"/>
        </w:rPr>
        <w:t xml:space="preserve">: </w:t>
      </w:r>
      <w:r w:rsidR="00FA463E" w:rsidRPr="00FD60CA">
        <w:rPr>
          <w:rFonts w:cs="Calibri"/>
          <w:b/>
          <w:bCs/>
          <w:sz w:val="28"/>
          <w:szCs w:val="28"/>
        </w:rPr>
        <w:t>няма такива дружества</w:t>
      </w:r>
    </w:p>
    <w:p w:rsidR="00775326" w:rsidRPr="00FD60CA" w:rsidRDefault="00775326" w:rsidP="00A370BE"/>
    <w:p w:rsidR="00775326" w:rsidRPr="006E085E" w:rsidRDefault="00775326" w:rsidP="002228B1">
      <w:pPr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ИЗВЕСТНИ НА „</w:t>
      </w:r>
      <w:r w:rsidR="00FA463E" w:rsidRPr="00FD60CA">
        <w:t xml:space="preserve"> </w:t>
      </w:r>
      <w:r w:rsidR="00FA463E" w:rsidRPr="006E085E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ДКЦ V Варна Света Екатерина</w:t>
      </w:r>
      <w:r w:rsidR="00AC15BC" w:rsidRPr="006E085E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“ ЕООД</w:t>
      </w:r>
      <w:r w:rsidR="00FA463E" w:rsidRPr="006E085E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6E085E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ДОГОВОРЕНОСТИ, в резултат на които в бъдещ период могат да настъпят промени в притежавания относителен дял </w:t>
      </w:r>
      <w:r w:rsidR="00C12BF5" w:rsidRPr="006E085E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дялове</w:t>
      </w:r>
      <w:r w:rsidRPr="006E085E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от настоящи </w:t>
      </w:r>
      <w:proofErr w:type="spellStart"/>
      <w:r w:rsidR="007F3543">
        <w:rPr>
          <w:rFonts w:cs="Calibr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съдружници</w:t>
      </w:r>
      <w:proofErr w:type="spellEnd"/>
    </w:p>
    <w:p w:rsidR="009E7C86" w:rsidRPr="00FD60CA" w:rsidRDefault="009E7C86" w:rsidP="00386062">
      <w:pPr>
        <w:jc w:val="both"/>
      </w:pPr>
    </w:p>
    <w:p w:rsidR="00775326" w:rsidRPr="00FD60CA" w:rsidRDefault="00775326" w:rsidP="00386062">
      <w:pPr>
        <w:jc w:val="both"/>
      </w:pPr>
      <w:r w:rsidRPr="00FD60CA">
        <w:t>На „</w:t>
      </w:r>
      <w:r w:rsidR="00D67447" w:rsidRPr="00FD60CA">
        <w:t>ДКЦ V Варна Света Екатерина</w:t>
      </w:r>
      <w:r w:rsidR="00AC15BC" w:rsidRPr="00FD60CA">
        <w:t>“ ЕООД</w:t>
      </w:r>
      <w:r w:rsidRPr="00FD60CA">
        <w:t xml:space="preserve"> </w:t>
      </w:r>
      <w:r w:rsidR="00386062" w:rsidRPr="00FD60CA">
        <w:t xml:space="preserve">не са известни договорености </w:t>
      </w:r>
      <w:r w:rsidR="00E26435" w:rsidRPr="00FD60CA">
        <w:t>,</w:t>
      </w:r>
      <w:r w:rsidR="00386062" w:rsidRPr="00FD60CA">
        <w:t xml:space="preserve"> в резултат на които в бъдещ период могат да настъпят промени в притежавания относителен дял </w:t>
      </w:r>
      <w:r w:rsidR="00C12BF5" w:rsidRPr="00FD60CA">
        <w:t>дялове</w:t>
      </w:r>
      <w:r w:rsidR="00386062" w:rsidRPr="00FD60CA">
        <w:t xml:space="preserve"> от настоящи </w:t>
      </w:r>
      <w:proofErr w:type="spellStart"/>
      <w:r w:rsidR="00C12BF5" w:rsidRPr="00FD60CA">
        <w:t>съдружници</w:t>
      </w:r>
      <w:proofErr w:type="spellEnd"/>
      <w:r w:rsidR="00386062" w:rsidRPr="00FD60CA">
        <w:t>:</w:t>
      </w:r>
    </w:p>
    <w:p w:rsidR="00757417" w:rsidRPr="00FD60CA" w:rsidRDefault="00757417" w:rsidP="00386062">
      <w:pPr>
        <w:jc w:val="both"/>
      </w:pPr>
    </w:p>
    <w:p w:rsidR="00386062" w:rsidRPr="006E085E" w:rsidRDefault="00386062" w:rsidP="002228B1">
      <w:pPr>
        <w:pStyle w:val="a3"/>
        <w:shd w:val="clear" w:color="auto" w:fill="E36C0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6E085E">
        <w:rPr>
          <w:rFonts w:cs="Calibri"/>
          <w:b/>
          <w:bCs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ИНФОРМАЦИЯ ЗА ВИСЯЩИ СЪДЕБНИ, АДМИНИСТРАТИВНИ И АРБИТРАЖНИ ПРОИЗВОДСТВА </w:t>
      </w:r>
    </w:p>
    <w:p w:rsidR="00386062" w:rsidRPr="00FD60CA" w:rsidRDefault="00386062" w:rsidP="00386062"/>
    <w:p w:rsidR="00277D91" w:rsidRPr="00FD60CA" w:rsidRDefault="00277D91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висящи съдебни, административни или арбитражни производства, касаещи негови задължения в размер най-малко 10 на сто от собствения му капитал</w:t>
      </w:r>
    </w:p>
    <w:p w:rsidR="00386062" w:rsidRPr="00FD60CA" w:rsidRDefault="00AA4250" w:rsidP="00386062">
      <w:pPr>
        <w:jc w:val="both"/>
      </w:pPr>
      <w:r>
        <w:t>Няма образувани производства</w:t>
      </w:r>
    </w:p>
    <w:p w:rsidR="00277D91" w:rsidRPr="00FD60CA" w:rsidRDefault="00277D91" w:rsidP="00386062">
      <w:pPr>
        <w:jc w:val="both"/>
      </w:pPr>
    </w:p>
    <w:p w:rsidR="00277D91" w:rsidRDefault="00277D91" w:rsidP="002228B1">
      <w:pPr>
        <w:numPr>
          <w:ilvl w:val="0"/>
          <w:numId w:val="8"/>
        </w:numPr>
        <w:ind w:right="181"/>
        <w:jc w:val="both"/>
        <w:rPr>
          <w:rFonts w:cs="Arial"/>
          <w:b/>
          <w:bCs/>
          <w:i/>
          <w:iCs/>
          <w:color w:val="000000"/>
        </w:rPr>
      </w:pPr>
      <w:r w:rsidRPr="00FD60CA">
        <w:rPr>
          <w:rFonts w:cs="Arial"/>
          <w:b/>
          <w:bCs/>
          <w:i/>
          <w:iCs/>
          <w:color w:val="000000"/>
        </w:rPr>
        <w:t>Информация за висящи съдебни, административни или арбитражни производства, касаещи негови вземания в размер най-малко 10 на сто от собствения му капитал</w:t>
      </w:r>
    </w:p>
    <w:p w:rsidR="00AA4250" w:rsidRPr="00FD60CA" w:rsidRDefault="00AA4250" w:rsidP="00AA4250">
      <w:pPr>
        <w:jc w:val="both"/>
      </w:pPr>
      <w:r>
        <w:t>Няма образувани производства</w:t>
      </w:r>
    </w:p>
    <w:p w:rsidR="004F6E7D" w:rsidRDefault="004F6E7D" w:rsidP="00566C38">
      <w:pPr>
        <w:pStyle w:val="af2"/>
        <w:ind w:right="180"/>
        <w:jc w:val="both"/>
        <w:rPr>
          <w:rFonts w:ascii="Calibri" w:hAnsi="Calibri"/>
          <w:sz w:val="22"/>
        </w:rPr>
      </w:pPr>
    </w:p>
    <w:p w:rsidR="004B1A09" w:rsidRPr="00FD60CA" w:rsidRDefault="004B1A09" w:rsidP="00566C38">
      <w:pPr>
        <w:pStyle w:val="af2"/>
        <w:ind w:right="180"/>
        <w:jc w:val="both"/>
        <w:rPr>
          <w:rFonts w:ascii="Calibri" w:hAnsi="Calibri"/>
          <w:sz w:val="22"/>
        </w:rPr>
      </w:pPr>
    </w:p>
    <w:p w:rsidR="00FD60CA" w:rsidRDefault="006C457D" w:rsidP="006C457D">
      <w:pPr>
        <w:tabs>
          <w:tab w:val="left" w:pos="0"/>
        </w:tabs>
        <w:ind w:right="114"/>
        <w:jc w:val="center"/>
        <w:rPr>
          <w:noProof/>
          <w:lang w:eastAsia="bg-BG"/>
        </w:rPr>
      </w:pPr>
      <w:r>
        <w:rPr>
          <w:noProof/>
          <w:lang w:eastAsia="bg-BG"/>
        </w:rPr>
        <w:t>Управител</w:t>
      </w:r>
      <w:r w:rsidR="005C6D81">
        <w:rPr>
          <w:noProof/>
          <w:lang w:eastAsia="bg-BG"/>
        </w:rPr>
        <w:t>:</w:t>
      </w:r>
      <w:bookmarkStart w:id="0" w:name="_GoBack"/>
      <w:bookmarkEnd w:id="0"/>
    </w:p>
    <w:p w:rsidR="00FD60CA" w:rsidRPr="00FD60CA" w:rsidRDefault="00FD60CA" w:rsidP="00FD60CA">
      <w:pPr>
        <w:tabs>
          <w:tab w:val="left" w:pos="0"/>
          <w:tab w:val="left" w:pos="5103"/>
          <w:tab w:val="left" w:pos="5812"/>
        </w:tabs>
        <w:ind w:right="114"/>
        <w:jc w:val="both"/>
      </w:pPr>
      <w:r>
        <w:tab/>
      </w:r>
      <w:r>
        <w:tab/>
        <w:t>/Д-р Галин</w:t>
      </w:r>
      <w:r w:rsidR="009F0DF3">
        <w:t>к</w:t>
      </w:r>
      <w:r>
        <w:t>а Павлова/</w:t>
      </w:r>
    </w:p>
    <w:sectPr w:rsidR="00FD60CA" w:rsidRPr="00FD60CA" w:rsidSect="002F443C">
      <w:headerReference w:type="default" r:id="rId26"/>
      <w:footerReference w:type="default" r:id="rId27"/>
      <w:pgSz w:w="11906" w:h="16838"/>
      <w:pgMar w:top="2410" w:right="991" w:bottom="1134" w:left="1417" w:header="1418" w:footer="709" w:gutter="0"/>
      <w:pgBorders w:display="notFirstPage" w:offsetFrom="page">
        <w:top w:val="double" w:sz="4" w:space="24" w:color="E36C0A"/>
        <w:left w:val="double" w:sz="4" w:space="24" w:color="E36C0A"/>
        <w:bottom w:val="double" w:sz="4" w:space="24" w:color="E36C0A"/>
        <w:right w:val="double" w:sz="4" w:space="24" w:color="E36C0A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E2" w:rsidRDefault="00FE28E2" w:rsidP="00104C31">
      <w:r>
        <w:separator/>
      </w:r>
    </w:p>
  </w:endnote>
  <w:endnote w:type="continuationSeparator" w:id="0">
    <w:p w:rsidR="00FE28E2" w:rsidRDefault="00FE28E2" w:rsidP="0010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6" w:rsidRPr="002228B1" w:rsidRDefault="00691F16" w:rsidP="00104C31">
    <w:pPr>
      <w:pStyle w:val="a9"/>
      <w:tabs>
        <w:tab w:val="clear" w:pos="9072"/>
        <w:tab w:val="right" w:pos="9356"/>
      </w:tabs>
      <w:jc w:val="right"/>
      <w:rPr>
        <w:color w:val="E36C0A"/>
        <w:sz w:val="20"/>
        <w:szCs w:val="20"/>
      </w:rPr>
    </w:pPr>
    <w:r w:rsidRPr="002228B1">
      <w:rPr>
        <w:color w:val="E36C0A"/>
        <w:sz w:val="20"/>
        <w:szCs w:val="20"/>
      </w:rPr>
      <w:fldChar w:fldCharType="begin"/>
    </w:r>
    <w:r w:rsidRPr="002228B1">
      <w:rPr>
        <w:color w:val="E36C0A"/>
        <w:sz w:val="20"/>
        <w:szCs w:val="20"/>
      </w:rPr>
      <w:instrText xml:space="preserve"> PAGE   \* MERGEFORMAT </w:instrText>
    </w:r>
    <w:r w:rsidRPr="002228B1">
      <w:rPr>
        <w:color w:val="E36C0A"/>
        <w:sz w:val="20"/>
        <w:szCs w:val="20"/>
      </w:rPr>
      <w:fldChar w:fldCharType="separate"/>
    </w:r>
    <w:r w:rsidR="005C6D81">
      <w:rPr>
        <w:noProof/>
        <w:color w:val="E36C0A"/>
        <w:sz w:val="20"/>
        <w:szCs w:val="20"/>
      </w:rPr>
      <w:t>24</w:t>
    </w:r>
    <w:r w:rsidRPr="002228B1">
      <w:rPr>
        <w:noProof/>
        <w:color w:val="E36C0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E2" w:rsidRDefault="00FE28E2" w:rsidP="00104C31">
      <w:r>
        <w:separator/>
      </w:r>
    </w:p>
  </w:footnote>
  <w:footnote w:type="continuationSeparator" w:id="0">
    <w:p w:rsidR="00FE28E2" w:rsidRDefault="00FE28E2" w:rsidP="00104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6" w:rsidRDefault="00691F16" w:rsidP="002F443C">
    <w:pPr>
      <w:jc w:val="both"/>
      <w:rPr>
        <w:rFonts w:cs="Arial"/>
        <w:sz w:val="24"/>
        <w:szCs w:val="24"/>
        <w:lang w:eastAsia="bg-BG"/>
      </w:rPr>
    </w:pPr>
    <w:r>
      <w:rPr>
        <w:noProof/>
        <w:sz w:val="24"/>
        <w:szCs w:val="24"/>
        <w:lang w:eastAsia="bg-BG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-539750</wp:posOffset>
              </wp:positionV>
              <wp:extent cx="6882765" cy="1146810"/>
              <wp:effectExtent l="0" t="0" r="3810" b="0"/>
              <wp:wrapNone/>
              <wp:docPr id="1" name="Групиран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765" cy="1146810"/>
                        <a:chOff x="337" y="157"/>
                        <a:chExt cx="11134" cy="1710"/>
                      </a:xfrm>
                    </wpg:grpSpPr>
                    <pic:pic xmlns:pic="http://schemas.openxmlformats.org/drawingml/2006/picture">
                      <pic:nvPicPr>
                        <pic:cNvPr id="2" name="Picture 3" descr="vizitki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" y="157"/>
                          <a:ext cx="1993" cy="17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230" y="328"/>
                          <a:ext cx="9241" cy="1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F16" w:rsidRDefault="00691F16" w:rsidP="002F443C">
                            <w:pPr>
                              <w:spacing w:after="120"/>
                              <w:jc w:val="center"/>
                              <w:rPr>
                                <w:rFonts w:ascii="Arial" w:eastAsia="Gungsuh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Gungsuh" w:hAnsi="Arial" w:cs="Arial"/>
                                <w:b/>
                                <w:bCs/>
                              </w:rPr>
                              <w:t>„Диагностично-консултативен център V Варна – Света Екатерина” ЕООД</w:t>
                            </w:r>
                          </w:p>
                          <w:p w:rsidR="00691F16" w:rsidRDefault="00691F16" w:rsidP="002F443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гр.Варна, ул.”Сава” № 2, тел. (052) 650 56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9,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факс: (052) 651 525,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dkc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abv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bg</w:t>
                            </w:r>
                            <w:proofErr w:type="spellEnd"/>
                          </w:p>
                          <w:p w:rsidR="00691F16" w:rsidRDefault="00691F16" w:rsidP="002F44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централа (052) 650 568, 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85 432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2497" y="697"/>
                          <a:ext cx="8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иране 4" o:spid="_x0000_s1057" style="position:absolute;left:0;text-align:left;margin-left:-33.35pt;margin-top:-42.5pt;width:541.95pt;height:90.3pt;z-index:251657728" coordorigin="337,157" coordsize="11134,1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58" type="#_x0000_t75" alt="vizitki4" style="position:absolute;left:337;top:157;width:1993;height: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M/KLDAAAA2gAAAA8AAABkcnMvZG93bnJldi54bWxEj81qwzAQhO+FvIPYQm+N3EBD60YJIT+l&#10;5GbH7XmxNpaJtTKWYrt9+ihQyHGYmW+YxWq0jeip87VjBS/TBARx6XTNlYLiuH9+A+EDssbGMSn4&#10;JQ+r5eRhgal2A2fU56ESEcI+RQUmhDaV0peGLPqpa4mjd3KdxRBlV0nd4RDhtpGzJJlLizXHBYMt&#10;bQyV5/xiFXCxTT5PdvPa/LnD7ud7l707bZR6ehzXHyACjeEe/m9/aQUzuF2JN0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z8osMAAADaAAAADwAAAAAAAAAAAAAAAACf&#10;AgAAZHJzL2Rvd25yZXYueG1sUEsFBgAAAAAEAAQA9wAAAI8DAAAAAA==&#10;">
                <v:imagedata r:id="rId2" o:title="vizitki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9" type="#_x0000_t202" style="position:absolute;left:2230;top:328;width:924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691F16" w:rsidRDefault="00691F16" w:rsidP="002F443C">
                      <w:pPr>
                        <w:spacing w:after="120"/>
                        <w:jc w:val="center"/>
                        <w:rPr>
                          <w:rFonts w:ascii="Arial" w:eastAsia="Gungsuh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Gungsuh" w:hAnsi="Arial" w:cs="Arial"/>
                          <w:b/>
                          <w:bCs/>
                        </w:rPr>
                        <w:t>„Диагностично-консултативен център V Варна – Света Екатерина” ЕООД</w:t>
                      </w:r>
                    </w:p>
                    <w:p w:rsidR="00691F16" w:rsidRDefault="00691F16" w:rsidP="002F443C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гр.Варна, ул.”Сава” № 2, тел. (052) 650 56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9,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факс: (052) 651 525,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dkc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5@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abv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bg</w:t>
                      </w:r>
                      <w:proofErr w:type="spellEnd"/>
                    </w:p>
                    <w:p w:rsidR="00691F16" w:rsidRDefault="00691F16" w:rsidP="002F443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централа (052) 650 568, 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85 432</w:t>
                      </w:r>
                    </w:p>
                  </w:txbxContent>
                </v:textbox>
              </v:shape>
              <v:line id="Line 5" o:spid="_x0000_s1060" style="position:absolute;visibility:visible;mso-wrap-style:square" from="2497,697" to="11332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/v:group>
          </w:pict>
        </mc:Fallback>
      </mc:AlternateContent>
    </w:r>
  </w:p>
  <w:p w:rsidR="00691F16" w:rsidRDefault="00691F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23A"/>
    <w:multiLevelType w:val="hybridMultilevel"/>
    <w:tmpl w:val="FA0EA688"/>
    <w:lvl w:ilvl="0" w:tplc="8BE2ED90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76923C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7F8"/>
    <w:multiLevelType w:val="hybridMultilevel"/>
    <w:tmpl w:val="58122042"/>
    <w:lvl w:ilvl="0" w:tplc="CB3096E6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color w:val="76923C"/>
        <w:sz w:val="22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547F3B"/>
    <w:multiLevelType w:val="hybridMultilevel"/>
    <w:tmpl w:val="64B84A6E"/>
    <w:lvl w:ilvl="0" w:tplc="8272F286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  <w:i w:val="0"/>
        <w:color w:val="E36C0A"/>
        <w:sz w:val="22"/>
      </w:rPr>
    </w:lvl>
    <w:lvl w:ilvl="1" w:tplc="040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462332B"/>
    <w:multiLevelType w:val="hybridMultilevel"/>
    <w:tmpl w:val="C818B67E"/>
    <w:lvl w:ilvl="0" w:tplc="730AAC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632423"/>
        <w:sz w:val="16"/>
      </w:rPr>
    </w:lvl>
    <w:lvl w:ilvl="1" w:tplc="32F06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122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2C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8E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74A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1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84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E3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90D96"/>
    <w:multiLevelType w:val="hybridMultilevel"/>
    <w:tmpl w:val="1DB4D9F6"/>
    <w:lvl w:ilvl="0" w:tplc="8272F2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E36C0A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E0B79"/>
    <w:multiLevelType w:val="hybridMultilevel"/>
    <w:tmpl w:val="C0AE7A1A"/>
    <w:lvl w:ilvl="0" w:tplc="E9121914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color w:val="E36C0A"/>
        <w:sz w:val="18"/>
        <w:szCs w:val="36"/>
      </w:rPr>
    </w:lvl>
    <w:lvl w:ilvl="1" w:tplc="0402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1B7C1D91"/>
    <w:multiLevelType w:val="hybridMultilevel"/>
    <w:tmpl w:val="DAFEF99E"/>
    <w:lvl w:ilvl="0" w:tplc="8BE2ED90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76923C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37C91"/>
    <w:multiLevelType w:val="hybridMultilevel"/>
    <w:tmpl w:val="281ACD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C0E53"/>
    <w:multiLevelType w:val="hybridMultilevel"/>
    <w:tmpl w:val="80026EBC"/>
    <w:lvl w:ilvl="0" w:tplc="328EFDD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b/>
        <w:i w:val="0"/>
        <w:color w:val="E36C0A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33750"/>
    <w:multiLevelType w:val="hybridMultilevel"/>
    <w:tmpl w:val="AB488380"/>
    <w:lvl w:ilvl="0" w:tplc="6C4627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C455B"/>
    <w:multiLevelType w:val="hybridMultilevel"/>
    <w:tmpl w:val="FC90AEF8"/>
    <w:lvl w:ilvl="0" w:tplc="328EFDD6">
      <w:start w:val="1"/>
      <w:numFmt w:val="bullet"/>
      <w:lvlText w:val=""/>
      <w:lvlJc w:val="left"/>
      <w:pPr>
        <w:tabs>
          <w:tab w:val="num" w:pos="3690"/>
        </w:tabs>
        <w:ind w:left="3330" w:firstLine="0"/>
      </w:pPr>
      <w:rPr>
        <w:rFonts w:ascii="Wingdings" w:hAnsi="Wingdings" w:hint="default"/>
        <w:b/>
        <w:i w:val="0"/>
        <w:color w:val="E36C0A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B4FA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710E92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5B60C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BC7A38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51A6B6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B510CEE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DAA8E30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45B6E80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2DB93BA0"/>
    <w:multiLevelType w:val="hybridMultilevel"/>
    <w:tmpl w:val="40C2D11E"/>
    <w:lvl w:ilvl="0" w:tplc="E9121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18"/>
        <w:szCs w:val="3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13688"/>
    <w:multiLevelType w:val="hybridMultilevel"/>
    <w:tmpl w:val="6C660154"/>
    <w:lvl w:ilvl="0" w:tplc="04020019">
      <w:start w:val="1"/>
      <w:numFmt w:val="lowerLetter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CE34CD"/>
    <w:multiLevelType w:val="hybridMultilevel"/>
    <w:tmpl w:val="9E6E58F6"/>
    <w:lvl w:ilvl="0" w:tplc="2E840AC6">
      <w:start w:val="2010"/>
      <w:numFmt w:val="bullet"/>
      <w:lvlText w:val="-"/>
      <w:lvlJc w:val="left"/>
      <w:pPr>
        <w:ind w:left="585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>
    <w:nsid w:val="391B7F9E"/>
    <w:multiLevelType w:val="hybridMultilevel"/>
    <w:tmpl w:val="313E6620"/>
    <w:lvl w:ilvl="0" w:tplc="70F4E1E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4F6228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F3DBD"/>
    <w:multiLevelType w:val="hybridMultilevel"/>
    <w:tmpl w:val="9EF47A44"/>
    <w:lvl w:ilvl="0" w:tplc="E912191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E36C0A"/>
        <w:sz w:val="18"/>
        <w:szCs w:val="36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0733E80"/>
    <w:multiLevelType w:val="hybridMultilevel"/>
    <w:tmpl w:val="3F062CBC"/>
    <w:lvl w:ilvl="0" w:tplc="3D0A1522">
      <w:start w:val="1"/>
      <w:numFmt w:val="bullet"/>
      <w:lvlText w:val=""/>
      <w:lvlJc w:val="left"/>
      <w:pPr>
        <w:ind w:left="900" w:hanging="360"/>
      </w:pPr>
      <w:rPr>
        <w:rFonts w:ascii="Symbol" w:hAnsi="Symbol" w:hint="default"/>
        <w:b/>
        <w:i w:val="0"/>
        <w:color w:val="E36C0A"/>
        <w:sz w:val="18"/>
        <w:szCs w:val="36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40B157B"/>
    <w:multiLevelType w:val="hybridMultilevel"/>
    <w:tmpl w:val="87400C6E"/>
    <w:lvl w:ilvl="0" w:tplc="DE5638C0">
      <w:start w:val="1"/>
      <w:numFmt w:val="bullet"/>
      <w:lvlText w:val=""/>
      <w:lvlJc w:val="left"/>
      <w:pPr>
        <w:tabs>
          <w:tab w:val="num" w:pos="4973"/>
        </w:tabs>
        <w:ind w:left="4973" w:firstLine="0"/>
      </w:pPr>
      <w:rPr>
        <w:rFonts w:ascii="Wingdings 2" w:hAnsi="Wingdings 2" w:hint="default"/>
        <w:b/>
        <w:i w:val="0"/>
        <w:color w:val="E36C0A"/>
        <w:sz w:val="28"/>
        <w:szCs w:val="24"/>
      </w:rPr>
    </w:lvl>
    <w:lvl w:ilvl="1" w:tplc="671AD95A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ascii="Wingdings" w:hAnsi="Wingdings" w:cs="Times New Roman" w:hint="default"/>
        <w:color w:val="FF0000"/>
        <w:sz w:val="16"/>
      </w:rPr>
    </w:lvl>
    <w:lvl w:ilvl="2" w:tplc="14349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6E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E7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306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06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C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9A7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244A18"/>
    <w:multiLevelType w:val="hybridMultilevel"/>
    <w:tmpl w:val="03B80C76"/>
    <w:lvl w:ilvl="0" w:tplc="CBB46C3E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color w:val="E36C0A"/>
        <w:sz w:val="24"/>
        <w:szCs w:val="3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96E3E"/>
    <w:multiLevelType w:val="hybridMultilevel"/>
    <w:tmpl w:val="AE2EB11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632423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15341D"/>
    <w:multiLevelType w:val="hybridMultilevel"/>
    <w:tmpl w:val="41E41FA4"/>
    <w:lvl w:ilvl="0" w:tplc="69042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42611E"/>
    <w:multiLevelType w:val="hybridMultilevel"/>
    <w:tmpl w:val="F6746D72"/>
    <w:lvl w:ilvl="0" w:tplc="E912191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E36C0A"/>
        <w:sz w:val="18"/>
        <w:szCs w:val="3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64531"/>
    <w:multiLevelType w:val="hybridMultilevel"/>
    <w:tmpl w:val="78BA031A"/>
    <w:lvl w:ilvl="0" w:tplc="0402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55E234E"/>
    <w:multiLevelType w:val="hybridMultilevel"/>
    <w:tmpl w:val="A08A6FBC"/>
    <w:lvl w:ilvl="0" w:tplc="0402000B">
      <w:start w:val="1"/>
      <w:numFmt w:val="bullet"/>
      <w:lvlText w:val="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  <w:color w:val="632423"/>
        <w:sz w:val="18"/>
      </w:rPr>
    </w:lvl>
    <w:lvl w:ilvl="1" w:tplc="AB1250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D6A8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60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CC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16B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CC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6C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826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25D82"/>
    <w:multiLevelType w:val="hybridMultilevel"/>
    <w:tmpl w:val="F8E89814"/>
    <w:lvl w:ilvl="0" w:tplc="5B728A6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color w:val="E36C0A"/>
        <w:sz w:val="22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D8A2895"/>
    <w:multiLevelType w:val="hybridMultilevel"/>
    <w:tmpl w:val="6212C3F2"/>
    <w:lvl w:ilvl="0" w:tplc="CBB46C3E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color w:val="E36C0A"/>
        <w:sz w:val="24"/>
        <w:szCs w:val="3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26A1A"/>
    <w:multiLevelType w:val="hybridMultilevel"/>
    <w:tmpl w:val="020A8B68"/>
    <w:lvl w:ilvl="0" w:tplc="CCB855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70550F4"/>
    <w:multiLevelType w:val="hybridMultilevel"/>
    <w:tmpl w:val="C0642E9E"/>
    <w:lvl w:ilvl="0" w:tplc="8272F2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E36C0A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E4B78"/>
    <w:multiLevelType w:val="hybridMultilevel"/>
    <w:tmpl w:val="0FA80142"/>
    <w:lvl w:ilvl="0" w:tplc="DE5638C0">
      <w:start w:val="1"/>
      <w:numFmt w:val="bullet"/>
      <w:lvlText w:val=""/>
      <w:lvlJc w:val="left"/>
      <w:pPr>
        <w:ind w:left="1495" w:hanging="360"/>
      </w:pPr>
      <w:rPr>
        <w:rFonts w:ascii="Wingdings 2" w:hAnsi="Wingdings 2" w:hint="default"/>
        <w:b/>
        <w:i w:val="0"/>
        <w:color w:val="E36C0A"/>
        <w:sz w:val="28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4"/>
  </w:num>
  <w:num w:numId="5">
    <w:abstractNumId w:val="8"/>
  </w:num>
  <w:num w:numId="6">
    <w:abstractNumId w:val="4"/>
  </w:num>
  <w:num w:numId="7">
    <w:abstractNumId w:val="28"/>
  </w:num>
  <w:num w:numId="8">
    <w:abstractNumId w:val="21"/>
  </w:num>
  <w:num w:numId="9">
    <w:abstractNumId w:val="2"/>
  </w:num>
  <w:num w:numId="10">
    <w:abstractNumId w:val="1"/>
  </w:num>
  <w:num w:numId="11">
    <w:abstractNumId w:val="19"/>
  </w:num>
  <w:num w:numId="12">
    <w:abstractNumId w:val="3"/>
  </w:num>
  <w:num w:numId="13">
    <w:abstractNumId w:val="26"/>
  </w:num>
  <w:num w:numId="14">
    <w:abstractNumId w:val="22"/>
  </w:num>
  <w:num w:numId="15">
    <w:abstractNumId w:val="23"/>
  </w:num>
  <w:num w:numId="16">
    <w:abstractNumId w:val="0"/>
  </w:num>
  <w:num w:numId="17">
    <w:abstractNumId w:val="6"/>
  </w:num>
  <w:num w:numId="18">
    <w:abstractNumId w:val="18"/>
  </w:num>
  <w:num w:numId="19">
    <w:abstractNumId w:val="27"/>
  </w:num>
  <w:num w:numId="20">
    <w:abstractNumId w:val="25"/>
  </w:num>
  <w:num w:numId="21">
    <w:abstractNumId w:val="15"/>
  </w:num>
  <w:num w:numId="22">
    <w:abstractNumId w:val="17"/>
  </w:num>
  <w:num w:numId="23">
    <w:abstractNumId w:val="5"/>
  </w:num>
  <w:num w:numId="24">
    <w:abstractNumId w:val="11"/>
  </w:num>
  <w:num w:numId="25">
    <w:abstractNumId w:val="9"/>
  </w:num>
  <w:num w:numId="26">
    <w:abstractNumId w:val="7"/>
  </w:num>
  <w:num w:numId="27">
    <w:abstractNumId w:val="20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v-text-anchor:middle" fillcolor="#fabf8f" strokecolor="#f79646">
      <v:fill color="#fabf8f" color2="#f79646" rotate="t" focusposition="1" focussize="" focus="50%" type="gradient"/>
      <v:stroke color="#f79646" weight="1pt"/>
      <v:shadow on="t" type="perspective" color="#974706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20"/>
    <w:rsid w:val="00001333"/>
    <w:rsid w:val="000019E3"/>
    <w:rsid w:val="00001D4B"/>
    <w:rsid w:val="00001E76"/>
    <w:rsid w:val="000021FD"/>
    <w:rsid w:val="0000225B"/>
    <w:rsid w:val="00002532"/>
    <w:rsid w:val="000025DD"/>
    <w:rsid w:val="00002B8A"/>
    <w:rsid w:val="00002FAD"/>
    <w:rsid w:val="00003431"/>
    <w:rsid w:val="000038AA"/>
    <w:rsid w:val="00003953"/>
    <w:rsid w:val="00004429"/>
    <w:rsid w:val="0000458D"/>
    <w:rsid w:val="0000474B"/>
    <w:rsid w:val="00004A22"/>
    <w:rsid w:val="00004E7B"/>
    <w:rsid w:val="00004EDE"/>
    <w:rsid w:val="000055D4"/>
    <w:rsid w:val="00005723"/>
    <w:rsid w:val="000057C4"/>
    <w:rsid w:val="000060D2"/>
    <w:rsid w:val="00006BA7"/>
    <w:rsid w:val="000070E5"/>
    <w:rsid w:val="00007270"/>
    <w:rsid w:val="000073FF"/>
    <w:rsid w:val="0000768C"/>
    <w:rsid w:val="000105A4"/>
    <w:rsid w:val="00010D45"/>
    <w:rsid w:val="00010EF7"/>
    <w:rsid w:val="00011339"/>
    <w:rsid w:val="00011885"/>
    <w:rsid w:val="00011B2F"/>
    <w:rsid w:val="00012151"/>
    <w:rsid w:val="000122D3"/>
    <w:rsid w:val="000123BE"/>
    <w:rsid w:val="000132D4"/>
    <w:rsid w:val="0001368D"/>
    <w:rsid w:val="000136C3"/>
    <w:rsid w:val="00013B83"/>
    <w:rsid w:val="0001424C"/>
    <w:rsid w:val="0001484C"/>
    <w:rsid w:val="00014873"/>
    <w:rsid w:val="00014B51"/>
    <w:rsid w:val="00015CDA"/>
    <w:rsid w:val="00016A2F"/>
    <w:rsid w:val="000172DB"/>
    <w:rsid w:val="00017AED"/>
    <w:rsid w:val="00017CC5"/>
    <w:rsid w:val="00017F65"/>
    <w:rsid w:val="000206FC"/>
    <w:rsid w:val="00020CCA"/>
    <w:rsid w:val="00020EAA"/>
    <w:rsid w:val="00020FCA"/>
    <w:rsid w:val="000210C3"/>
    <w:rsid w:val="00021278"/>
    <w:rsid w:val="0002127E"/>
    <w:rsid w:val="00021733"/>
    <w:rsid w:val="000217E6"/>
    <w:rsid w:val="0002196A"/>
    <w:rsid w:val="00021EBC"/>
    <w:rsid w:val="00021F79"/>
    <w:rsid w:val="000220CE"/>
    <w:rsid w:val="00022A38"/>
    <w:rsid w:val="00022BC9"/>
    <w:rsid w:val="00022D08"/>
    <w:rsid w:val="00023109"/>
    <w:rsid w:val="0002325F"/>
    <w:rsid w:val="0002338B"/>
    <w:rsid w:val="000233A6"/>
    <w:rsid w:val="0002404D"/>
    <w:rsid w:val="0002482A"/>
    <w:rsid w:val="000248AB"/>
    <w:rsid w:val="000249A9"/>
    <w:rsid w:val="00025155"/>
    <w:rsid w:val="000256D6"/>
    <w:rsid w:val="00025BB0"/>
    <w:rsid w:val="00025EDD"/>
    <w:rsid w:val="000269D2"/>
    <w:rsid w:val="00026C9D"/>
    <w:rsid w:val="00026CC9"/>
    <w:rsid w:val="00027AD9"/>
    <w:rsid w:val="00030B5C"/>
    <w:rsid w:val="00030E4B"/>
    <w:rsid w:val="000317E7"/>
    <w:rsid w:val="00031955"/>
    <w:rsid w:val="000323A5"/>
    <w:rsid w:val="000327E0"/>
    <w:rsid w:val="0003321F"/>
    <w:rsid w:val="000335D9"/>
    <w:rsid w:val="00033BBA"/>
    <w:rsid w:val="00033CEB"/>
    <w:rsid w:val="00033D38"/>
    <w:rsid w:val="00034BF0"/>
    <w:rsid w:val="0003531D"/>
    <w:rsid w:val="00035937"/>
    <w:rsid w:val="000359A5"/>
    <w:rsid w:val="00035F73"/>
    <w:rsid w:val="00037AB1"/>
    <w:rsid w:val="00040191"/>
    <w:rsid w:val="000404E8"/>
    <w:rsid w:val="00040C7E"/>
    <w:rsid w:val="00041650"/>
    <w:rsid w:val="00041734"/>
    <w:rsid w:val="00041F73"/>
    <w:rsid w:val="00042067"/>
    <w:rsid w:val="000420C7"/>
    <w:rsid w:val="000426A7"/>
    <w:rsid w:val="000428FC"/>
    <w:rsid w:val="00042AD3"/>
    <w:rsid w:val="00042B66"/>
    <w:rsid w:val="00042BEE"/>
    <w:rsid w:val="00044395"/>
    <w:rsid w:val="000447B5"/>
    <w:rsid w:val="00044851"/>
    <w:rsid w:val="00044996"/>
    <w:rsid w:val="00045117"/>
    <w:rsid w:val="000451E7"/>
    <w:rsid w:val="0004582C"/>
    <w:rsid w:val="00045833"/>
    <w:rsid w:val="00045C60"/>
    <w:rsid w:val="00045E10"/>
    <w:rsid w:val="00047168"/>
    <w:rsid w:val="000475C2"/>
    <w:rsid w:val="0004769F"/>
    <w:rsid w:val="00047D27"/>
    <w:rsid w:val="00047D4F"/>
    <w:rsid w:val="00047DF3"/>
    <w:rsid w:val="00050144"/>
    <w:rsid w:val="000505B3"/>
    <w:rsid w:val="000506F6"/>
    <w:rsid w:val="0005088A"/>
    <w:rsid w:val="000509BA"/>
    <w:rsid w:val="00050A9C"/>
    <w:rsid w:val="00050D91"/>
    <w:rsid w:val="00050F2F"/>
    <w:rsid w:val="000517E6"/>
    <w:rsid w:val="00051D52"/>
    <w:rsid w:val="00051F7C"/>
    <w:rsid w:val="00051FC4"/>
    <w:rsid w:val="00052170"/>
    <w:rsid w:val="0005285E"/>
    <w:rsid w:val="0005308E"/>
    <w:rsid w:val="00053295"/>
    <w:rsid w:val="00053642"/>
    <w:rsid w:val="0005462D"/>
    <w:rsid w:val="00055086"/>
    <w:rsid w:val="0005515A"/>
    <w:rsid w:val="00055434"/>
    <w:rsid w:val="000569A3"/>
    <w:rsid w:val="00056A2F"/>
    <w:rsid w:val="00056B0A"/>
    <w:rsid w:val="00056B92"/>
    <w:rsid w:val="00056E94"/>
    <w:rsid w:val="00057386"/>
    <w:rsid w:val="000578C2"/>
    <w:rsid w:val="00057978"/>
    <w:rsid w:val="00057BF8"/>
    <w:rsid w:val="000600C8"/>
    <w:rsid w:val="0006069F"/>
    <w:rsid w:val="00060BA0"/>
    <w:rsid w:val="000610DD"/>
    <w:rsid w:val="00061F8A"/>
    <w:rsid w:val="00061FA0"/>
    <w:rsid w:val="000620E5"/>
    <w:rsid w:val="000624BE"/>
    <w:rsid w:val="00062534"/>
    <w:rsid w:val="000625D1"/>
    <w:rsid w:val="00062986"/>
    <w:rsid w:val="00062C22"/>
    <w:rsid w:val="0006409B"/>
    <w:rsid w:val="00064A44"/>
    <w:rsid w:val="00064CE1"/>
    <w:rsid w:val="000650D6"/>
    <w:rsid w:val="000650FE"/>
    <w:rsid w:val="00065175"/>
    <w:rsid w:val="0006560C"/>
    <w:rsid w:val="00065638"/>
    <w:rsid w:val="00065C7C"/>
    <w:rsid w:val="000663DB"/>
    <w:rsid w:val="000663DE"/>
    <w:rsid w:val="000665FD"/>
    <w:rsid w:val="00066767"/>
    <w:rsid w:val="00066AC0"/>
    <w:rsid w:val="00067224"/>
    <w:rsid w:val="00070118"/>
    <w:rsid w:val="000704CB"/>
    <w:rsid w:val="000717D5"/>
    <w:rsid w:val="000717E4"/>
    <w:rsid w:val="00071DA1"/>
    <w:rsid w:val="00071FB3"/>
    <w:rsid w:val="00072919"/>
    <w:rsid w:val="00073EBA"/>
    <w:rsid w:val="000747B1"/>
    <w:rsid w:val="00074C2D"/>
    <w:rsid w:val="00075D1E"/>
    <w:rsid w:val="000770CE"/>
    <w:rsid w:val="00077150"/>
    <w:rsid w:val="000772A8"/>
    <w:rsid w:val="000801A2"/>
    <w:rsid w:val="0008021C"/>
    <w:rsid w:val="00080412"/>
    <w:rsid w:val="0008078F"/>
    <w:rsid w:val="00080870"/>
    <w:rsid w:val="00081596"/>
    <w:rsid w:val="00081BD9"/>
    <w:rsid w:val="00081EBD"/>
    <w:rsid w:val="00082540"/>
    <w:rsid w:val="00082777"/>
    <w:rsid w:val="000827F5"/>
    <w:rsid w:val="00082949"/>
    <w:rsid w:val="00082B64"/>
    <w:rsid w:val="00083783"/>
    <w:rsid w:val="00083928"/>
    <w:rsid w:val="00083F4E"/>
    <w:rsid w:val="00084BC8"/>
    <w:rsid w:val="00084D55"/>
    <w:rsid w:val="00085E21"/>
    <w:rsid w:val="000863FB"/>
    <w:rsid w:val="00086FDA"/>
    <w:rsid w:val="00087B3C"/>
    <w:rsid w:val="0009049A"/>
    <w:rsid w:val="0009054A"/>
    <w:rsid w:val="00090EBB"/>
    <w:rsid w:val="000911D5"/>
    <w:rsid w:val="00091D4D"/>
    <w:rsid w:val="00092473"/>
    <w:rsid w:val="0009262D"/>
    <w:rsid w:val="00092778"/>
    <w:rsid w:val="00092E89"/>
    <w:rsid w:val="00093389"/>
    <w:rsid w:val="00093BDA"/>
    <w:rsid w:val="00094602"/>
    <w:rsid w:val="00094BAD"/>
    <w:rsid w:val="000953C8"/>
    <w:rsid w:val="000957FB"/>
    <w:rsid w:val="00095DDF"/>
    <w:rsid w:val="00095E57"/>
    <w:rsid w:val="00096141"/>
    <w:rsid w:val="000961EC"/>
    <w:rsid w:val="00096811"/>
    <w:rsid w:val="000968BE"/>
    <w:rsid w:val="00096A7C"/>
    <w:rsid w:val="00096FF4"/>
    <w:rsid w:val="000A00E4"/>
    <w:rsid w:val="000A18DE"/>
    <w:rsid w:val="000A1CAB"/>
    <w:rsid w:val="000A2429"/>
    <w:rsid w:val="000A2755"/>
    <w:rsid w:val="000A3C87"/>
    <w:rsid w:val="000A3D21"/>
    <w:rsid w:val="000A3FF0"/>
    <w:rsid w:val="000A4977"/>
    <w:rsid w:val="000A497E"/>
    <w:rsid w:val="000A532F"/>
    <w:rsid w:val="000A5C34"/>
    <w:rsid w:val="000A62CE"/>
    <w:rsid w:val="000A63A0"/>
    <w:rsid w:val="000A738A"/>
    <w:rsid w:val="000A7749"/>
    <w:rsid w:val="000A7773"/>
    <w:rsid w:val="000A79ED"/>
    <w:rsid w:val="000B09AC"/>
    <w:rsid w:val="000B0BA9"/>
    <w:rsid w:val="000B0C56"/>
    <w:rsid w:val="000B115E"/>
    <w:rsid w:val="000B18F0"/>
    <w:rsid w:val="000B1EC8"/>
    <w:rsid w:val="000B21B4"/>
    <w:rsid w:val="000B22B7"/>
    <w:rsid w:val="000B26A8"/>
    <w:rsid w:val="000B31C6"/>
    <w:rsid w:val="000B3AA7"/>
    <w:rsid w:val="000B3CF2"/>
    <w:rsid w:val="000B3D41"/>
    <w:rsid w:val="000B4089"/>
    <w:rsid w:val="000B4382"/>
    <w:rsid w:val="000B45AE"/>
    <w:rsid w:val="000B46AD"/>
    <w:rsid w:val="000B5411"/>
    <w:rsid w:val="000B5617"/>
    <w:rsid w:val="000B57A7"/>
    <w:rsid w:val="000B57F9"/>
    <w:rsid w:val="000B662B"/>
    <w:rsid w:val="000B669A"/>
    <w:rsid w:val="000B6BAE"/>
    <w:rsid w:val="000B6C12"/>
    <w:rsid w:val="000B726F"/>
    <w:rsid w:val="000B775D"/>
    <w:rsid w:val="000C01DC"/>
    <w:rsid w:val="000C0297"/>
    <w:rsid w:val="000C0337"/>
    <w:rsid w:val="000C0830"/>
    <w:rsid w:val="000C10E5"/>
    <w:rsid w:val="000C1590"/>
    <w:rsid w:val="000C165E"/>
    <w:rsid w:val="000C1817"/>
    <w:rsid w:val="000C1CF0"/>
    <w:rsid w:val="000C2315"/>
    <w:rsid w:val="000C2415"/>
    <w:rsid w:val="000C2419"/>
    <w:rsid w:val="000C29C0"/>
    <w:rsid w:val="000C3025"/>
    <w:rsid w:val="000C39E1"/>
    <w:rsid w:val="000C3AB1"/>
    <w:rsid w:val="000C3B96"/>
    <w:rsid w:val="000C3FC2"/>
    <w:rsid w:val="000C3FF1"/>
    <w:rsid w:val="000C4C02"/>
    <w:rsid w:val="000C4EA0"/>
    <w:rsid w:val="000C53D8"/>
    <w:rsid w:val="000C581E"/>
    <w:rsid w:val="000C5B08"/>
    <w:rsid w:val="000C6535"/>
    <w:rsid w:val="000C6918"/>
    <w:rsid w:val="000C6AF9"/>
    <w:rsid w:val="000C6C41"/>
    <w:rsid w:val="000C6FE9"/>
    <w:rsid w:val="000C7103"/>
    <w:rsid w:val="000C726F"/>
    <w:rsid w:val="000C76A9"/>
    <w:rsid w:val="000C78A4"/>
    <w:rsid w:val="000C78FD"/>
    <w:rsid w:val="000C7934"/>
    <w:rsid w:val="000C7B63"/>
    <w:rsid w:val="000D001B"/>
    <w:rsid w:val="000D0D99"/>
    <w:rsid w:val="000D18CB"/>
    <w:rsid w:val="000D1DFF"/>
    <w:rsid w:val="000D1F1B"/>
    <w:rsid w:val="000D207D"/>
    <w:rsid w:val="000D2B09"/>
    <w:rsid w:val="000D2BDA"/>
    <w:rsid w:val="000D2CD2"/>
    <w:rsid w:val="000D2EAB"/>
    <w:rsid w:val="000D3008"/>
    <w:rsid w:val="000D31C9"/>
    <w:rsid w:val="000D3533"/>
    <w:rsid w:val="000D37A1"/>
    <w:rsid w:val="000D3ECF"/>
    <w:rsid w:val="000D4887"/>
    <w:rsid w:val="000D4F11"/>
    <w:rsid w:val="000D50FB"/>
    <w:rsid w:val="000D5370"/>
    <w:rsid w:val="000D56F1"/>
    <w:rsid w:val="000D59C7"/>
    <w:rsid w:val="000D64A8"/>
    <w:rsid w:val="000D652A"/>
    <w:rsid w:val="000D71FC"/>
    <w:rsid w:val="000D7685"/>
    <w:rsid w:val="000D7A56"/>
    <w:rsid w:val="000D7C05"/>
    <w:rsid w:val="000E0313"/>
    <w:rsid w:val="000E170A"/>
    <w:rsid w:val="000E185F"/>
    <w:rsid w:val="000E2332"/>
    <w:rsid w:val="000E2ACF"/>
    <w:rsid w:val="000E2C6D"/>
    <w:rsid w:val="000E35F3"/>
    <w:rsid w:val="000E3649"/>
    <w:rsid w:val="000E3692"/>
    <w:rsid w:val="000E3A8C"/>
    <w:rsid w:val="000E3C63"/>
    <w:rsid w:val="000E3FB9"/>
    <w:rsid w:val="000E437D"/>
    <w:rsid w:val="000E4500"/>
    <w:rsid w:val="000E467C"/>
    <w:rsid w:val="000E4C13"/>
    <w:rsid w:val="000E50C8"/>
    <w:rsid w:val="000E547B"/>
    <w:rsid w:val="000E55EB"/>
    <w:rsid w:val="000E57A5"/>
    <w:rsid w:val="000E58F0"/>
    <w:rsid w:val="000E5BE1"/>
    <w:rsid w:val="000E61EF"/>
    <w:rsid w:val="000E6D3D"/>
    <w:rsid w:val="000E731A"/>
    <w:rsid w:val="000E75D7"/>
    <w:rsid w:val="000E7BC3"/>
    <w:rsid w:val="000F0320"/>
    <w:rsid w:val="000F148A"/>
    <w:rsid w:val="000F16DD"/>
    <w:rsid w:val="000F17D4"/>
    <w:rsid w:val="000F21F8"/>
    <w:rsid w:val="000F251D"/>
    <w:rsid w:val="000F291A"/>
    <w:rsid w:val="000F2E37"/>
    <w:rsid w:val="000F2EC0"/>
    <w:rsid w:val="000F322D"/>
    <w:rsid w:val="000F3568"/>
    <w:rsid w:val="000F36D8"/>
    <w:rsid w:val="000F3B75"/>
    <w:rsid w:val="000F3DBD"/>
    <w:rsid w:val="000F454F"/>
    <w:rsid w:val="000F480E"/>
    <w:rsid w:val="000F4938"/>
    <w:rsid w:val="000F4B9D"/>
    <w:rsid w:val="000F52D2"/>
    <w:rsid w:val="000F55C7"/>
    <w:rsid w:val="000F5FEA"/>
    <w:rsid w:val="000F6A31"/>
    <w:rsid w:val="000F708F"/>
    <w:rsid w:val="000F7180"/>
    <w:rsid w:val="000F7509"/>
    <w:rsid w:val="000F7533"/>
    <w:rsid w:val="000F7811"/>
    <w:rsid w:val="000F79E8"/>
    <w:rsid w:val="001009DB"/>
    <w:rsid w:val="00100CEE"/>
    <w:rsid w:val="0010118B"/>
    <w:rsid w:val="00101840"/>
    <w:rsid w:val="00101BF0"/>
    <w:rsid w:val="0010204F"/>
    <w:rsid w:val="0010224C"/>
    <w:rsid w:val="00102761"/>
    <w:rsid w:val="00102813"/>
    <w:rsid w:val="00102A8F"/>
    <w:rsid w:val="00102B7B"/>
    <w:rsid w:val="00102BA9"/>
    <w:rsid w:val="00103447"/>
    <w:rsid w:val="0010393F"/>
    <w:rsid w:val="0010464A"/>
    <w:rsid w:val="00104C31"/>
    <w:rsid w:val="0010564E"/>
    <w:rsid w:val="00105A01"/>
    <w:rsid w:val="00105B51"/>
    <w:rsid w:val="00105D2B"/>
    <w:rsid w:val="00106208"/>
    <w:rsid w:val="00106D4C"/>
    <w:rsid w:val="00106F82"/>
    <w:rsid w:val="001072E9"/>
    <w:rsid w:val="001100AF"/>
    <w:rsid w:val="00110129"/>
    <w:rsid w:val="001101C2"/>
    <w:rsid w:val="001103C1"/>
    <w:rsid w:val="00110519"/>
    <w:rsid w:val="001105AE"/>
    <w:rsid w:val="00110683"/>
    <w:rsid w:val="0011093D"/>
    <w:rsid w:val="001109B8"/>
    <w:rsid w:val="00110FAE"/>
    <w:rsid w:val="00111208"/>
    <w:rsid w:val="00111A67"/>
    <w:rsid w:val="00111DCD"/>
    <w:rsid w:val="00111EFF"/>
    <w:rsid w:val="001121B5"/>
    <w:rsid w:val="00112371"/>
    <w:rsid w:val="00112A7E"/>
    <w:rsid w:val="001136C7"/>
    <w:rsid w:val="00113E3B"/>
    <w:rsid w:val="0011421D"/>
    <w:rsid w:val="00114311"/>
    <w:rsid w:val="0011445F"/>
    <w:rsid w:val="001148DB"/>
    <w:rsid w:val="001152E7"/>
    <w:rsid w:val="00116114"/>
    <w:rsid w:val="001162E1"/>
    <w:rsid w:val="0011630E"/>
    <w:rsid w:val="00116686"/>
    <w:rsid w:val="001178A2"/>
    <w:rsid w:val="00117C67"/>
    <w:rsid w:val="00117D34"/>
    <w:rsid w:val="00120059"/>
    <w:rsid w:val="001200DB"/>
    <w:rsid w:val="00120412"/>
    <w:rsid w:val="00121226"/>
    <w:rsid w:val="0012129B"/>
    <w:rsid w:val="00121483"/>
    <w:rsid w:val="0012148F"/>
    <w:rsid w:val="00122192"/>
    <w:rsid w:val="00122532"/>
    <w:rsid w:val="00122656"/>
    <w:rsid w:val="00122B6E"/>
    <w:rsid w:val="00122FC4"/>
    <w:rsid w:val="00123496"/>
    <w:rsid w:val="00123645"/>
    <w:rsid w:val="00123ACC"/>
    <w:rsid w:val="00123B87"/>
    <w:rsid w:val="00123D3F"/>
    <w:rsid w:val="00124C7A"/>
    <w:rsid w:val="00125448"/>
    <w:rsid w:val="00125864"/>
    <w:rsid w:val="00125CFA"/>
    <w:rsid w:val="0012643A"/>
    <w:rsid w:val="00127A22"/>
    <w:rsid w:val="00127BE3"/>
    <w:rsid w:val="00127CEC"/>
    <w:rsid w:val="00130342"/>
    <w:rsid w:val="00130B37"/>
    <w:rsid w:val="00131889"/>
    <w:rsid w:val="00131A9F"/>
    <w:rsid w:val="001326DE"/>
    <w:rsid w:val="00132EFA"/>
    <w:rsid w:val="00133342"/>
    <w:rsid w:val="001333BF"/>
    <w:rsid w:val="00133541"/>
    <w:rsid w:val="00134AE9"/>
    <w:rsid w:val="00134CFE"/>
    <w:rsid w:val="00135B6B"/>
    <w:rsid w:val="00136945"/>
    <w:rsid w:val="0013747D"/>
    <w:rsid w:val="00137CE1"/>
    <w:rsid w:val="00140483"/>
    <w:rsid w:val="001407E1"/>
    <w:rsid w:val="00140E4B"/>
    <w:rsid w:val="00141881"/>
    <w:rsid w:val="00141BFA"/>
    <w:rsid w:val="00142A26"/>
    <w:rsid w:val="00142A31"/>
    <w:rsid w:val="00142CA2"/>
    <w:rsid w:val="001431E0"/>
    <w:rsid w:val="00143641"/>
    <w:rsid w:val="0014427D"/>
    <w:rsid w:val="001450F4"/>
    <w:rsid w:val="0014524E"/>
    <w:rsid w:val="001452AD"/>
    <w:rsid w:val="0014577D"/>
    <w:rsid w:val="001462B5"/>
    <w:rsid w:val="0014656A"/>
    <w:rsid w:val="0014674F"/>
    <w:rsid w:val="00147182"/>
    <w:rsid w:val="001475C8"/>
    <w:rsid w:val="001478B3"/>
    <w:rsid w:val="001478ED"/>
    <w:rsid w:val="00147CC2"/>
    <w:rsid w:val="001501A2"/>
    <w:rsid w:val="001507D6"/>
    <w:rsid w:val="001507DC"/>
    <w:rsid w:val="00151691"/>
    <w:rsid w:val="00151F87"/>
    <w:rsid w:val="0015210B"/>
    <w:rsid w:val="001525B3"/>
    <w:rsid w:val="00152816"/>
    <w:rsid w:val="00152E67"/>
    <w:rsid w:val="00153959"/>
    <w:rsid w:val="00153C88"/>
    <w:rsid w:val="00154469"/>
    <w:rsid w:val="0015476E"/>
    <w:rsid w:val="001548C1"/>
    <w:rsid w:val="00155ADD"/>
    <w:rsid w:val="00155D9B"/>
    <w:rsid w:val="0015648F"/>
    <w:rsid w:val="00156552"/>
    <w:rsid w:val="001574E4"/>
    <w:rsid w:val="001577DE"/>
    <w:rsid w:val="00157E5A"/>
    <w:rsid w:val="00157FB0"/>
    <w:rsid w:val="00160264"/>
    <w:rsid w:val="00160A49"/>
    <w:rsid w:val="001611A0"/>
    <w:rsid w:val="0016138D"/>
    <w:rsid w:val="001614F5"/>
    <w:rsid w:val="00161C2D"/>
    <w:rsid w:val="00162813"/>
    <w:rsid w:val="001629B2"/>
    <w:rsid w:val="00162BE3"/>
    <w:rsid w:val="00162D97"/>
    <w:rsid w:val="00162F85"/>
    <w:rsid w:val="00163101"/>
    <w:rsid w:val="00163778"/>
    <w:rsid w:val="00163EC2"/>
    <w:rsid w:val="00164295"/>
    <w:rsid w:val="001648DD"/>
    <w:rsid w:val="0016497A"/>
    <w:rsid w:val="001649CE"/>
    <w:rsid w:val="00164C29"/>
    <w:rsid w:val="00164C6F"/>
    <w:rsid w:val="00164E09"/>
    <w:rsid w:val="001650C2"/>
    <w:rsid w:val="00165C4E"/>
    <w:rsid w:val="00165D86"/>
    <w:rsid w:val="001665BD"/>
    <w:rsid w:val="001666D5"/>
    <w:rsid w:val="001666EE"/>
    <w:rsid w:val="00166CBE"/>
    <w:rsid w:val="00166D37"/>
    <w:rsid w:val="00166E92"/>
    <w:rsid w:val="00167003"/>
    <w:rsid w:val="00167303"/>
    <w:rsid w:val="0016741E"/>
    <w:rsid w:val="00167A6E"/>
    <w:rsid w:val="00167B68"/>
    <w:rsid w:val="00167C9D"/>
    <w:rsid w:val="00167D53"/>
    <w:rsid w:val="00167DE9"/>
    <w:rsid w:val="00170474"/>
    <w:rsid w:val="0017062A"/>
    <w:rsid w:val="0017095E"/>
    <w:rsid w:val="00170A82"/>
    <w:rsid w:val="00171677"/>
    <w:rsid w:val="0017273C"/>
    <w:rsid w:val="00172D40"/>
    <w:rsid w:val="00172DF6"/>
    <w:rsid w:val="00173BA8"/>
    <w:rsid w:val="00173C8E"/>
    <w:rsid w:val="00174134"/>
    <w:rsid w:val="001742CE"/>
    <w:rsid w:val="00174F99"/>
    <w:rsid w:val="00175C6D"/>
    <w:rsid w:val="0017614A"/>
    <w:rsid w:val="00176AE6"/>
    <w:rsid w:val="00176AF2"/>
    <w:rsid w:val="00176E54"/>
    <w:rsid w:val="00177156"/>
    <w:rsid w:val="00177813"/>
    <w:rsid w:val="00177CA5"/>
    <w:rsid w:val="00177CCE"/>
    <w:rsid w:val="00177F2E"/>
    <w:rsid w:val="0018079A"/>
    <w:rsid w:val="00180868"/>
    <w:rsid w:val="00180879"/>
    <w:rsid w:val="00180D3B"/>
    <w:rsid w:val="001812E6"/>
    <w:rsid w:val="0018218B"/>
    <w:rsid w:val="00182463"/>
    <w:rsid w:val="00182B06"/>
    <w:rsid w:val="00182BA9"/>
    <w:rsid w:val="00183295"/>
    <w:rsid w:val="00183438"/>
    <w:rsid w:val="001836DE"/>
    <w:rsid w:val="00183A0C"/>
    <w:rsid w:val="00183AC9"/>
    <w:rsid w:val="00183FF5"/>
    <w:rsid w:val="00184448"/>
    <w:rsid w:val="00184467"/>
    <w:rsid w:val="00184CB4"/>
    <w:rsid w:val="00184FAB"/>
    <w:rsid w:val="001851A8"/>
    <w:rsid w:val="001858C2"/>
    <w:rsid w:val="00186092"/>
    <w:rsid w:val="0018609C"/>
    <w:rsid w:val="00186564"/>
    <w:rsid w:val="00186692"/>
    <w:rsid w:val="00186D2A"/>
    <w:rsid w:val="001906CE"/>
    <w:rsid w:val="00190CC6"/>
    <w:rsid w:val="00190D71"/>
    <w:rsid w:val="00190F4F"/>
    <w:rsid w:val="001913EA"/>
    <w:rsid w:val="00191434"/>
    <w:rsid w:val="001924F4"/>
    <w:rsid w:val="00192CDF"/>
    <w:rsid w:val="00193001"/>
    <w:rsid w:val="00193536"/>
    <w:rsid w:val="00193F0F"/>
    <w:rsid w:val="001954B4"/>
    <w:rsid w:val="00195BD2"/>
    <w:rsid w:val="00195D5D"/>
    <w:rsid w:val="0019696E"/>
    <w:rsid w:val="00196B34"/>
    <w:rsid w:val="001973F2"/>
    <w:rsid w:val="0019762D"/>
    <w:rsid w:val="001979AB"/>
    <w:rsid w:val="001A02D4"/>
    <w:rsid w:val="001A02F2"/>
    <w:rsid w:val="001A03E6"/>
    <w:rsid w:val="001A048B"/>
    <w:rsid w:val="001A04E3"/>
    <w:rsid w:val="001A08FC"/>
    <w:rsid w:val="001A0FB1"/>
    <w:rsid w:val="001A10AE"/>
    <w:rsid w:val="001A12F6"/>
    <w:rsid w:val="001A1444"/>
    <w:rsid w:val="001A20A0"/>
    <w:rsid w:val="001A2213"/>
    <w:rsid w:val="001A24EB"/>
    <w:rsid w:val="001A2872"/>
    <w:rsid w:val="001A39A8"/>
    <w:rsid w:val="001A42A6"/>
    <w:rsid w:val="001A4A3B"/>
    <w:rsid w:val="001A4BBB"/>
    <w:rsid w:val="001A4C1B"/>
    <w:rsid w:val="001A4F89"/>
    <w:rsid w:val="001A525D"/>
    <w:rsid w:val="001A5412"/>
    <w:rsid w:val="001A7AE0"/>
    <w:rsid w:val="001A7CB1"/>
    <w:rsid w:val="001B0D36"/>
    <w:rsid w:val="001B0DB3"/>
    <w:rsid w:val="001B0DDE"/>
    <w:rsid w:val="001B1350"/>
    <w:rsid w:val="001B170E"/>
    <w:rsid w:val="001B1A5C"/>
    <w:rsid w:val="001B1C0E"/>
    <w:rsid w:val="001B1D55"/>
    <w:rsid w:val="001B1F25"/>
    <w:rsid w:val="001B28E9"/>
    <w:rsid w:val="001B2BD6"/>
    <w:rsid w:val="001B2CB6"/>
    <w:rsid w:val="001B377E"/>
    <w:rsid w:val="001B39F3"/>
    <w:rsid w:val="001B3C35"/>
    <w:rsid w:val="001B3D7C"/>
    <w:rsid w:val="001B3E41"/>
    <w:rsid w:val="001B3F24"/>
    <w:rsid w:val="001B4FC0"/>
    <w:rsid w:val="001B5B3E"/>
    <w:rsid w:val="001B6087"/>
    <w:rsid w:val="001B65A1"/>
    <w:rsid w:val="001B6678"/>
    <w:rsid w:val="001B6789"/>
    <w:rsid w:val="001B6A07"/>
    <w:rsid w:val="001B7457"/>
    <w:rsid w:val="001B7657"/>
    <w:rsid w:val="001B782E"/>
    <w:rsid w:val="001B78A7"/>
    <w:rsid w:val="001C074C"/>
    <w:rsid w:val="001C0902"/>
    <w:rsid w:val="001C115A"/>
    <w:rsid w:val="001C1587"/>
    <w:rsid w:val="001C1EF4"/>
    <w:rsid w:val="001C24A2"/>
    <w:rsid w:val="001C26FD"/>
    <w:rsid w:val="001C31F2"/>
    <w:rsid w:val="001C34EC"/>
    <w:rsid w:val="001C38EA"/>
    <w:rsid w:val="001C3BDE"/>
    <w:rsid w:val="001C456B"/>
    <w:rsid w:val="001C4686"/>
    <w:rsid w:val="001C4E9E"/>
    <w:rsid w:val="001C5015"/>
    <w:rsid w:val="001C50E0"/>
    <w:rsid w:val="001C5470"/>
    <w:rsid w:val="001C6257"/>
    <w:rsid w:val="001C669E"/>
    <w:rsid w:val="001C719A"/>
    <w:rsid w:val="001C7FD3"/>
    <w:rsid w:val="001C7FF5"/>
    <w:rsid w:val="001D004C"/>
    <w:rsid w:val="001D0511"/>
    <w:rsid w:val="001D05F6"/>
    <w:rsid w:val="001D0955"/>
    <w:rsid w:val="001D1160"/>
    <w:rsid w:val="001D12D9"/>
    <w:rsid w:val="001D1A28"/>
    <w:rsid w:val="001D22D0"/>
    <w:rsid w:val="001D3462"/>
    <w:rsid w:val="001D387C"/>
    <w:rsid w:val="001D4447"/>
    <w:rsid w:val="001D4D61"/>
    <w:rsid w:val="001D5566"/>
    <w:rsid w:val="001D6346"/>
    <w:rsid w:val="001D683C"/>
    <w:rsid w:val="001D6E99"/>
    <w:rsid w:val="001D7084"/>
    <w:rsid w:val="001D7511"/>
    <w:rsid w:val="001E12BE"/>
    <w:rsid w:val="001E13DE"/>
    <w:rsid w:val="001E14E4"/>
    <w:rsid w:val="001E17B6"/>
    <w:rsid w:val="001E1A45"/>
    <w:rsid w:val="001E1DD9"/>
    <w:rsid w:val="001E2252"/>
    <w:rsid w:val="001E2D71"/>
    <w:rsid w:val="001E3384"/>
    <w:rsid w:val="001E3607"/>
    <w:rsid w:val="001E3C57"/>
    <w:rsid w:val="001E403F"/>
    <w:rsid w:val="001E4915"/>
    <w:rsid w:val="001E4ADE"/>
    <w:rsid w:val="001E4D3F"/>
    <w:rsid w:val="001E55F8"/>
    <w:rsid w:val="001E58AB"/>
    <w:rsid w:val="001E5A21"/>
    <w:rsid w:val="001E638A"/>
    <w:rsid w:val="001E66EC"/>
    <w:rsid w:val="001E7265"/>
    <w:rsid w:val="001E7CED"/>
    <w:rsid w:val="001F066B"/>
    <w:rsid w:val="001F066F"/>
    <w:rsid w:val="001F07F7"/>
    <w:rsid w:val="001F09EF"/>
    <w:rsid w:val="001F107B"/>
    <w:rsid w:val="001F11D2"/>
    <w:rsid w:val="001F11E7"/>
    <w:rsid w:val="001F14F1"/>
    <w:rsid w:val="001F18B8"/>
    <w:rsid w:val="001F1D37"/>
    <w:rsid w:val="001F1DC3"/>
    <w:rsid w:val="001F205D"/>
    <w:rsid w:val="001F2529"/>
    <w:rsid w:val="001F28D4"/>
    <w:rsid w:val="001F293C"/>
    <w:rsid w:val="001F29A9"/>
    <w:rsid w:val="001F29AB"/>
    <w:rsid w:val="001F2A46"/>
    <w:rsid w:val="001F2CC5"/>
    <w:rsid w:val="001F2D99"/>
    <w:rsid w:val="001F30B7"/>
    <w:rsid w:val="001F3585"/>
    <w:rsid w:val="001F3674"/>
    <w:rsid w:val="001F3868"/>
    <w:rsid w:val="001F38DC"/>
    <w:rsid w:val="001F3E17"/>
    <w:rsid w:val="001F4777"/>
    <w:rsid w:val="001F4BFB"/>
    <w:rsid w:val="001F4EA5"/>
    <w:rsid w:val="001F535C"/>
    <w:rsid w:val="001F5786"/>
    <w:rsid w:val="001F5DB7"/>
    <w:rsid w:val="001F65B4"/>
    <w:rsid w:val="001F67CD"/>
    <w:rsid w:val="001F691F"/>
    <w:rsid w:val="001F6EA1"/>
    <w:rsid w:val="001F6F22"/>
    <w:rsid w:val="001F6F94"/>
    <w:rsid w:val="001F735F"/>
    <w:rsid w:val="00200609"/>
    <w:rsid w:val="00201442"/>
    <w:rsid w:val="002017D5"/>
    <w:rsid w:val="002018E9"/>
    <w:rsid w:val="00201C0C"/>
    <w:rsid w:val="0020284E"/>
    <w:rsid w:val="0020356D"/>
    <w:rsid w:val="00203A57"/>
    <w:rsid w:val="00204D70"/>
    <w:rsid w:val="00204D73"/>
    <w:rsid w:val="00204FF3"/>
    <w:rsid w:val="00205115"/>
    <w:rsid w:val="00205B87"/>
    <w:rsid w:val="00205C3A"/>
    <w:rsid w:val="00206699"/>
    <w:rsid w:val="0020683D"/>
    <w:rsid w:val="00206FF1"/>
    <w:rsid w:val="0020714D"/>
    <w:rsid w:val="00207165"/>
    <w:rsid w:val="0020781E"/>
    <w:rsid w:val="00207F84"/>
    <w:rsid w:val="00210AEB"/>
    <w:rsid w:val="00211235"/>
    <w:rsid w:val="00211A81"/>
    <w:rsid w:val="00211BB9"/>
    <w:rsid w:val="0021293E"/>
    <w:rsid w:val="00212A5F"/>
    <w:rsid w:val="00212F6D"/>
    <w:rsid w:val="002134E0"/>
    <w:rsid w:val="0021389F"/>
    <w:rsid w:val="00213ABA"/>
    <w:rsid w:val="00213EEC"/>
    <w:rsid w:val="00214100"/>
    <w:rsid w:val="0021433A"/>
    <w:rsid w:val="002147DF"/>
    <w:rsid w:val="002149DB"/>
    <w:rsid w:val="0021600D"/>
    <w:rsid w:val="00216074"/>
    <w:rsid w:val="002161B4"/>
    <w:rsid w:val="00216246"/>
    <w:rsid w:val="002165FB"/>
    <w:rsid w:val="00216C89"/>
    <w:rsid w:val="00217265"/>
    <w:rsid w:val="00217CB8"/>
    <w:rsid w:val="00217E65"/>
    <w:rsid w:val="00220053"/>
    <w:rsid w:val="002208E4"/>
    <w:rsid w:val="00220F3B"/>
    <w:rsid w:val="00220FB1"/>
    <w:rsid w:val="00221599"/>
    <w:rsid w:val="00221868"/>
    <w:rsid w:val="00221A7F"/>
    <w:rsid w:val="00222675"/>
    <w:rsid w:val="002228B1"/>
    <w:rsid w:val="00222D9A"/>
    <w:rsid w:val="00223490"/>
    <w:rsid w:val="00223B4B"/>
    <w:rsid w:val="00223FC8"/>
    <w:rsid w:val="002243EA"/>
    <w:rsid w:val="00224BFB"/>
    <w:rsid w:val="00225568"/>
    <w:rsid w:val="00225917"/>
    <w:rsid w:val="00225977"/>
    <w:rsid w:val="002265A6"/>
    <w:rsid w:val="00226A99"/>
    <w:rsid w:val="00226F7C"/>
    <w:rsid w:val="00227072"/>
    <w:rsid w:val="002271B4"/>
    <w:rsid w:val="00227238"/>
    <w:rsid w:val="0023031C"/>
    <w:rsid w:val="00230B74"/>
    <w:rsid w:val="00230E4D"/>
    <w:rsid w:val="00231047"/>
    <w:rsid w:val="00231867"/>
    <w:rsid w:val="00231CB1"/>
    <w:rsid w:val="00231D7B"/>
    <w:rsid w:val="00232508"/>
    <w:rsid w:val="00232826"/>
    <w:rsid w:val="002328A4"/>
    <w:rsid w:val="00232C05"/>
    <w:rsid w:val="00232FAF"/>
    <w:rsid w:val="002332B7"/>
    <w:rsid w:val="00233B5C"/>
    <w:rsid w:val="002340D5"/>
    <w:rsid w:val="0023511F"/>
    <w:rsid w:val="002355F9"/>
    <w:rsid w:val="00235938"/>
    <w:rsid w:val="002370EF"/>
    <w:rsid w:val="00240608"/>
    <w:rsid w:val="002411DC"/>
    <w:rsid w:val="00241D65"/>
    <w:rsid w:val="002424BD"/>
    <w:rsid w:val="00242D76"/>
    <w:rsid w:val="0024320D"/>
    <w:rsid w:val="00243FA8"/>
    <w:rsid w:val="0024406B"/>
    <w:rsid w:val="00244390"/>
    <w:rsid w:val="00244580"/>
    <w:rsid w:val="002451A3"/>
    <w:rsid w:val="0024526D"/>
    <w:rsid w:val="0024564E"/>
    <w:rsid w:val="00246296"/>
    <w:rsid w:val="002464B6"/>
    <w:rsid w:val="002466D6"/>
    <w:rsid w:val="002467B9"/>
    <w:rsid w:val="00246AED"/>
    <w:rsid w:val="00247861"/>
    <w:rsid w:val="00247C25"/>
    <w:rsid w:val="00247FCE"/>
    <w:rsid w:val="0025023D"/>
    <w:rsid w:val="00250458"/>
    <w:rsid w:val="00250628"/>
    <w:rsid w:val="00250735"/>
    <w:rsid w:val="0025073D"/>
    <w:rsid w:val="002509F1"/>
    <w:rsid w:val="0025132B"/>
    <w:rsid w:val="002516ED"/>
    <w:rsid w:val="002525CF"/>
    <w:rsid w:val="00252D99"/>
    <w:rsid w:val="00252DE5"/>
    <w:rsid w:val="00252EF8"/>
    <w:rsid w:val="0025384A"/>
    <w:rsid w:val="00253C60"/>
    <w:rsid w:val="002544E6"/>
    <w:rsid w:val="00254CD9"/>
    <w:rsid w:val="002553F6"/>
    <w:rsid w:val="002554B5"/>
    <w:rsid w:val="002557DA"/>
    <w:rsid w:val="00255950"/>
    <w:rsid w:val="00255BC3"/>
    <w:rsid w:val="00256789"/>
    <w:rsid w:val="002569D9"/>
    <w:rsid w:val="00256E50"/>
    <w:rsid w:val="00256E82"/>
    <w:rsid w:val="0025796E"/>
    <w:rsid w:val="00257FD3"/>
    <w:rsid w:val="00260176"/>
    <w:rsid w:val="002608F4"/>
    <w:rsid w:val="00261897"/>
    <w:rsid w:val="00261C47"/>
    <w:rsid w:val="0026205A"/>
    <w:rsid w:val="002629D8"/>
    <w:rsid w:val="00262C54"/>
    <w:rsid w:val="00262F90"/>
    <w:rsid w:val="00262FF8"/>
    <w:rsid w:val="002634EA"/>
    <w:rsid w:val="00263EA1"/>
    <w:rsid w:val="00263F25"/>
    <w:rsid w:val="0026403F"/>
    <w:rsid w:val="00264677"/>
    <w:rsid w:val="002649F0"/>
    <w:rsid w:val="0026516B"/>
    <w:rsid w:val="00265326"/>
    <w:rsid w:val="00265520"/>
    <w:rsid w:val="002656FC"/>
    <w:rsid w:val="0026580A"/>
    <w:rsid w:val="00265A24"/>
    <w:rsid w:val="00266B15"/>
    <w:rsid w:val="00270170"/>
    <w:rsid w:val="002705BA"/>
    <w:rsid w:val="00270BCB"/>
    <w:rsid w:val="00270F6A"/>
    <w:rsid w:val="00270FDE"/>
    <w:rsid w:val="0027193D"/>
    <w:rsid w:val="00271BCA"/>
    <w:rsid w:val="002723FE"/>
    <w:rsid w:val="0027254D"/>
    <w:rsid w:val="0027359C"/>
    <w:rsid w:val="0027394C"/>
    <w:rsid w:val="00273E61"/>
    <w:rsid w:val="00274876"/>
    <w:rsid w:val="002748F3"/>
    <w:rsid w:val="00274DDC"/>
    <w:rsid w:val="00275D12"/>
    <w:rsid w:val="00275EDF"/>
    <w:rsid w:val="00276418"/>
    <w:rsid w:val="002777A8"/>
    <w:rsid w:val="00277D09"/>
    <w:rsid w:val="00277D91"/>
    <w:rsid w:val="00277F2A"/>
    <w:rsid w:val="002804B4"/>
    <w:rsid w:val="0028057E"/>
    <w:rsid w:val="00280860"/>
    <w:rsid w:val="002809E5"/>
    <w:rsid w:val="00281174"/>
    <w:rsid w:val="0028183E"/>
    <w:rsid w:val="00281B06"/>
    <w:rsid w:val="00281CB5"/>
    <w:rsid w:val="00282375"/>
    <w:rsid w:val="002825B6"/>
    <w:rsid w:val="00282644"/>
    <w:rsid w:val="002829D8"/>
    <w:rsid w:val="0028342E"/>
    <w:rsid w:val="00283D77"/>
    <w:rsid w:val="00284384"/>
    <w:rsid w:val="002846B0"/>
    <w:rsid w:val="00284927"/>
    <w:rsid w:val="00286606"/>
    <w:rsid w:val="0028666E"/>
    <w:rsid w:val="0028666F"/>
    <w:rsid w:val="002866FB"/>
    <w:rsid w:val="00286C41"/>
    <w:rsid w:val="0028739D"/>
    <w:rsid w:val="0029054A"/>
    <w:rsid w:val="002907AF"/>
    <w:rsid w:val="00290B19"/>
    <w:rsid w:val="00290B59"/>
    <w:rsid w:val="002914EC"/>
    <w:rsid w:val="00291655"/>
    <w:rsid w:val="00291674"/>
    <w:rsid w:val="00291DA8"/>
    <w:rsid w:val="002924C1"/>
    <w:rsid w:val="0029257A"/>
    <w:rsid w:val="00293398"/>
    <w:rsid w:val="002935C4"/>
    <w:rsid w:val="00293B7A"/>
    <w:rsid w:val="00293D6A"/>
    <w:rsid w:val="002941AC"/>
    <w:rsid w:val="002942AA"/>
    <w:rsid w:val="00294DFB"/>
    <w:rsid w:val="00294ECF"/>
    <w:rsid w:val="002954CA"/>
    <w:rsid w:val="00295CBF"/>
    <w:rsid w:val="002960D0"/>
    <w:rsid w:val="00296564"/>
    <w:rsid w:val="002965D6"/>
    <w:rsid w:val="00296D87"/>
    <w:rsid w:val="00297DE7"/>
    <w:rsid w:val="00297F7E"/>
    <w:rsid w:val="002A0469"/>
    <w:rsid w:val="002A083C"/>
    <w:rsid w:val="002A094E"/>
    <w:rsid w:val="002A0B49"/>
    <w:rsid w:val="002A0CB4"/>
    <w:rsid w:val="002A1079"/>
    <w:rsid w:val="002A120D"/>
    <w:rsid w:val="002A193B"/>
    <w:rsid w:val="002A1E76"/>
    <w:rsid w:val="002A1F82"/>
    <w:rsid w:val="002A23AF"/>
    <w:rsid w:val="002A2486"/>
    <w:rsid w:val="002A31F6"/>
    <w:rsid w:val="002A3750"/>
    <w:rsid w:val="002A3944"/>
    <w:rsid w:val="002A3AE2"/>
    <w:rsid w:val="002A3DBE"/>
    <w:rsid w:val="002A4350"/>
    <w:rsid w:val="002A456E"/>
    <w:rsid w:val="002A49B9"/>
    <w:rsid w:val="002A49ED"/>
    <w:rsid w:val="002A4CCE"/>
    <w:rsid w:val="002A50C2"/>
    <w:rsid w:val="002A51E8"/>
    <w:rsid w:val="002A548E"/>
    <w:rsid w:val="002A569A"/>
    <w:rsid w:val="002A588D"/>
    <w:rsid w:val="002A59A6"/>
    <w:rsid w:val="002A5F42"/>
    <w:rsid w:val="002A6674"/>
    <w:rsid w:val="002A699D"/>
    <w:rsid w:val="002A6EE0"/>
    <w:rsid w:val="002A7366"/>
    <w:rsid w:val="002A74E7"/>
    <w:rsid w:val="002A7BB9"/>
    <w:rsid w:val="002B0005"/>
    <w:rsid w:val="002B0C9D"/>
    <w:rsid w:val="002B1019"/>
    <w:rsid w:val="002B10F4"/>
    <w:rsid w:val="002B15EA"/>
    <w:rsid w:val="002B1F10"/>
    <w:rsid w:val="002B27F1"/>
    <w:rsid w:val="002B2A3B"/>
    <w:rsid w:val="002B2B72"/>
    <w:rsid w:val="002B2B94"/>
    <w:rsid w:val="002B2FBD"/>
    <w:rsid w:val="002B3C43"/>
    <w:rsid w:val="002B404D"/>
    <w:rsid w:val="002B435F"/>
    <w:rsid w:val="002B48A9"/>
    <w:rsid w:val="002B48D4"/>
    <w:rsid w:val="002B4E00"/>
    <w:rsid w:val="002B4F61"/>
    <w:rsid w:val="002B55D1"/>
    <w:rsid w:val="002B56AD"/>
    <w:rsid w:val="002B5934"/>
    <w:rsid w:val="002B67B1"/>
    <w:rsid w:val="002B6AAE"/>
    <w:rsid w:val="002B6EBE"/>
    <w:rsid w:val="002B7721"/>
    <w:rsid w:val="002B7C94"/>
    <w:rsid w:val="002B7E60"/>
    <w:rsid w:val="002C057A"/>
    <w:rsid w:val="002C06E5"/>
    <w:rsid w:val="002C0829"/>
    <w:rsid w:val="002C0C46"/>
    <w:rsid w:val="002C0F17"/>
    <w:rsid w:val="002C101C"/>
    <w:rsid w:val="002C1B6D"/>
    <w:rsid w:val="002C20C1"/>
    <w:rsid w:val="002C2819"/>
    <w:rsid w:val="002C298A"/>
    <w:rsid w:val="002C29FE"/>
    <w:rsid w:val="002C30AE"/>
    <w:rsid w:val="002C3580"/>
    <w:rsid w:val="002C3E6A"/>
    <w:rsid w:val="002C3ED4"/>
    <w:rsid w:val="002C420D"/>
    <w:rsid w:val="002C4246"/>
    <w:rsid w:val="002C452E"/>
    <w:rsid w:val="002C478D"/>
    <w:rsid w:val="002C4A1A"/>
    <w:rsid w:val="002C4D0F"/>
    <w:rsid w:val="002C5512"/>
    <w:rsid w:val="002C5CF2"/>
    <w:rsid w:val="002C5FE3"/>
    <w:rsid w:val="002C64EF"/>
    <w:rsid w:val="002C6E75"/>
    <w:rsid w:val="002C774D"/>
    <w:rsid w:val="002C779E"/>
    <w:rsid w:val="002C7CBF"/>
    <w:rsid w:val="002D02EB"/>
    <w:rsid w:val="002D03D5"/>
    <w:rsid w:val="002D0876"/>
    <w:rsid w:val="002D11F5"/>
    <w:rsid w:val="002D1866"/>
    <w:rsid w:val="002D19F2"/>
    <w:rsid w:val="002D2083"/>
    <w:rsid w:val="002D27FF"/>
    <w:rsid w:val="002D2AC6"/>
    <w:rsid w:val="002D30BE"/>
    <w:rsid w:val="002D3A24"/>
    <w:rsid w:val="002D4272"/>
    <w:rsid w:val="002D4443"/>
    <w:rsid w:val="002D471D"/>
    <w:rsid w:val="002D4AB1"/>
    <w:rsid w:val="002D519D"/>
    <w:rsid w:val="002D54D9"/>
    <w:rsid w:val="002D669D"/>
    <w:rsid w:val="002D66FE"/>
    <w:rsid w:val="002D7609"/>
    <w:rsid w:val="002D76DB"/>
    <w:rsid w:val="002D7915"/>
    <w:rsid w:val="002D7A06"/>
    <w:rsid w:val="002D7EF8"/>
    <w:rsid w:val="002E0463"/>
    <w:rsid w:val="002E0E57"/>
    <w:rsid w:val="002E20E3"/>
    <w:rsid w:val="002E22D4"/>
    <w:rsid w:val="002E25D9"/>
    <w:rsid w:val="002E3139"/>
    <w:rsid w:val="002E34B3"/>
    <w:rsid w:val="002E395C"/>
    <w:rsid w:val="002E3F4F"/>
    <w:rsid w:val="002E4002"/>
    <w:rsid w:val="002E4939"/>
    <w:rsid w:val="002E4AAD"/>
    <w:rsid w:val="002E5261"/>
    <w:rsid w:val="002E5700"/>
    <w:rsid w:val="002E65B8"/>
    <w:rsid w:val="002E69B5"/>
    <w:rsid w:val="002E69E4"/>
    <w:rsid w:val="002E6AB9"/>
    <w:rsid w:val="002E7789"/>
    <w:rsid w:val="002E7A3E"/>
    <w:rsid w:val="002E7B9A"/>
    <w:rsid w:val="002F0159"/>
    <w:rsid w:val="002F08DA"/>
    <w:rsid w:val="002F14C2"/>
    <w:rsid w:val="002F15A5"/>
    <w:rsid w:val="002F1974"/>
    <w:rsid w:val="002F1A6E"/>
    <w:rsid w:val="002F1AA0"/>
    <w:rsid w:val="002F1D61"/>
    <w:rsid w:val="002F276E"/>
    <w:rsid w:val="002F29FE"/>
    <w:rsid w:val="002F311C"/>
    <w:rsid w:val="002F31DC"/>
    <w:rsid w:val="002F3BE9"/>
    <w:rsid w:val="002F443C"/>
    <w:rsid w:val="002F4FE8"/>
    <w:rsid w:val="002F5232"/>
    <w:rsid w:val="002F525C"/>
    <w:rsid w:val="002F539B"/>
    <w:rsid w:val="002F5468"/>
    <w:rsid w:val="002F60C9"/>
    <w:rsid w:val="002F62D8"/>
    <w:rsid w:val="002F6461"/>
    <w:rsid w:val="002F6806"/>
    <w:rsid w:val="002F6FCF"/>
    <w:rsid w:val="002F7307"/>
    <w:rsid w:val="002F79ED"/>
    <w:rsid w:val="002F7A35"/>
    <w:rsid w:val="0030021D"/>
    <w:rsid w:val="003006B8"/>
    <w:rsid w:val="00300822"/>
    <w:rsid w:val="00300BD2"/>
    <w:rsid w:val="00301191"/>
    <w:rsid w:val="00301378"/>
    <w:rsid w:val="00301464"/>
    <w:rsid w:val="00301CAB"/>
    <w:rsid w:val="00301D3B"/>
    <w:rsid w:val="00301DE1"/>
    <w:rsid w:val="0030213D"/>
    <w:rsid w:val="003027DA"/>
    <w:rsid w:val="003028CC"/>
    <w:rsid w:val="00302EBF"/>
    <w:rsid w:val="00303062"/>
    <w:rsid w:val="0030319B"/>
    <w:rsid w:val="003031DD"/>
    <w:rsid w:val="00303222"/>
    <w:rsid w:val="00303261"/>
    <w:rsid w:val="00303B1A"/>
    <w:rsid w:val="00303DDC"/>
    <w:rsid w:val="00305065"/>
    <w:rsid w:val="0030510A"/>
    <w:rsid w:val="003055A0"/>
    <w:rsid w:val="00305A6E"/>
    <w:rsid w:val="00306B27"/>
    <w:rsid w:val="003073C5"/>
    <w:rsid w:val="003074C5"/>
    <w:rsid w:val="00307CFF"/>
    <w:rsid w:val="003103E2"/>
    <w:rsid w:val="00310C3B"/>
    <w:rsid w:val="0031198B"/>
    <w:rsid w:val="003119B6"/>
    <w:rsid w:val="00311ED8"/>
    <w:rsid w:val="003136F3"/>
    <w:rsid w:val="00313EFD"/>
    <w:rsid w:val="00314234"/>
    <w:rsid w:val="00314917"/>
    <w:rsid w:val="00314A19"/>
    <w:rsid w:val="00315A0A"/>
    <w:rsid w:val="00315FBA"/>
    <w:rsid w:val="00315FDA"/>
    <w:rsid w:val="00316A03"/>
    <w:rsid w:val="00316B6B"/>
    <w:rsid w:val="00316BC0"/>
    <w:rsid w:val="00316C9D"/>
    <w:rsid w:val="00316E8F"/>
    <w:rsid w:val="00317E42"/>
    <w:rsid w:val="0032003C"/>
    <w:rsid w:val="0032030C"/>
    <w:rsid w:val="003203AA"/>
    <w:rsid w:val="003203F9"/>
    <w:rsid w:val="003204AD"/>
    <w:rsid w:val="00321258"/>
    <w:rsid w:val="00321294"/>
    <w:rsid w:val="00321343"/>
    <w:rsid w:val="0032164E"/>
    <w:rsid w:val="00322160"/>
    <w:rsid w:val="00322B21"/>
    <w:rsid w:val="00322CB5"/>
    <w:rsid w:val="00323322"/>
    <w:rsid w:val="0032357E"/>
    <w:rsid w:val="0032385B"/>
    <w:rsid w:val="00324084"/>
    <w:rsid w:val="003252C7"/>
    <w:rsid w:val="0032555F"/>
    <w:rsid w:val="003257BF"/>
    <w:rsid w:val="00325C0D"/>
    <w:rsid w:val="00326D08"/>
    <w:rsid w:val="00326D73"/>
    <w:rsid w:val="00326F66"/>
    <w:rsid w:val="003273E2"/>
    <w:rsid w:val="003277E5"/>
    <w:rsid w:val="00327808"/>
    <w:rsid w:val="00327AAC"/>
    <w:rsid w:val="00327FCF"/>
    <w:rsid w:val="00330D22"/>
    <w:rsid w:val="003312FA"/>
    <w:rsid w:val="00332121"/>
    <w:rsid w:val="0033257C"/>
    <w:rsid w:val="003325DB"/>
    <w:rsid w:val="003327B5"/>
    <w:rsid w:val="00332D33"/>
    <w:rsid w:val="003330B3"/>
    <w:rsid w:val="003336C9"/>
    <w:rsid w:val="00333A9C"/>
    <w:rsid w:val="00333C10"/>
    <w:rsid w:val="0033508D"/>
    <w:rsid w:val="00335288"/>
    <w:rsid w:val="0033558C"/>
    <w:rsid w:val="00335F8D"/>
    <w:rsid w:val="00336117"/>
    <w:rsid w:val="0033784C"/>
    <w:rsid w:val="00337A81"/>
    <w:rsid w:val="003401E0"/>
    <w:rsid w:val="00340226"/>
    <w:rsid w:val="0034030C"/>
    <w:rsid w:val="0034059E"/>
    <w:rsid w:val="003408E6"/>
    <w:rsid w:val="003408F4"/>
    <w:rsid w:val="0034166F"/>
    <w:rsid w:val="0034184F"/>
    <w:rsid w:val="00341CD5"/>
    <w:rsid w:val="003421B3"/>
    <w:rsid w:val="00342A8D"/>
    <w:rsid w:val="00342DFB"/>
    <w:rsid w:val="00343014"/>
    <w:rsid w:val="003430B1"/>
    <w:rsid w:val="0034312C"/>
    <w:rsid w:val="00343533"/>
    <w:rsid w:val="0034357E"/>
    <w:rsid w:val="00343852"/>
    <w:rsid w:val="003439BB"/>
    <w:rsid w:val="003440E1"/>
    <w:rsid w:val="00344442"/>
    <w:rsid w:val="00344903"/>
    <w:rsid w:val="0034606D"/>
    <w:rsid w:val="00346361"/>
    <w:rsid w:val="00346523"/>
    <w:rsid w:val="0034712B"/>
    <w:rsid w:val="003473AB"/>
    <w:rsid w:val="00347558"/>
    <w:rsid w:val="00347AE9"/>
    <w:rsid w:val="00350125"/>
    <w:rsid w:val="003501E8"/>
    <w:rsid w:val="0035091D"/>
    <w:rsid w:val="0035264A"/>
    <w:rsid w:val="00352709"/>
    <w:rsid w:val="003534DA"/>
    <w:rsid w:val="0035371D"/>
    <w:rsid w:val="00355041"/>
    <w:rsid w:val="00355110"/>
    <w:rsid w:val="00355866"/>
    <w:rsid w:val="00355E38"/>
    <w:rsid w:val="00356189"/>
    <w:rsid w:val="0035638C"/>
    <w:rsid w:val="00356495"/>
    <w:rsid w:val="00356E3F"/>
    <w:rsid w:val="003570E9"/>
    <w:rsid w:val="0035715C"/>
    <w:rsid w:val="00357762"/>
    <w:rsid w:val="00360366"/>
    <w:rsid w:val="00360705"/>
    <w:rsid w:val="003612CE"/>
    <w:rsid w:val="00361A06"/>
    <w:rsid w:val="00361F46"/>
    <w:rsid w:val="00362F26"/>
    <w:rsid w:val="003631B0"/>
    <w:rsid w:val="003631E0"/>
    <w:rsid w:val="003633CB"/>
    <w:rsid w:val="00363DBF"/>
    <w:rsid w:val="0036499E"/>
    <w:rsid w:val="003649CC"/>
    <w:rsid w:val="00364A97"/>
    <w:rsid w:val="003654BC"/>
    <w:rsid w:val="003658F2"/>
    <w:rsid w:val="00365CA9"/>
    <w:rsid w:val="00365EB2"/>
    <w:rsid w:val="003661BA"/>
    <w:rsid w:val="003663E9"/>
    <w:rsid w:val="00366474"/>
    <w:rsid w:val="003667CE"/>
    <w:rsid w:val="003667F4"/>
    <w:rsid w:val="00367526"/>
    <w:rsid w:val="00367684"/>
    <w:rsid w:val="003678A3"/>
    <w:rsid w:val="00367A5E"/>
    <w:rsid w:val="003705B7"/>
    <w:rsid w:val="00370690"/>
    <w:rsid w:val="00370DAF"/>
    <w:rsid w:val="00370E54"/>
    <w:rsid w:val="00370F56"/>
    <w:rsid w:val="00370FCB"/>
    <w:rsid w:val="0037205A"/>
    <w:rsid w:val="0037217B"/>
    <w:rsid w:val="0037263C"/>
    <w:rsid w:val="003729D4"/>
    <w:rsid w:val="00373BC9"/>
    <w:rsid w:val="003741F7"/>
    <w:rsid w:val="0037469B"/>
    <w:rsid w:val="003746D0"/>
    <w:rsid w:val="00374904"/>
    <w:rsid w:val="003749CA"/>
    <w:rsid w:val="00374E8E"/>
    <w:rsid w:val="003755F7"/>
    <w:rsid w:val="00375787"/>
    <w:rsid w:val="003759D5"/>
    <w:rsid w:val="00375E78"/>
    <w:rsid w:val="00376261"/>
    <w:rsid w:val="003765C7"/>
    <w:rsid w:val="00376954"/>
    <w:rsid w:val="00376A02"/>
    <w:rsid w:val="00376E83"/>
    <w:rsid w:val="00376F5C"/>
    <w:rsid w:val="00377751"/>
    <w:rsid w:val="00377A05"/>
    <w:rsid w:val="00377B83"/>
    <w:rsid w:val="00377E99"/>
    <w:rsid w:val="003801BC"/>
    <w:rsid w:val="00380CEB"/>
    <w:rsid w:val="0038157D"/>
    <w:rsid w:val="003816DD"/>
    <w:rsid w:val="0038170D"/>
    <w:rsid w:val="00381B75"/>
    <w:rsid w:val="00382062"/>
    <w:rsid w:val="0038209B"/>
    <w:rsid w:val="003820DC"/>
    <w:rsid w:val="003827D8"/>
    <w:rsid w:val="00382855"/>
    <w:rsid w:val="003829B6"/>
    <w:rsid w:val="00382A5B"/>
    <w:rsid w:val="00382B2C"/>
    <w:rsid w:val="00383051"/>
    <w:rsid w:val="00383E95"/>
    <w:rsid w:val="00384A4D"/>
    <w:rsid w:val="003856DB"/>
    <w:rsid w:val="00385A16"/>
    <w:rsid w:val="00385B97"/>
    <w:rsid w:val="00385CFC"/>
    <w:rsid w:val="00386062"/>
    <w:rsid w:val="0038636B"/>
    <w:rsid w:val="003865A8"/>
    <w:rsid w:val="0038690F"/>
    <w:rsid w:val="00386A42"/>
    <w:rsid w:val="00387471"/>
    <w:rsid w:val="00387558"/>
    <w:rsid w:val="0038768F"/>
    <w:rsid w:val="003876C4"/>
    <w:rsid w:val="0039024C"/>
    <w:rsid w:val="00390544"/>
    <w:rsid w:val="00390999"/>
    <w:rsid w:val="00390B5B"/>
    <w:rsid w:val="0039136E"/>
    <w:rsid w:val="0039143F"/>
    <w:rsid w:val="0039171A"/>
    <w:rsid w:val="00392227"/>
    <w:rsid w:val="003926A8"/>
    <w:rsid w:val="00392A9D"/>
    <w:rsid w:val="00392E14"/>
    <w:rsid w:val="0039313F"/>
    <w:rsid w:val="00393FF9"/>
    <w:rsid w:val="00394016"/>
    <w:rsid w:val="003941A0"/>
    <w:rsid w:val="00394202"/>
    <w:rsid w:val="00394EE1"/>
    <w:rsid w:val="00396198"/>
    <w:rsid w:val="003966D7"/>
    <w:rsid w:val="003967F1"/>
    <w:rsid w:val="00397535"/>
    <w:rsid w:val="0039766E"/>
    <w:rsid w:val="003977BD"/>
    <w:rsid w:val="00397A66"/>
    <w:rsid w:val="003A065C"/>
    <w:rsid w:val="003A06E5"/>
    <w:rsid w:val="003A0F28"/>
    <w:rsid w:val="003A1403"/>
    <w:rsid w:val="003A18C3"/>
    <w:rsid w:val="003A1B2E"/>
    <w:rsid w:val="003A216D"/>
    <w:rsid w:val="003A2471"/>
    <w:rsid w:val="003A30D4"/>
    <w:rsid w:val="003A3411"/>
    <w:rsid w:val="003A344C"/>
    <w:rsid w:val="003A3781"/>
    <w:rsid w:val="003A3AB4"/>
    <w:rsid w:val="003A3B70"/>
    <w:rsid w:val="003A3BBE"/>
    <w:rsid w:val="003A409A"/>
    <w:rsid w:val="003A53FA"/>
    <w:rsid w:val="003A5464"/>
    <w:rsid w:val="003A553E"/>
    <w:rsid w:val="003A5748"/>
    <w:rsid w:val="003A5BB0"/>
    <w:rsid w:val="003A66D1"/>
    <w:rsid w:val="003A68A2"/>
    <w:rsid w:val="003A7641"/>
    <w:rsid w:val="003A7D06"/>
    <w:rsid w:val="003B051A"/>
    <w:rsid w:val="003B113B"/>
    <w:rsid w:val="003B1587"/>
    <w:rsid w:val="003B2331"/>
    <w:rsid w:val="003B2365"/>
    <w:rsid w:val="003B240D"/>
    <w:rsid w:val="003B3066"/>
    <w:rsid w:val="003B30F3"/>
    <w:rsid w:val="003B3181"/>
    <w:rsid w:val="003B39A3"/>
    <w:rsid w:val="003B3E08"/>
    <w:rsid w:val="003B4970"/>
    <w:rsid w:val="003B53A0"/>
    <w:rsid w:val="003B541A"/>
    <w:rsid w:val="003B5816"/>
    <w:rsid w:val="003B587A"/>
    <w:rsid w:val="003B5953"/>
    <w:rsid w:val="003B5AE7"/>
    <w:rsid w:val="003B6947"/>
    <w:rsid w:val="003B696F"/>
    <w:rsid w:val="003B69C1"/>
    <w:rsid w:val="003B6EB1"/>
    <w:rsid w:val="003B709D"/>
    <w:rsid w:val="003B7715"/>
    <w:rsid w:val="003B7A05"/>
    <w:rsid w:val="003C0148"/>
    <w:rsid w:val="003C0211"/>
    <w:rsid w:val="003C0A9F"/>
    <w:rsid w:val="003C0D12"/>
    <w:rsid w:val="003C0E08"/>
    <w:rsid w:val="003C0FD0"/>
    <w:rsid w:val="003C10EC"/>
    <w:rsid w:val="003C1B6D"/>
    <w:rsid w:val="003C237C"/>
    <w:rsid w:val="003C25F4"/>
    <w:rsid w:val="003C2618"/>
    <w:rsid w:val="003C26D0"/>
    <w:rsid w:val="003C36CC"/>
    <w:rsid w:val="003C4018"/>
    <w:rsid w:val="003C42DD"/>
    <w:rsid w:val="003C4E41"/>
    <w:rsid w:val="003C5846"/>
    <w:rsid w:val="003C58A2"/>
    <w:rsid w:val="003C6351"/>
    <w:rsid w:val="003C63B7"/>
    <w:rsid w:val="003C68F0"/>
    <w:rsid w:val="003C6A35"/>
    <w:rsid w:val="003C6D44"/>
    <w:rsid w:val="003C71A1"/>
    <w:rsid w:val="003C7BE8"/>
    <w:rsid w:val="003C7F36"/>
    <w:rsid w:val="003D01AA"/>
    <w:rsid w:val="003D0343"/>
    <w:rsid w:val="003D050D"/>
    <w:rsid w:val="003D0961"/>
    <w:rsid w:val="003D0C7A"/>
    <w:rsid w:val="003D1ABA"/>
    <w:rsid w:val="003D2651"/>
    <w:rsid w:val="003D2B40"/>
    <w:rsid w:val="003D30BF"/>
    <w:rsid w:val="003D3A6D"/>
    <w:rsid w:val="003D3A9C"/>
    <w:rsid w:val="003D426E"/>
    <w:rsid w:val="003D4AAC"/>
    <w:rsid w:val="003D4B94"/>
    <w:rsid w:val="003D505D"/>
    <w:rsid w:val="003D518E"/>
    <w:rsid w:val="003D52FE"/>
    <w:rsid w:val="003D5B07"/>
    <w:rsid w:val="003D6B33"/>
    <w:rsid w:val="003D6BAB"/>
    <w:rsid w:val="003D6BC7"/>
    <w:rsid w:val="003D6D4A"/>
    <w:rsid w:val="003D74AA"/>
    <w:rsid w:val="003D76BF"/>
    <w:rsid w:val="003D7960"/>
    <w:rsid w:val="003D79C1"/>
    <w:rsid w:val="003D7A50"/>
    <w:rsid w:val="003D7C08"/>
    <w:rsid w:val="003D7D4A"/>
    <w:rsid w:val="003D7D85"/>
    <w:rsid w:val="003D7DCB"/>
    <w:rsid w:val="003E0226"/>
    <w:rsid w:val="003E0271"/>
    <w:rsid w:val="003E058C"/>
    <w:rsid w:val="003E0765"/>
    <w:rsid w:val="003E0840"/>
    <w:rsid w:val="003E0AC2"/>
    <w:rsid w:val="003E0BC4"/>
    <w:rsid w:val="003E1530"/>
    <w:rsid w:val="003E185C"/>
    <w:rsid w:val="003E1B7C"/>
    <w:rsid w:val="003E33CA"/>
    <w:rsid w:val="003E3EAE"/>
    <w:rsid w:val="003E41D4"/>
    <w:rsid w:val="003E54C4"/>
    <w:rsid w:val="003E5CE6"/>
    <w:rsid w:val="003E5D42"/>
    <w:rsid w:val="003E64B9"/>
    <w:rsid w:val="003E6CB2"/>
    <w:rsid w:val="003E728D"/>
    <w:rsid w:val="003E7295"/>
    <w:rsid w:val="003E7A65"/>
    <w:rsid w:val="003F0768"/>
    <w:rsid w:val="003F0B53"/>
    <w:rsid w:val="003F13B3"/>
    <w:rsid w:val="003F1466"/>
    <w:rsid w:val="003F173D"/>
    <w:rsid w:val="003F1783"/>
    <w:rsid w:val="003F194F"/>
    <w:rsid w:val="003F1D67"/>
    <w:rsid w:val="003F202E"/>
    <w:rsid w:val="003F2159"/>
    <w:rsid w:val="003F2256"/>
    <w:rsid w:val="003F244A"/>
    <w:rsid w:val="003F25F2"/>
    <w:rsid w:val="003F26FE"/>
    <w:rsid w:val="003F2A4B"/>
    <w:rsid w:val="003F2C56"/>
    <w:rsid w:val="003F3560"/>
    <w:rsid w:val="003F3E29"/>
    <w:rsid w:val="003F4084"/>
    <w:rsid w:val="003F4BF2"/>
    <w:rsid w:val="003F5475"/>
    <w:rsid w:val="003F5F4D"/>
    <w:rsid w:val="003F622B"/>
    <w:rsid w:val="003F631B"/>
    <w:rsid w:val="003F68FD"/>
    <w:rsid w:val="003F6C13"/>
    <w:rsid w:val="003F7032"/>
    <w:rsid w:val="003F70FD"/>
    <w:rsid w:val="003F7331"/>
    <w:rsid w:val="003F7598"/>
    <w:rsid w:val="003F7D89"/>
    <w:rsid w:val="00400AB3"/>
    <w:rsid w:val="00400DA6"/>
    <w:rsid w:val="00401D0E"/>
    <w:rsid w:val="00401F72"/>
    <w:rsid w:val="0040240C"/>
    <w:rsid w:val="004025ED"/>
    <w:rsid w:val="00402618"/>
    <w:rsid w:val="004027D5"/>
    <w:rsid w:val="00402959"/>
    <w:rsid w:val="00402F58"/>
    <w:rsid w:val="0040314A"/>
    <w:rsid w:val="0040316A"/>
    <w:rsid w:val="00403269"/>
    <w:rsid w:val="004033C6"/>
    <w:rsid w:val="00403D02"/>
    <w:rsid w:val="00404075"/>
    <w:rsid w:val="004045E6"/>
    <w:rsid w:val="00404D05"/>
    <w:rsid w:val="0040519D"/>
    <w:rsid w:val="004054D0"/>
    <w:rsid w:val="00406919"/>
    <w:rsid w:val="00406A0E"/>
    <w:rsid w:val="00406D4A"/>
    <w:rsid w:val="00406E31"/>
    <w:rsid w:val="0040705F"/>
    <w:rsid w:val="004076B9"/>
    <w:rsid w:val="00407D7C"/>
    <w:rsid w:val="00410301"/>
    <w:rsid w:val="004109DF"/>
    <w:rsid w:val="00410B02"/>
    <w:rsid w:val="0041100E"/>
    <w:rsid w:val="004113A8"/>
    <w:rsid w:val="004116BC"/>
    <w:rsid w:val="004119CB"/>
    <w:rsid w:val="00411FBD"/>
    <w:rsid w:val="0041204B"/>
    <w:rsid w:val="00412133"/>
    <w:rsid w:val="00412580"/>
    <w:rsid w:val="00412893"/>
    <w:rsid w:val="00412DB3"/>
    <w:rsid w:val="00413566"/>
    <w:rsid w:val="004136D8"/>
    <w:rsid w:val="004139E1"/>
    <w:rsid w:val="004141F1"/>
    <w:rsid w:val="004149A4"/>
    <w:rsid w:val="004154EA"/>
    <w:rsid w:val="00415EEF"/>
    <w:rsid w:val="00415FFB"/>
    <w:rsid w:val="00416402"/>
    <w:rsid w:val="0041673C"/>
    <w:rsid w:val="00416B55"/>
    <w:rsid w:val="00416BAC"/>
    <w:rsid w:val="00416BB3"/>
    <w:rsid w:val="00416D7C"/>
    <w:rsid w:val="004173AE"/>
    <w:rsid w:val="00417BBA"/>
    <w:rsid w:val="00417D67"/>
    <w:rsid w:val="00417F2E"/>
    <w:rsid w:val="00420234"/>
    <w:rsid w:val="00420543"/>
    <w:rsid w:val="00420B0E"/>
    <w:rsid w:val="00420EE7"/>
    <w:rsid w:val="0042185C"/>
    <w:rsid w:val="004224E6"/>
    <w:rsid w:val="00422551"/>
    <w:rsid w:val="0042351E"/>
    <w:rsid w:val="004235C0"/>
    <w:rsid w:val="0042393A"/>
    <w:rsid w:val="00423A07"/>
    <w:rsid w:val="00423E28"/>
    <w:rsid w:val="004241C7"/>
    <w:rsid w:val="00424AB2"/>
    <w:rsid w:val="00424BAD"/>
    <w:rsid w:val="00424BF6"/>
    <w:rsid w:val="00424CA7"/>
    <w:rsid w:val="00424FC4"/>
    <w:rsid w:val="0042524C"/>
    <w:rsid w:val="00425579"/>
    <w:rsid w:val="00425701"/>
    <w:rsid w:val="0042621A"/>
    <w:rsid w:val="004266A0"/>
    <w:rsid w:val="0042681A"/>
    <w:rsid w:val="00427065"/>
    <w:rsid w:val="004275AC"/>
    <w:rsid w:val="004277E2"/>
    <w:rsid w:val="00431518"/>
    <w:rsid w:val="00431C7F"/>
    <w:rsid w:val="00431D10"/>
    <w:rsid w:val="0043283D"/>
    <w:rsid w:val="004329B6"/>
    <w:rsid w:val="00432A42"/>
    <w:rsid w:val="0043381E"/>
    <w:rsid w:val="0043384A"/>
    <w:rsid w:val="00433A48"/>
    <w:rsid w:val="00433AE1"/>
    <w:rsid w:val="0043434A"/>
    <w:rsid w:val="004348B5"/>
    <w:rsid w:val="00435086"/>
    <w:rsid w:val="00435125"/>
    <w:rsid w:val="00435344"/>
    <w:rsid w:val="0043595C"/>
    <w:rsid w:val="004359DB"/>
    <w:rsid w:val="00435B0C"/>
    <w:rsid w:val="00435B2D"/>
    <w:rsid w:val="0043642B"/>
    <w:rsid w:val="00436C68"/>
    <w:rsid w:val="00436CF8"/>
    <w:rsid w:val="004370C0"/>
    <w:rsid w:val="004371FC"/>
    <w:rsid w:val="00437263"/>
    <w:rsid w:val="0043762D"/>
    <w:rsid w:val="004376C2"/>
    <w:rsid w:val="00440888"/>
    <w:rsid w:val="00440B51"/>
    <w:rsid w:val="00440EEF"/>
    <w:rsid w:val="004411D5"/>
    <w:rsid w:val="004412FA"/>
    <w:rsid w:val="00441EBC"/>
    <w:rsid w:val="004422C5"/>
    <w:rsid w:val="004423DE"/>
    <w:rsid w:val="00443348"/>
    <w:rsid w:val="00443C60"/>
    <w:rsid w:val="00443FD6"/>
    <w:rsid w:val="004449EE"/>
    <w:rsid w:val="00445447"/>
    <w:rsid w:val="004456A1"/>
    <w:rsid w:val="0044610C"/>
    <w:rsid w:val="00446203"/>
    <w:rsid w:val="004467CF"/>
    <w:rsid w:val="00447631"/>
    <w:rsid w:val="00447842"/>
    <w:rsid w:val="00447CFC"/>
    <w:rsid w:val="00447E2B"/>
    <w:rsid w:val="00450336"/>
    <w:rsid w:val="004509ED"/>
    <w:rsid w:val="00450D14"/>
    <w:rsid w:val="00450F4E"/>
    <w:rsid w:val="00451D95"/>
    <w:rsid w:val="00451F51"/>
    <w:rsid w:val="0045254A"/>
    <w:rsid w:val="00452927"/>
    <w:rsid w:val="00452B8B"/>
    <w:rsid w:val="00453835"/>
    <w:rsid w:val="00453D0B"/>
    <w:rsid w:val="00453DD6"/>
    <w:rsid w:val="00454001"/>
    <w:rsid w:val="004543C4"/>
    <w:rsid w:val="00454434"/>
    <w:rsid w:val="00454871"/>
    <w:rsid w:val="00454CEB"/>
    <w:rsid w:val="00454EF0"/>
    <w:rsid w:val="0045523C"/>
    <w:rsid w:val="004556FD"/>
    <w:rsid w:val="0045580D"/>
    <w:rsid w:val="00455A41"/>
    <w:rsid w:val="00455E44"/>
    <w:rsid w:val="00456672"/>
    <w:rsid w:val="0045695A"/>
    <w:rsid w:val="00456A2D"/>
    <w:rsid w:val="00456A47"/>
    <w:rsid w:val="00456B25"/>
    <w:rsid w:val="0045729A"/>
    <w:rsid w:val="0045766F"/>
    <w:rsid w:val="004577CB"/>
    <w:rsid w:val="00457B43"/>
    <w:rsid w:val="00457B8A"/>
    <w:rsid w:val="00460647"/>
    <w:rsid w:val="004609D1"/>
    <w:rsid w:val="00460B3F"/>
    <w:rsid w:val="0046118C"/>
    <w:rsid w:val="00461C2C"/>
    <w:rsid w:val="00461FF3"/>
    <w:rsid w:val="004632B2"/>
    <w:rsid w:val="004637E7"/>
    <w:rsid w:val="00464CCD"/>
    <w:rsid w:val="00465CAC"/>
    <w:rsid w:val="004667D4"/>
    <w:rsid w:val="00466E86"/>
    <w:rsid w:val="004676DF"/>
    <w:rsid w:val="00467CBC"/>
    <w:rsid w:val="00467F93"/>
    <w:rsid w:val="004701F9"/>
    <w:rsid w:val="00470689"/>
    <w:rsid w:val="004709D9"/>
    <w:rsid w:val="00471C05"/>
    <w:rsid w:val="004723E3"/>
    <w:rsid w:val="004725A0"/>
    <w:rsid w:val="00472B46"/>
    <w:rsid w:val="00472B4C"/>
    <w:rsid w:val="00472C60"/>
    <w:rsid w:val="004730D8"/>
    <w:rsid w:val="004732E7"/>
    <w:rsid w:val="00473583"/>
    <w:rsid w:val="0047363D"/>
    <w:rsid w:val="0047370F"/>
    <w:rsid w:val="004739EB"/>
    <w:rsid w:val="00473AB2"/>
    <w:rsid w:val="00473D95"/>
    <w:rsid w:val="00473E83"/>
    <w:rsid w:val="0047424E"/>
    <w:rsid w:val="00474A73"/>
    <w:rsid w:val="0047514D"/>
    <w:rsid w:val="004755C2"/>
    <w:rsid w:val="00475F60"/>
    <w:rsid w:val="00475F8C"/>
    <w:rsid w:val="00475F93"/>
    <w:rsid w:val="00475FA3"/>
    <w:rsid w:val="00476056"/>
    <w:rsid w:val="0047609A"/>
    <w:rsid w:val="00476127"/>
    <w:rsid w:val="00476487"/>
    <w:rsid w:val="00476E77"/>
    <w:rsid w:val="00477062"/>
    <w:rsid w:val="0047797C"/>
    <w:rsid w:val="00477AFC"/>
    <w:rsid w:val="00480E8B"/>
    <w:rsid w:val="00481299"/>
    <w:rsid w:val="00481765"/>
    <w:rsid w:val="00481827"/>
    <w:rsid w:val="00481E47"/>
    <w:rsid w:val="0048202E"/>
    <w:rsid w:val="0048247D"/>
    <w:rsid w:val="004825CD"/>
    <w:rsid w:val="00482BFC"/>
    <w:rsid w:val="00482C5D"/>
    <w:rsid w:val="00483022"/>
    <w:rsid w:val="00484C1F"/>
    <w:rsid w:val="00484FD9"/>
    <w:rsid w:val="00486632"/>
    <w:rsid w:val="0048692B"/>
    <w:rsid w:val="00487233"/>
    <w:rsid w:val="004878DA"/>
    <w:rsid w:val="00487C04"/>
    <w:rsid w:val="0049023A"/>
    <w:rsid w:val="0049041F"/>
    <w:rsid w:val="00490449"/>
    <w:rsid w:val="00490B3A"/>
    <w:rsid w:val="00490FD5"/>
    <w:rsid w:val="00491185"/>
    <w:rsid w:val="00491DDD"/>
    <w:rsid w:val="00492542"/>
    <w:rsid w:val="00492864"/>
    <w:rsid w:val="00492B1F"/>
    <w:rsid w:val="0049319E"/>
    <w:rsid w:val="004931BB"/>
    <w:rsid w:val="00493618"/>
    <w:rsid w:val="00493649"/>
    <w:rsid w:val="004939AC"/>
    <w:rsid w:val="00493C63"/>
    <w:rsid w:val="00493F7D"/>
    <w:rsid w:val="00493FE4"/>
    <w:rsid w:val="004942DF"/>
    <w:rsid w:val="004943AC"/>
    <w:rsid w:val="00497614"/>
    <w:rsid w:val="00497679"/>
    <w:rsid w:val="004977EF"/>
    <w:rsid w:val="00497CE3"/>
    <w:rsid w:val="00497F14"/>
    <w:rsid w:val="004A0309"/>
    <w:rsid w:val="004A030E"/>
    <w:rsid w:val="004A0362"/>
    <w:rsid w:val="004A04A0"/>
    <w:rsid w:val="004A0522"/>
    <w:rsid w:val="004A06BE"/>
    <w:rsid w:val="004A0751"/>
    <w:rsid w:val="004A091F"/>
    <w:rsid w:val="004A0A9C"/>
    <w:rsid w:val="004A0CAD"/>
    <w:rsid w:val="004A11C4"/>
    <w:rsid w:val="004A1AB3"/>
    <w:rsid w:val="004A1D05"/>
    <w:rsid w:val="004A1D8C"/>
    <w:rsid w:val="004A1DA8"/>
    <w:rsid w:val="004A2D4D"/>
    <w:rsid w:val="004A32B0"/>
    <w:rsid w:val="004A3ACA"/>
    <w:rsid w:val="004A3D36"/>
    <w:rsid w:val="004A436B"/>
    <w:rsid w:val="004A49CA"/>
    <w:rsid w:val="004A49E3"/>
    <w:rsid w:val="004A4C2B"/>
    <w:rsid w:val="004A55E4"/>
    <w:rsid w:val="004A595F"/>
    <w:rsid w:val="004A5A49"/>
    <w:rsid w:val="004A5A8C"/>
    <w:rsid w:val="004A5FC2"/>
    <w:rsid w:val="004A659B"/>
    <w:rsid w:val="004A7554"/>
    <w:rsid w:val="004A7B0D"/>
    <w:rsid w:val="004B00E7"/>
    <w:rsid w:val="004B0F40"/>
    <w:rsid w:val="004B10CA"/>
    <w:rsid w:val="004B1113"/>
    <w:rsid w:val="004B15F8"/>
    <w:rsid w:val="004B1A09"/>
    <w:rsid w:val="004B1FF0"/>
    <w:rsid w:val="004B2156"/>
    <w:rsid w:val="004B2230"/>
    <w:rsid w:val="004B229B"/>
    <w:rsid w:val="004B22DD"/>
    <w:rsid w:val="004B236E"/>
    <w:rsid w:val="004B2408"/>
    <w:rsid w:val="004B29BE"/>
    <w:rsid w:val="004B368E"/>
    <w:rsid w:val="004B3806"/>
    <w:rsid w:val="004B3D56"/>
    <w:rsid w:val="004B3DDF"/>
    <w:rsid w:val="004B3EBC"/>
    <w:rsid w:val="004B4010"/>
    <w:rsid w:val="004B44CC"/>
    <w:rsid w:val="004B482E"/>
    <w:rsid w:val="004B5337"/>
    <w:rsid w:val="004B6754"/>
    <w:rsid w:val="004B703B"/>
    <w:rsid w:val="004B70E4"/>
    <w:rsid w:val="004B70FD"/>
    <w:rsid w:val="004B744D"/>
    <w:rsid w:val="004B74EB"/>
    <w:rsid w:val="004B770F"/>
    <w:rsid w:val="004C064C"/>
    <w:rsid w:val="004C09D1"/>
    <w:rsid w:val="004C0DE9"/>
    <w:rsid w:val="004C1489"/>
    <w:rsid w:val="004C1777"/>
    <w:rsid w:val="004C1C47"/>
    <w:rsid w:val="004C24C3"/>
    <w:rsid w:val="004C2554"/>
    <w:rsid w:val="004C2C48"/>
    <w:rsid w:val="004C2C4C"/>
    <w:rsid w:val="004C35CE"/>
    <w:rsid w:val="004C3748"/>
    <w:rsid w:val="004C3AC9"/>
    <w:rsid w:val="004C3C7C"/>
    <w:rsid w:val="004C4334"/>
    <w:rsid w:val="004C4488"/>
    <w:rsid w:val="004C479D"/>
    <w:rsid w:val="004C48AC"/>
    <w:rsid w:val="004C50DE"/>
    <w:rsid w:val="004C561E"/>
    <w:rsid w:val="004C590A"/>
    <w:rsid w:val="004C5E14"/>
    <w:rsid w:val="004C689B"/>
    <w:rsid w:val="004C7297"/>
    <w:rsid w:val="004C78EC"/>
    <w:rsid w:val="004C7A93"/>
    <w:rsid w:val="004C7FCD"/>
    <w:rsid w:val="004D004F"/>
    <w:rsid w:val="004D012D"/>
    <w:rsid w:val="004D0180"/>
    <w:rsid w:val="004D0F59"/>
    <w:rsid w:val="004D1486"/>
    <w:rsid w:val="004D14D9"/>
    <w:rsid w:val="004D1933"/>
    <w:rsid w:val="004D23EF"/>
    <w:rsid w:val="004D2789"/>
    <w:rsid w:val="004D2837"/>
    <w:rsid w:val="004D288F"/>
    <w:rsid w:val="004D2942"/>
    <w:rsid w:val="004D29AD"/>
    <w:rsid w:val="004D2BEA"/>
    <w:rsid w:val="004D2D6A"/>
    <w:rsid w:val="004D33FD"/>
    <w:rsid w:val="004D3A6E"/>
    <w:rsid w:val="004D3A8B"/>
    <w:rsid w:val="004D3B68"/>
    <w:rsid w:val="004D3FB9"/>
    <w:rsid w:val="004D41CB"/>
    <w:rsid w:val="004D474C"/>
    <w:rsid w:val="004D4C54"/>
    <w:rsid w:val="004D506E"/>
    <w:rsid w:val="004D5222"/>
    <w:rsid w:val="004D5251"/>
    <w:rsid w:val="004D55A3"/>
    <w:rsid w:val="004D5758"/>
    <w:rsid w:val="004D5B7D"/>
    <w:rsid w:val="004D6C21"/>
    <w:rsid w:val="004D6EA7"/>
    <w:rsid w:val="004D7422"/>
    <w:rsid w:val="004D756B"/>
    <w:rsid w:val="004D75E0"/>
    <w:rsid w:val="004D76B8"/>
    <w:rsid w:val="004D7CB6"/>
    <w:rsid w:val="004E11ED"/>
    <w:rsid w:val="004E1218"/>
    <w:rsid w:val="004E1370"/>
    <w:rsid w:val="004E2317"/>
    <w:rsid w:val="004E27B6"/>
    <w:rsid w:val="004E4670"/>
    <w:rsid w:val="004E48C3"/>
    <w:rsid w:val="004E4B1F"/>
    <w:rsid w:val="004E515E"/>
    <w:rsid w:val="004E536E"/>
    <w:rsid w:val="004E596B"/>
    <w:rsid w:val="004E5E3A"/>
    <w:rsid w:val="004E63B6"/>
    <w:rsid w:val="004E64FA"/>
    <w:rsid w:val="004E66B5"/>
    <w:rsid w:val="004E66FB"/>
    <w:rsid w:val="004E6B20"/>
    <w:rsid w:val="004E6BE1"/>
    <w:rsid w:val="004E7C40"/>
    <w:rsid w:val="004F0399"/>
    <w:rsid w:val="004F03EB"/>
    <w:rsid w:val="004F0469"/>
    <w:rsid w:val="004F2004"/>
    <w:rsid w:val="004F213A"/>
    <w:rsid w:val="004F22A0"/>
    <w:rsid w:val="004F2628"/>
    <w:rsid w:val="004F2B63"/>
    <w:rsid w:val="004F3174"/>
    <w:rsid w:val="004F35F6"/>
    <w:rsid w:val="004F3A94"/>
    <w:rsid w:val="004F3ADC"/>
    <w:rsid w:val="004F3F41"/>
    <w:rsid w:val="004F463F"/>
    <w:rsid w:val="004F4667"/>
    <w:rsid w:val="004F4764"/>
    <w:rsid w:val="004F4949"/>
    <w:rsid w:val="004F4AEB"/>
    <w:rsid w:val="004F4BBA"/>
    <w:rsid w:val="004F4BE4"/>
    <w:rsid w:val="004F4D1E"/>
    <w:rsid w:val="004F51F6"/>
    <w:rsid w:val="004F5439"/>
    <w:rsid w:val="004F5FF6"/>
    <w:rsid w:val="004F64F8"/>
    <w:rsid w:val="004F6972"/>
    <w:rsid w:val="004F6E00"/>
    <w:rsid w:val="004F6E7D"/>
    <w:rsid w:val="004F6F61"/>
    <w:rsid w:val="004F7682"/>
    <w:rsid w:val="004F7927"/>
    <w:rsid w:val="004F7936"/>
    <w:rsid w:val="004F7A8D"/>
    <w:rsid w:val="00500C39"/>
    <w:rsid w:val="00500CF9"/>
    <w:rsid w:val="00500D30"/>
    <w:rsid w:val="00500F59"/>
    <w:rsid w:val="0050141D"/>
    <w:rsid w:val="005014F7"/>
    <w:rsid w:val="00501646"/>
    <w:rsid w:val="0050336A"/>
    <w:rsid w:val="005035F3"/>
    <w:rsid w:val="00503968"/>
    <w:rsid w:val="0050427A"/>
    <w:rsid w:val="005042A6"/>
    <w:rsid w:val="0050477C"/>
    <w:rsid w:val="00504F83"/>
    <w:rsid w:val="00505387"/>
    <w:rsid w:val="005056EC"/>
    <w:rsid w:val="00505DA7"/>
    <w:rsid w:val="00506620"/>
    <w:rsid w:val="005066BF"/>
    <w:rsid w:val="0050695F"/>
    <w:rsid w:val="00506C81"/>
    <w:rsid w:val="00506E5F"/>
    <w:rsid w:val="00507059"/>
    <w:rsid w:val="0050707A"/>
    <w:rsid w:val="005073FC"/>
    <w:rsid w:val="0050767C"/>
    <w:rsid w:val="0050771A"/>
    <w:rsid w:val="00507A8D"/>
    <w:rsid w:val="00507E4D"/>
    <w:rsid w:val="00507EA6"/>
    <w:rsid w:val="00510A93"/>
    <w:rsid w:val="0051123F"/>
    <w:rsid w:val="00511457"/>
    <w:rsid w:val="00511E9B"/>
    <w:rsid w:val="005123C6"/>
    <w:rsid w:val="00512812"/>
    <w:rsid w:val="00512B5B"/>
    <w:rsid w:val="005136F2"/>
    <w:rsid w:val="00513843"/>
    <w:rsid w:val="00513BFC"/>
    <w:rsid w:val="00514053"/>
    <w:rsid w:val="0051478E"/>
    <w:rsid w:val="005147C1"/>
    <w:rsid w:val="00514899"/>
    <w:rsid w:val="00514BDA"/>
    <w:rsid w:val="00514E23"/>
    <w:rsid w:val="00514EC8"/>
    <w:rsid w:val="005154CE"/>
    <w:rsid w:val="0051576A"/>
    <w:rsid w:val="00516868"/>
    <w:rsid w:val="005169B1"/>
    <w:rsid w:val="00517416"/>
    <w:rsid w:val="00517588"/>
    <w:rsid w:val="00517DFB"/>
    <w:rsid w:val="00520E43"/>
    <w:rsid w:val="00521315"/>
    <w:rsid w:val="005218FD"/>
    <w:rsid w:val="005225B4"/>
    <w:rsid w:val="005227C1"/>
    <w:rsid w:val="0052317D"/>
    <w:rsid w:val="00523726"/>
    <w:rsid w:val="005237BF"/>
    <w:rsid w:val="00523B84"/>
    <w:rsid w:val="00523BFD"/>
    <w:rsid w:val="00523C01"/>
    <w:rsid w:val="00524263"/>
    <w:rsid w:val="0052456F"/>
    <w:rsid w:val="005248CB"/>
    <w:rsid w:val="00524910"/>
    <w:rsid w:val="005249B5"/>
    <w:rsid w:val="00524B2F"/>
    <w:rsid w:val="005255BE"/>
    <w:rsid w:val="005256E6"/>
    <w:rsid w:val="00525D98"/>
    <w:rsid w:val="005267EC"/>
    <w:rsid w:val="00526954"/>
    <w:rsid w:val="00526F41"/>
    <w:rsid w:val="0052764C"/>
    <w:rsid w:val="00527991"/>
    <w:rsid w:val="00527E9C"/>
    <w:rsid w:val="00527FD9"/>
    <w:rsid w:val="00530037"/>
    <w:rsid w:val="00530670"/>
    <w:rsid w:val="00531035"/>
    <w:rsid w:val="005310E3"/>
    <w:rsid w:val="00531147"/>
    <w:rsid w:val="00531CCC"/>
    <w:rsid w:val="00531F2A"/>
    <w:rsid w:val="00532031"/>
    <w:rsid w:val="005321C2"/>
    <w:rsid w:val="005323F3"/>
    <w:rsid w:val="005327BA"/>
    <w:rsid w:val="005329C8"/>
    <w:rsid w:val="00532EFD"/>
    <w:rsid w:val="0053367C"/>
    <w:rsid w:val="005340AF"/>
    <w:rsid w:val="00534134"/>
    <w:rsid w:val="0053417E"/>
    <w:rsid w:val="00534216"/>
    <w:rsid w:val="005344F3"/>
    <w:rsid w:val="005345DD"/>
    <w:rsid w:val="00534C71"/>
    <w:rsid w:val="00535F32"/>
    <w:rsid w:val="00535FFF"/>
    <w:rsid w:val="00536332"/>
    <w:rsid w:val="0053635B"/>
    <w:rsid w:val="0053652D"/>
    <w:rsid w:val="005368D9"/>
    <w:rsid w:val="00536AE7"/>
    <w:rsid w:val="00536B02"/>
    <w:rsid w:val="00536E8C"/>
    <w:rsid w:val="00537938"/>
    <w:rsid w:val="00537B77"/>
    <w:rsid w:val="00537FAF"/>
    <w:rsid w:val="005400BB"/>
    <w:rsid w:val="00540179"/>
    <w:rsid w:val="005401A9"/>
    <w:rsid w:val="0054025D"/>
    <w:rsid w:val="00540410"/>
    <w:rsid w:val="00540B29"/>
    <w:rsid w:val="00541391"/>
    <w:rsid w:val="0054186E"/>
    <w:rsid w:val="005419D6"/>
    <w:rsid w:val="00541A0D"/>
    <w:rsid w:val="00542639"/>
    <w:rsid w:val="005427BE"/>
    <w:rsid w:val="00542972"/>
    <w:rsid w:val="00542B23"/>
    <w:rsid w:val="00543065"/>
    <w:rsid w:val="00543096"/>
    <w:rsid w:val="00543352"/>
    <w:rsid w:val="00543521"/>
    <w:rsid w:val="005436E3"/>
    <w:rsid w:val="00543EB3"/>
    <w:rsid w:val="00544528"/>
    <w:rsid w:val="005446D7"/>
    <w:rsid w:val="00544F89"/>
    <w:rsid w:val="00544FDA"/>
    <w:rsid w:val="005455DA"/>
    <w:rsid w:val="00545B14"/>
    <w:rsid w:val="0054624B"/>
    <w:rsid w:val="005464E6"/>
    <w:rsid w:val="00546BBB"/>
    <w:rsid w:val="0054751F"/>
    <w:rsid w:val="00547661"/>
    <w:rsid w:val="00550E81"/>
    <w:rsid w:val="00551241"/>
    <w:rsid w:val="00551C52"/>
    <w:rsid w:val="00551D62"/>
    <w:rsid w:val="00551E0A"/>
    <w:rsid w:val="00552989"/>
    <w:rsid w:val="00552E55"/>
    <w:rsid w:val="0055359E"/>
    <w:rsid w:val="00553D00"/>
    <w:rsid w:val="005544AA"/>
    <w:rsid w:val="005548BC"/>
    <w:rsid w:val="0055492C"/>
    <w:rsid w:val="00554945"/>
    <w:rsid w:val="00554DB3"/>
    <w:rsid w:val="00555785"/>
    <w:rsid w:val="00556F71"/>
    <w:rsid w:val="0055797E"/>
    <w:rsid w:val="005602BB"/>
    <w:rsid w:val="00560554"/>
    <w:rsid w:val="0056091D"/>
    <w:rsid w:val="00560E9B"/>
    <w:rsid w:val="00560EA9"/>
    <w:rsid w:val="00561E51"/>
    <w:rsid w:val="0056212E"/>
    <w:rsid w:val="005629DD"/>
    <w:rsid w:val="00563168"/>
    <w:rsid w:val="0056360D"/>
    <w:rsid w:val="00563F35"/>
    <w:rsid w:val="005641C9"/>
    <w:rsid w:val="00564213"/>
    <w:rsid w:val="005642CA"/>
    <w:rsid w:val="00564CD6"/>
    <w:rsid w:val="00564DC9"/>
    <w:rsid w:val="0056580C"/>
    <w:rsid w:val="00565D06"/>
    <w:rsid w:val="00566308"/>
    <w:rsid w:val="0056635D"/>
    <w:rsid w:val="005664C0"/>
    <w:rsid w:val="005665F7"/>
    <w:rsid w:val="00566BB3"/>
    <w:rsid w:val="00566C38"/>
    <w:rsid w:val="00567643"/>
    <w:rsid w:val="00567803"/>
    <w:rsid w:val="00567A5B"/>
    <w:rsid w:val="00567BD4"/>
    <w:rsid w:val="00567CD8"/>
    <w:rsid w:val="00567DCB"/>
    <w:rsid w:val="00570120"/>
    <w:rsid w:val="00570793"/>
    <w:rsid w:val="00570821"/>
    <w:rsid w:val="005709A2"/>
    <w:rsid w:val="00570BA6"/>
    <w:rsid w:val="00570ED2"/>
    <w:rsid w:val="0057179F"/>
    <w:rsid w:val="00571D21"/>
    <w:rsid w:val="00571DF9"/>
    <w:rsid w:val="00572060"/>
    <w:rsid w:val="00573293"/>
    <w:rsid w:val="0057445C"/>
    <w:rsid w:val="005747AD"/>
    <w:rsid w:val="00575D41"/>
    <w:rsid w:val="00576798"/>
    <w:rsid w:val="00576C39"/>
    <w:rsid w:val="00576F72"/>
    <w:rsid w:val="0057735E"/>
    <w:rsid w:val="0057739C"/>
    <w:rsid w:val="005773AB"/>
    <w:rsid w:val="0057789E"/>
    <w:rsid w:val="005805E6"/>
    <w:rsid w:val="00580674"/>
    <w:rsid w:val="005811A5"/>
    <w:rsid w:val="005819D1"/>
    <w:rsid w:val="00582777"/>
    <w:rsid w:val="00583912"/>
    <w:rsid w:val="00583C79"/>
    <w:rsid w:val="00583D76"/>
    <w:rsid w:val="00584954"/>
    <w:rsid w:val="0058513D"/>
    <w:rsid w:val="005858AC"/>
    <w:rsid w:val="00585E7A"/>
    <w:rsid w:val="00585F7E"/>
    <w:rsid w:val="00586226"/>
    <w:rsid w:val="0058643A"/>
    <w:rsid w:val="00586C17"/>
    <w:rsid w:val="00586D87"/>
    <w:rsid w:val="00586F29"/>
    <w:rsid w:val="00587212"/>
    <w:rsid w:val="00587421"/>
    <w:rsid w:val="0058784E"/>
    <w:rsid w:val="00587A06"/>
    <w:rsid w:val="00587A90"/>
    <w:rsid w:val="00587E78"/>
    <w:rsid w:val="0059003F"/>
    <w:rsid w:val="00590B45"/>
    <w:rsid w:val="00590E4C"/>
    <w:rsid w:val="005912A0"/>
    <w:rsid w:val="00591704"/>
    <w:rsid w:val="0059183C"/>
    <w:rsid w:val="005918D1"/>
    <w:rsid w:val="0059194B"/>
    <w:rsid w:val="00591E63"/>
    <w:rsid w:val="00592761"/>
    <w:rsid w:val="00592882"/>
    <w:rsid w:val="00592950"/>
    <w:rsid w:val="00592FAD"/>
    <w:rsid w:val="00593710"/>
    <w:rsid w:val="00593844"/>
    <w:rsid w:val="0059394E"/>
    <w:rsid w:val="00593950"/>
    <w:rsid w:val="00593F7E"/>
    <w:rsid w:val="00594230"/>
    <w:rsid w:val="00594463"/>
    <w:rsid w:val="00594561"/>
    <w:rsid w:val="0059471D"/>
    <w:rsid w:val="00594CD1"/>
    <w:rsid w:val="00595045"/>
    <w:rsid w:val="005955E0"/>
    <w:rsid w:val="00595818"/>
    <w:rsid w:val="00596BEA"/>
    <w:rsid w:val="00596CD2"/>
    <w:rsid w:val="00596E31"/>
    <w:rsid w:val="00596FE8"/>
    <w:rsid w:val="00597460"/>
    <w:rsid w:val="005977DA"/>
    <w:rsid w:val="005978A9"/>
    <w:rsid w:val="00597A67"/>
    <w:rsid w:val="00597EF3"/>
    <w:rsid w:val="005A0246"/>
    <w:rsid w:val="005A051E"/>
    <w:rsid w:val="005A0B14"/>
    <w:rsid w:val="005A0FFD"/>
    <w:rsid w:val="005A12CD"/>
    <w:rsid w:val="005A19D4"/>
    <w:rsid w:val="005A1CBC"/>
    <w:rsid w:val="005A1EF7"/>
    <w:rsid w:val="005A1F95"/>
    <w:rsid w:val="005A21A0"/>
    <w:rsid w:val="005A23DC"/>
    <w:rsid w:val="005A24FC"/>
    <w:rsid w:val="005A2AFC"/>
    <w:rsid w:val="005A399D"/>
    <w:rsid w:val="005A3ADA"/>
    <w:rsid w:val="005A3DED"/>
    <w:rsid w:val="005A3E45"/>
    <w:rsid w:val="005A3EAF"/>
    <w:rsid w:val="005A4461"/>
    <w:rsid w:val="005A4C9B"/>
    <w:rsid w:val="005A50E1"/>
    <w:rsid w:val="005A5348"/>
    <w:rsid w:val="005A551D"/>
    <w:rsid w:val="005A5535"/>
    <w:rsid w:val="005A5670"/>
    <w:rsid w:val="005A64FB"/>
    <w:rsid w:val="005A6EDF"/>
    <w:rsid w:val="005A7356"/>
    <w:rsid w:val="005A7919"/>
    <w:rsid w:val="005A7D8A"/>
    <w:rsid w:val="005B008C"/>
    <w:rsid w:val="005B00B8"/>
    <w:rsid w:val="005B05A9"/>
    <w:rsid w:val="005B08C6"/>
    <w:rsid w:val="005B0945"/>
    <w:rsid w:val="005B097D"/>
    <w:rsid w:val="005B12A5"/>
    <w:rsid w:val="005B1E90"/>
    <w:rsid w:val="005B1EE0"/>
    <w:rsid w:val="005B2263"/>
    <w:rsid w:val="005B259A"/>
    <w:rsid w:val="005B26B7"/>
    <w:rsid w:val="005B3058"/>
    <w:rsid w:val="005B3488"/>
    <w:rsid w:val="005B35B3"/>
    <w:rsid w:val="005B373B"/>
    <w:rsid w:val="005B39EE"/>
    <w:rsid w:val="005B41B1"/>
    <w:rsid w:val="005B428D"/>
    <w:rsid w:val="005B4822"/>
    <w:rsid w:val="005B5583"/>
    <w:rsid w:val="005B5C8B"/>
    <w:rsid w:val="005B5DAB"/>
    <w:rsid w:val="005B6706"/>
    <w:rsid w:val="005B6A54"/>
    <w:rsid w:val="005B75F5"/>
    <w:rsid w:val="005B78CD"/>
    <w:rsid w:val="005C01BB"/>
    <w:rsid w:val="005C0CB0"/>
    <w:rsid w:val="005C115A"/>
    <w:rsid w:val="005C1502"/>
    <w:rsid w:val="005C17BB"/>
    <w:rsid w:val="005C1810"/>
    <w:rsid w:val="005C1D34"/>
    <w:rsid w:val="005C288F"/>
    <w:rsid w:val="005C28F3"/>
    <w:rsid w:val="005C2D21"/>
    <w:rsid w:val="005C348E"/>
    <w:rsid w:val="005C37D7"/>
    <w:rsid w:val="005C4562"/>
    <w:rsid w:val="005C49DF"/>
    <w:rsid w:val="005C57B0"/>
    <w:rsid w:val="005C5BE8"/>
    <w:rsid w:val="005C61C7"/>
    <w:rsid w:val="005C6981"/>
    <w:rsid w:val="005C6D81"/>
    <w:rsid w:val="005C6D8E"/>
    <w:rsid w:val="005C73FF"/>
    <w:rsid w:val="005C751C"/>
    <w:rsid w:val="005C7644"/>
    <w:rsid w:val="005C7B31"/>
    <w:rsid w:val="005D00F2"/>
    <w:rsid w:val="005D015A"/>
    <w:rsid w:val="005D0B47"/>
    <w:rsid w:val="005D0B7D"/>
    <w:rsid w:val="005D0E92"/>
    <w:rsid w:val="005D0E9B"/>
    <w:rsid w:val="005D1733"/>
    <w:rsid w:val="005D1DDD"/>
    <w:rsid w:val="005D2067"/>
    <w:rsid w:val="005D232C"/>
    <w:rsid w:val="005D27D6"/>
    <w:rsid w:val="005D283B"/>
    <w:rsid w:val="005D2C95"/>
    <w:rsid w:val="005D2ED2"/>
    <w:rsid w:val="005D3272"/>
    <w:rsid w:val="005D32E7"/>
    <w:rsid w:val="005D3BDC"/>
    <w:rsid w:val="005D402C"/>
    <w:rsid w:val="005D43AD"/>
    <w:rsid w:val="005D48E7"/>
    <w:rsid w:val="005D5044"/>
    <w:rsid w:val="005D5E82"/>
    <w:rsid w:val="005D61F3"/>
    <w:rsid w:val="005D69D3"/>
    <w:rsid w:val="005D7114"/>
    <w:rsid w:val="005D7C10"/>
    <w:rsid w:val="005E01F2"/>
    <w:rsid w:val="005E038F"/>
    <w:rsid w:val="005E051A"/>
    <w:rsid w:val="005E08EB"/>
    <w:rsid w:val="005E1420"/>
    <w:rsid w:val="005E18CF"/>
    <w:rsid w:val="005E1BFD"/>
    <w:rsid w:val="005E25A1"/>
    <w:rsid w:val="005E3615"/>
    <w:rsid w:val="005E4060"/>
    <w:rsid w:val="005E4B4C"/>
    <w:rsid w:val="005E5DA7"/>
    <w:rsid w:val="005E5F87"/>
    <w:rsid w:val="005E66B4"/>
    <w:rsid w:val="005E6AF6"/>
    <w:rsid w:val="005E6D33"/>
    <w:rsid w:val="005F0753"/>
    <w:rsid w:val="005F0C2F"/>
    <w:rsid w:val="005F1018"/>
    <w:rsid w:val="005F1695"/>
    <w:rsid w:val="005F1D9C"/>
    <w:rsid w:val="005F21D2"/>
    <w:rsid w:val="005F2D6F"/>
    <w:rsid w:val="005F358C"/>
    <w:rsid w:val="005F3AFC"/>
    <w:rsid w:val="005F3BBD"/>
    <w:rsid w:val="005F3D11"/>
    <w:rsid w:val="005F40A6"/>
    <w:rsid w:val="005F42DF"/>
    <w:rsid w:val="005F4491"/>
    <w:rsid w:val="005F4D51"/>
    <w:rsid w:val="005F51F3"/>
    <w:rsid w:val="005F5382"/>
    <w:rsid w:val="005F5EC9"/>
    <w:rsid w:val="005F6713"/>
    <w:rsid w:val="005F7139"/>
    <w:rsid w:val="005F7FDE"/>
    <w:rsid w:val="006002C5"/>
    <w:rsid w:val="00600425"/>
    <w:rsid w:val="006006A4"/>
    <w:rsid w:val="00600F82"/>
    <w:rsid w:val="00600FBC"/>
    <w:rsid w:val="006016B9"/>
    <w:rsid w:val="00601917"/>
    <w:rsid w:val="00601B21"/>
    <w:rsid w:val="00601F63"/>
    <w:rsid w:val="00602F23"/>
    <w:rsid w:val="0060387C"/>
    <w:rsid w:val="00604056"/>
    <w:rsid w:val="00604AD1"/>
    <w:rsid w:val="00604C87"/>
    <w:rsid w:val="0060542B"/>
    <w:rsid w:val="00605A3C"/>
    <w:rsid w:val="006063D9"/>
    <w:rsid w:val="00606A34"/>
    <w:rsid w:val="00606FF3"/>
    <w:rsid w:val="00607065"/>
    <w:rsid w:val="0060737C"/>
    <w:rsid w:val="00607752"/>
    <w:rsid w:val="00607786"/>
    <w:rsid w:val="0061017C"/>
    <w:rsid w:val="0061043F"/>
    <w:rsid w:val="006112C5"/>
    <w:rsid w:val="00611548"/>
    <w:rsid w:val="00611FC8"/>
    <w:rsid w:val="00612CFE"/>
    <w:rsid w:val="00612F39"/>
    <w:rsid w:val="00612FB8"/>
    <w:rsid w:val="00613743"/>
    <w:rsid w:val="00613AEB"/>
    <w:rsid w:val="00614067"/>
    <w:rsid w:val="006143AA"/>
    <w:rsid w:val="00614DD1"/>
    <w:rsid w:val="00614E67"/>
    <w:rsid w:val="00614EC4"/>
    <w:rsid w:val="00615557"/>
    <w:rsid w:val="00615915"/>
    <w:rsid w:val="00615A55"/>
    <w:rsid w:val="00615D79"/>
    <w:rsid w:val="00616BF1"/>
    <w:rsid w:val="00616D73"/>
    <w:rsid w:val="00617993"/>
    <w:rsid w:val="006179A8"/>
    <w:rsid w:val="00617C98"/>
    <w:rsid w:val="00620E36"/>
    <w:rsid w:val="00621AC3"/>
    <w:rsid w:val="00621E84"/>
    <w:rsid w:val="0062276A"/>
    <w:rsid w:val="006229BD"/>
    <w:rsid w:val="00622B92"/>
    <w:rsid w:val="00622CA2"/>
    <w:rsid w:val="00623BF0"/>
    <w:rsid w:val="00623C0C"/>
    <w:rsid w:val="00623E05"/>
    <w:rsid w:val="00624027"/>
    <w:rsid w:val="00624511"/>
    <w:rsid w:val="00624B01"/>
    <w:rsid w:val="00624EBA"/>
    <w:rsid w:val="00625143"/>
    <w:rsid w:val="006252AA"/>
    <w:rsid w:val="006257B9"/>
    <w:rsid w:val="00625FA4"/>
    <w:rsid w:val="00626254"/>
    <w:rsid w:val="0062635D"/>
    <w:rsid w:val="006267A4"/>
    <w:rsid w:val="006267E6"/>
    <w:rsid w:val="006267F3"/>
    <w:rsid w:val="0062793F"/>
    <w:rsid w:val="00627B2D"/>
    <w:rsid w:val="00630005"/>
    <w:rsid w:val="00630BC8"/>
    <w:rsid w:val="00630DE7"/>
    <w:rsid w:val="00631016"/>
    <w:rsid w:val="006315E8"/>
    <w:rsid w:val="0063177F"/>
    <w:rsid w:val="006317B4"/>
    <w:rsid w:val="00631816"/>
    <w:rsid w:val="00632191"/>
    <w:rsid w:val="00632637"/>
    <w:rsid w:val="00632E76"/>
    <w:rsid w:val="0063355C"/>
    <w:rsid w:val="00633F55"/>
    <w:rsid w:val="00634231"/>
    <w:rsid w:val="00634294"/>
    <w:rsid w:val="00634784"/>
    <w:rsid w:val="00634786"/>
    <w:rsid w:val="006348EF"/>
    <w:rsid w:val="006350FE"/>
    <w:rsid w:val="006356C2"/>
    <w:rsid w:val="006357B8"/>
    <w:rsid w:val="00635E40"/>
    <w:rsid w:val="006369DD"/>
    <w:rsid w:val="00636A24"/>
    <w:rsid w:val="00636EEB"/>
    <w:rsid w:val="00640FF5"/>
    <w:rsid w:val="00641984"/>
    <w:rsid w:val="00642691"/>
    <w:rsid w:val="00642A15"/>
    <w:rsid w:val="00643045"/>
    <w:rsid w:val="006431DC"/>
    <w:rsid w:val="00643697"/>
    <w:rsid w:val="006438A5"/>
    <w:rsid w:val="00643BD0"/>
    <w:rsid w:val="006440FE"/>
    <w:rsid w:val="006442DF"/>
    <w:rsid w:val="00644A0F"/>
    <w:rsid w:val="00645865"/>
    <w:rsid w:val="00645A32"/>
    <w:rsid w:val="00645CE5"/>
    <w:rsid w:val="00645D3C"/>
    <w:rsid w:val="00645DA5"/>
    <w:rsid w:val="006461B5"/>
    <w:rsid w:val="00646AA2"/>
    <w:rsid w:val="006470E0"/>
    <w:rsid w:val="00647413"/>
    <w:rsid w:val="006509E9"/>
    <w:rsid w:val="00650A5A"/>
    <w:rsid w:val="00651147"/>
    <w:rsid w:val="00651365"/>
    <w:rsid w:val="006514E3"/>
    <w:rsid w:val="0065167B"/>
    <w:rsid w:val="00651699"/>
    <w:rsid w:val="0065299E"/>
    <w:rsid w:val="00653188"/>
    <w:rsid w:val="00653478"/>
    <w:rsid w:val="00653EDC"/>
    <w:rsid w:val="00654351"/>
    <w:rsid w:val="00654783"/>
    <w:rsid w:val="00654923"/>
    <w:rsid w:val="00654B7B"/>
    <w:rsid w:val="00654DFF"/>
    <w:rsid w:val="00654E4D"/>
    <w:rsid w:val="00654EBA"/>
    <w:rsid w:val="006550BF"/>
    <w:rsid w:val="0065661D"/>
    <w:rsid w:val="0065689F"/>
    <w:rsid w:val="006605DC"/>
    <w:rsid w:val="0066070E"/>
    <w:rsid w:val="00660E53"/>
    <w:rsid w:val="00660F71"/>
    <w:rsid w:val="006613AC"/>
    <w:rsid w:val="00661452"/>
    <w:rsid w:val="00661610"/>
    <w:rsid w:val="00661B3F"/>
    <w:rsid w:val="00661E69"/>
    <w:rsid w:val="00662124"/>
    <w:rsid w:val="00662366"/>
    <w:rsid w:val="0066265F"/>
    <w:rsid w:val="00662A3D"/>
    <w:rsid w:val="00662FBB"/>
    <w:rsid w:val="00663046"/>
    <w:rsid w:val="006646EB"/>
    <w:rsid w:val="0066493A"/>
    <w:rsid w:val="00664C1E"/>
    <w:rsid w:val="0066553D"/>
    <w:rsid w:val="00665DE8"/>
    <w:rsid w:val="00666C3C"/>
    <w:rsid w:val="00666D84"/>
    <w:rsid w:val="00666DE7"/>
    <w:rsid w:val="00666EE5"/>
    <w:rsid w:val="006674E3"/>
    <w:rsid w:val="00667A94"/>
    <w:rsid w:val="00667BDF"/>
    <w:rsid w:val="006704B6"/>
    <w:rsid w:val="00670B19"/>
    <w:rsid w:val="00670B28"/>
    <w:rsid w:val="00670C8D"/>
    <w:rsid w:val="0067115C"/>
    <w:rsid w:val="00671A32"/>
    <w:rsid w:val="006727DE"/>
    <w:rsid w:val="006735F8"/>
    <w:rsid w:val="00673F7A"/>
    <w:rsid w:val="00674AB9"/>
    <w:rsid w:val="006750F0"/>
    <w:rsid w:val="006751CB"/>
    <w:rsid w:val="006757CC"/>
    <w:rsid w:val="00675D3F"/>
    <w:rsid w:val="006766DD"/>
    <w:rsid w:val="006767E0"/>
    <w:rsid w:val="00676802"/>
    <w:rsid w:val="00676D6D"/>
    <w:rsid w:val="00676EAF"/>
    <w:rsid w:val="00676FF6"/>
    <w:rsid w:val="0067780A"/>
    <w:rsid w:val="00677D5D"/>
    <w:rsid w:val="0068007E"/>
    <w:rsid w:val="006810C7"/>
    <w:rsid w:val="00683166"/>
    <w:rsid w:val="00683D25"/>
    <w:rsid w:val="00683EA4"/>
    <w:rsid w:val="00684095"/>
    <w:rsid w:val="0068422C"/>
    <w:rsid w:val="0068428F"/>
    <w:rsid w:val="006842EE"/>
    <w:rsid w:val="00685207"/>
    <w:rsid w:val="006858B6"/>
    <w:rsid w:val="00685987"/>
    <w:rsid w:val="00685DB6"/>
    <w:rsid w:val="00685FDB"/>
    <w:rsid w:val="00686230"/>
    <w:rsid w:val="00686487"/>
    <w:rsid w:val="00686ED6"/>
    <w:rsid w:val="00686F73"/>
    <w:rsid w:val="00687228"/>
    <w:rsid w:val="0068746B"/>
    <w:rsid w:val="00687750"/>
    <w:rsid w:val="00687E34"/>
    <w:rsid w:val="00687EF3"/>
    <w:rsid w:val="00687F21"/>
    <w:rsid w:val="00690187"/>
    <w:rsid w:val="006907C1"/>
    <w:rsid w:val="006912EC"/>
    <w:rsid w:val="0069143D"/>
    <w:rsid w:val="0069163F"/>
    <w:rsid w:val="006918BC"/>
    <w:rsid w:val="006918F7"/>
    <w:rsid w:val="00691AC4"/>
    <w:rsid w:val="00691C09"/>
    <w:rsid w:val="00691D28"/>
    <w:rsid w:val="00691F16"/>
    <w:rsid w:val="006926AD"/>
    <w:rsid w:val="0069275D"/>
    <w:rsid w:val="006927BD"/>
    <w:rsid w:val="00692B33"/>
    <w:rsid w:val="00692D4E"/>
    <w:rsid w:val="0069320B"/>
    <w:rsid w:val="0069361A"/>
    <w:rsid w:val="00694345"/>
    <w:rsid w:val="006943A6"/>
    <w:rsid w:val="0069479D"/>
    <w:rsid w:val="0069480F"/>
    <w:rsid w:val="006949E4"/>
    <w:rsid w:val="00694C15"/>
    <w:rsid w:val="00694C18"/>
    <w:rsid w:val="00695D43"/>
    <w:rsid w:val="006966A6"/>
    <w:rsid w:val="006969F7"/>
    <w:rsid w:val="0069742E"/>
    <w:rsid w:val="0069755E"/>
    <w:rsid w:val="0069757F"/>
    <w:rsid w:val="00697635"/>
    <w:rsid w:val="00697A0B"/>
    <w:rsid w:val="00697B8A"/>
    <w:rsid w:val="00697CA8"/>
    <w:rsid w:val="006A02B1"/>
    <w:rsid w:val="006A0DB8"/>
    <w:rsid w:val="006A0F69"/>
    <w:rsid w:val="006A14B6"/>
    <w:rsid w:val="006A18BC"/>
    <w:rsid w:val="006A1989"/>
    <w:rsid w:val="006A19C6"/>
    <w:rsid w:val="006A1CE2"/>
    <w:rsid w:val="006A26A1"/>
    <w:rsid w:val="006A320D"/>
    <w:rsid w:val="006A379B"/>
    <w:rsid w:val="006A3994"/>
    <w:rsid w:val="006A3DF0"/>
    <w:rsid w:val="006A4166"/>
    <w:rsid w:val="006A4232"/>
    <w:rsid w:val="006A4632"/>
    <w:rsid w:val="006A5B5D"/>
    <w:rsid w:val="006A5BEE"/>
    <w:rsid w:val="006A60D1"/>
    <w:rsid w:val="006A61AD"/>
    <w:rsid w:val="006A644E"/>
    <w:rsid w:val="006A6910"/>
    <w:rsid w:val="006A7214"/>
    <w:rsid w:val="006A7915"/>
    <w:rsid w:val="006B0479"/>
    <w:rsid w:val="006B0BE6"/>
    <w:rsid w:val="006B0E17"/>
    <w:rsid w:val="006B1814"/>
    <w:rsid w:val="006B1A06"/>
    <w:rsid w:val="006B1D94"/>
    <w:rsid w:val="006B2369"/>
    <w:rsid w:val="006B23AE"/>
    <w:rsid w:val="006B2C3D"/>
    <w:rsid w:val="006B2DC0"/>
    <w:rsid w:val="006B320B"/>
    <w:rsid w:val="006B32DF"/>
    <w:rsid w:val="006B3797"/>
    <w:rsid w:val="006B3B08"/>
    <w:rsid w:val="006B40C4"/>
    <w:rsid w:val="006B43DA"/>
    <w:rsid w:val="006B5A49"/>
    <w:rsid w:val="006B5AC6"/>
    <w:rsid w:val="006B6CB4"/>
    <w:rsid w:val="006B6EE7"/>
    <w:rsid w:val="006B736C"/>
    <w:rsid w:val="006B7927"/>
    <w:rsid w:val="006B7FA1"/>
    <w:rsid w:val="006C08AA"/>
    <w:rsid w:val="006C13D3"/>
    <w:rsid w:val="006C1512"/>
    <w:rsid w:val="006C19EE"/>
    <w:rsid w:val="006C29AC"/>
    <w:rsid w:val="006C2F7F"/>
    <w:rsid w:val="006C3016"/>
    <w:rsid w:val="006C32D9"/>
    <w:rsid w:val="006C4293"/>
    <w:rsid w:val="006C4550"/>
    <w:rsid w:val="006C457D"/>
    <w:rsid w:val="006C47A0"/>
    <w:rsid w:val="006C4CD9"/>
    <w:rsid w:val="006C4ED2"/>
    <w:rsid w:val="006C5066"/>
    <w:rsid w:val="006C5233"/>
    <w:rsid w:val="006C5E4D"/>
    <w:rsid w:val="006C64E0"/>
    <w:rsid w:val="006C65F8"/>
    <w:rsid w:val="006C6748"/>
    <w:rsid w:val="006C68E4"/>
    <w:rsid w:val="006C6CA8"/>
    <w:rsid w:val="006C7015"/>
    <w:rsid w:val="006C734B"/>
    <w:rsid w:val="006C7BFC"/>
    <w:rsid w:val="006D1139"/>
    <w:rsid w:val="006D1E28"/>
    <w:rsid w:val="006D1F9E"/>
    <w:rsid w:val="006D2307"/>
    <w:rsid w:val="006D2A4F"/>
    <w:rsid w:val="006D2BAE"/>
    <w:rsid w:val="006D2C6B"/>
    <w:rsid w:val="006D2DDF"/>
    <w:rsid w:val="006D304C"/>
    <w:rsid w:val="006D37B7"/>
    <w:rsid w:val="006D3B8E"/>
    <w:rsid w:val="006D3ECF"/>
    <w:rsid w:val="006D42D5"/>
    <w:rsid w:val="006D481F"/>
    <w:rsid w:val="006D4A64"/>
    <w:rsid w:val="006D4F1D"/>
    <w:rsid w:val="006D5233"/>
    <w:rsid w:val="006D5791"/>
    <w:rsid w:val="006D593B"/>
    <w:rsid w:val="006D5B6E"/>
    <w:rsid w:val="006D5C14"/>
    <w:rsid w:val="006D5F73"/>
    <w:rsid w:val="006D61CB"/>
    <w:rsid w:val="006D6515"/>
    <w:rsid w:val="006D7958"/>
    <w:rsid w:val="006D79D7"/>
    <w:rsid w:val="006D7CC4"/>
    <w:rsid w:val="006D7E9F"/>
    <w:rsid w:val="006E085E"/>
    <w:rsid w:val="006E0AB5"/>
    <w:rsid w:val="006E0BA9"/>
    <w:rsid w:val="006E165C"/>
    <w:rsid w:val="006E19EC"/>
    <w:rsid w:val="006E1C54"/>
    <w:rsid w:val="006E1C66"/>
    <w:rsid w:val="006E1F38"/>
    <w:rsid w:val="006E22FD"/>
    <w:rsid w:val="006E280F"/>
    <w:rsid w:val="006E2901"/>
    <w:rsid w:val="006E2F8E"/>
    <w:rsid w:val="006E320B"/>
    <w:rsid w:val="006E34D5"/>
    <w:rsid w:val="006E47E9"/>
    <w:rsid w:val="006E48BF"/>
    <w:rsid w:val="006E4DFB"/>
    <w:rsid w:val="006E5B16"/>
    <w:rsid w:val="006E6BB4"/>
    <w:rsid w:val="006E6FED"/>
    <w:rsid w:val="006E7955"/>
    <w:rsid w:val="006E7970"/>
    <w:rsid w:val="006E7C29"/>
    <w:rsid w:val="006F062D"/>
    <w:rsid w:val="006F10CE"/>
    <w:rsid w:val="006F130F"/>
    <w:rsid w:val="006F1D63"/>
    <w:rsid w:val="006F1DBF"/>
    <w:rsid w:val="006F1DCD"/>
    <w:rsid w:val="006F1FA6"/>
    <w:rsid w:val="006F2F9A"/>
    <w:rsid w:val="006F345C"/>
    <w:rsid w:val="006F42CE"/>
    <w:rsid w:val="006F4643"/>
    <w:rsid w:val="006F46C8"/>
    <w:rsid w:val="006F4F66"/>
    <w:rsid w:val="006F5835"/>
    <w:rsid w:val="006F584D"/>
    <w:rsid w:val="006F5FD4"/>
    <w:rsid w:val="006F6A73"/>
    <w:rsid w:val="006F6C66"/>
    <w:rsid w:val="006F6D49"/>
    <w:rsid w:val="006F7062"/>
    <w:rsid w:val="006F74FD"/>
    <w:rsid w:val="006F7CC9"/>
    <w:rsid w:val="00700830"/>
    <w:rsid w:val="007015AD"/>
    <w:rsid w:val="00702A25"/>
    <w:rsid w:val="00702DE9"/>
    <w:rsid w:val="00702F0D"/>
    <w:rsid w:val="007033AA"/>
    <w:rsid w:val="007036C3"/>
    <w:rsid w:val="00703927"/>
    <w:rsid w:val="00703A64"/>
    <w:rsid w:val="00703E2A"/>
    <w:rsid w:val="00703EFC"/>
    <w:rsid w:val="00704691"/>
    <w:rsid w:val="007047D6"/>
    <w:rsid w:val="00704C64"/>
    <w:rsid w:val="00704D51"/>
    <w:rsid w:val="0070505E"/>
    <w:rsid w:val="00705897"/>
    <w:rsid w:val="00706388"/>
    <w:rsid w:val="00706831"/>
    <w:rsid w:val="00707A27"/>
    <w:rsid w:val="007101C5"/>
    <w:rsid w:val="00710921"/>
    <w:rsid w:val="00711110"/>
    <w:rsid w:val="0071232C"/>
    <w:rsid w:val="00712B56"/>
    <w:rsid w:val="00712CFA"/>
    <w:rsid w:val="00712E90"/>
    <w:rsid w:val="0071380F"/>
    <w:rsid w:val="00713C96"/>
    <w:rsid w:val="00713EC6"/>
    <w:rsid w:val="00714694"/>
    <w:rsid w:val="00714997"/>
    <w:rsid w:val="00714A5E"/>
    <w:rsid w:val="00714C63"/>
    <w:rsid w:val="00714D3A"/>
    <w:rsid w:val="00714FA7"/>
    <w:rsid w:val="00715034"/>
    <w:rsid w:val="00715409"/>
    <w:rsid w:val="00715562"/>
    <w:rsid w:val="00715A90"/>
    <w:rsid w:val="00715AB3"/>
    <w:rsid w:val="007161A0"/>
    <w:rsid w:val="00716480"/>
    <w:rsid w:val="00717169"/>
    <w:rsid w:val="007177BB"/>
    <w:rsid w:val="00717BB6"/>
    <w:rsid w:val="0072026B"/>
    <w:rsid w:val="007203CC"/>
    <w:rsid w:val="00720545"/>
    <w:rsid w:val="00720740"/>
    <w:rsid w:val="00720B58"/>
    <w:rsid w:val="00720D63"/>
    <w:rsid w:val="00720FDF"/>
    <w:rsid w:val="00721114"/>
    <w:rsid w:val="0072171D"/>
    <w:rsid w:val="00721CB6"/>
    <w:rsid w:val="00721CCA"/>
    <w:rsid w:val="00721E30"/>
    <w:rsid w:val="0072293B"/>
    <w:rsid w:val="00722BC7"/>
    <w:rsid w:val="00722D2D"/>
    <w:rsid w:val="00723763"/>
    <w:rsid w:val="00723E38"/>
    <w:rsid w:val="00724562"/>
    <w:rsid w:val="00724729"/>
    <w:rsid w:val="00724CA4"/>
    <w:rsid w:val="00724D9A"/>
    <w:rsid w:val="00725496"/>
    <w:rsid w:val="00725FFB"/>
    <w:rsid w:val="00726131"/>
    <w:rsid w:val="00726151"/>
    <w:rsid w:val="00726503"/>
    <w:rsid w:val="007266D2"/>
    <w:rsid w:val="00726C30"/>
    <w:rsid w:val="00726F2E"/>
    <w:rsid w:val="00727917"/>
    <w:rsid w:val="00727C35"/>
    <w:rsid w:val="00730081"/>
    <w:rsid w:val="00730141"/>
    <w:rsid w:val="00730A97"/>
    <w:rsid w:val="00730F5A"/>
    <w:rsid w:val="0073110E"/>
    <w:rsid w:val="007312BB"/>
    <w:rsid w:val="007313B8"/>
    <w:rsid w:val="007314E1"/>
    <w:rsid w:val="0073214F"/>
    <w:rsid w:val="0073336B"/>
    <w:rsid w:val="00733453"/>
    <w:rsid w:val="00733EE9"/>
    <w:rsid w:val="00734292"/>
    <w:rsid w:val="00734708"/>
    <w:rsid w:val="0073480E"/>
    <w:rsid w:val="007349DA"/>
    <w:rsid w:val="00734C3D"/>
    <w:rsid w:val="007350D7"/>
    <w:rsid w:val="00735589"/>
    <w:rsid w:val="00735A7E"/>
    <w:rsid w:val="00735FEC"/>
    <w:rsid w:val="00736229"/>
    <w:rsid w:val="00736B1C"/>
    <w:rsid w:val="00736B26"/>
    <w:rsid w:val="0073792F"/>
    <w:rsid w:val="00737A7A"/>
    <w:rsid w:val="00740143"/>
    <w:rsid w:val="00740AA0"/>
    <w:rsid w:val="007413A0"/>
    <w:rsid w:val="00741804"/>
    <w:rsid w:val="007427EF"/>
    <w:rsid w:val="00742A94"/>
    <w:rsid w:val="007433DD"/>
    <w:rsid w:val="007434B0"/>
    <w:rsid w:val="007435D3"/>
    <w:rsid w:val="00743A4A"/>
    <w:rsid w:val="00743CAB"/>
    <w:rsid w:val="00744212"/>
    <w:rsid w:val="007447AF"/>
    <w:rsid w:val="007448A1"/>
    <w:rsid w:val="00745803"/>
    <w:rsid w:val="00745E61"/>
    <w:rsid w:val="00745FBE"/>
    <w:rsid w:val="0074615C"/>
    <w:rsid w:val="007465F8"/>
    <w:rsid w:val="00746660"/>
    <w:rsid w:val="00746B51"/>
    <w:rsid w:val="0074773A"/>
    <w:rsid w:val="00747B30"/>
    <w:rsid w:val="007509DD"/>
    <w:rsid w:val="00750A4F"/>
    <w:rsid w:val="00751708"/>
    <w:rsid w:val="007518DF"/>
    <w:rsid w:val="00751D22"/>
    <w:rsid w:val="00752A22"/>
    <w:rsid w:val="00752D65"/>
    <w:rsid w:val="00752FCD"/>
    <w:rsid w:val="00753330"/>
    <w:rsid w:val="007537E5"/>
    <w:rsid w:val="00753AD2"/>
    <w:rsid w:val="00753E5B"/>
    <w:rsid w:val="007542E8"/>
    <w:rsid w:val="00754301"/>
    <w:rsid w:val="007544B6"/>
    <w:rsid w:val="007545E4"/>
    <w:rsid w:val="00754D0C"/>
    <w:rsid w:val="00754D1E"/>
    <w:rsid w:val="00755675"/>
    <w:rsid w:val="007557BD"/>
    <w:rsid w:val="00755832"/>
    <w:rsid w:val="00755AED"/>
    <w:rsid w:val="00756155"/>
    <w:rsid w:val="00756D2F"/>
    <w:rsid w:val="00757298"/>
    <w:rsid w:val="00757417"/>
    <w:rsid w:val="007579EF"/>
    <w:rsid w:val="00757BC5"/>
    <w:rsid w:val="00757E05"/>
    <w:rsid w:val="00760098"/>
    <w:rsid w:val="007606F2"/>
    <w:rsid w:val="00760EB9"/>
    <w:rsid w:val="00761369"/>
    <w:rsid w:val="007615FC"/>
    <w:rsid w:val="00761B58"/>
    <w:rsid w:val="00761DEF"/>
    <w:rsid w:val="00762674"/>
    <w:rsid w:val="00762DBB"/>
    <w:rsid w:val="00763777"/>
    <w:rsid w:val="0076394A"/>
    <w:rsid w:val="00763BBD"/>
    <w:rsid w:val="00763CB1"/>
    <w:rsid w:val="00763D80"/>
    <w:rsid w:val="007644CC"/>
    <w:rsid w:val="00765191"/>
    <w:rsid w:val="00765376"/>
    <w:rsid w:val="00765699"/>
    <w:rsid w:val="007658A6"/>
    <w:rsid w:val="00765961"/>
    <w:rsid w:val="00765CEC"/>
    <w:rsid w:val="00765E69"/>
    <w:rsid w:val="00765F87"/>
    <w:rsid w:val="007660E2"/>
    <w:rsid w:val="00766499"/>
    <w:rsid w:val="007703A6"/>
    <w:rsid w:val="00770408"/>
    <w:rsid w:val="007704C1"/>
    <w:rsid w:val="00770540"/>
    <w:rsid w:val="00770AD9"/>
    <w:rsid w:val="00770FB7"/>
    <w:rsid w:val="00771496"/>
    <w:rsid w:val="00771610"/>
    <w:rsid w:val="00771D93"/>
    <w:rsid w:val="00771EDC"/>
    <w:rsid w:val="007722E9"/>
    <w:rsid w:val="0077230A"/>
    <w:rsid w:val="0077232B"/>
    <w:rsid w:val="00772A74"/>
    <w:rsid w:val="00772B03"/>
    <w:rsid w:val="0077394D"/>
    <w:rsid w:val="00773A71"/>
    <w:rsid w:val="00773AA2"/>
    <w:rsid w:val="00773B66"/>
    <w:rsid w:val="00773B76"/>
    <w:rsid w:val="007744D5"/>
    <w:rsid w:val="00774867"/>
    <w:rsid w:val="00775326"/>
    <w:rsid w:val="007758EF"/>
    <w:rsid w:val="0077660D"/>
    <w:rsid w:val="00776667"/>
    <w:rsid w:val="00776722"/>
    <w:rsid w:val="00776A3C"/>
    <w:rsid w:val="00776B39"/>
    <w:rsid w:val="00776CB9"/>
    <w:rsid w:val="0077706B"/>
    <w:rsid w:val="007773D2"/>
    <w:rsid w:val="00777691"/>
    <w:rsid w:val="007805FC"/>
    <w:rsid w:val="00780D26"/>
    <w:rsid w:val="0078189E"/>
    <w:rsid w:val="0078215D"/>
    <w:rsid w:val="0078259C"/>
    <w:rsid w:val="00783684"/>
    <w:rsid w:val="0078369F"/>
    <w:rsid w:val="007839AF"/>
    <w:rsid w:val="00784107"/>
    <w:rsid w:val="00784693"/>
    <w:rsid w:val="007850D3"/>
    <w:rsid w:val="00785466"/>
    <w:rsid w:val="00785F9A"/>
    <w:rsid w:val="00786047"/>
    <w:rsid w:val="0078636F"/>
    <w:rsid w:val="00786770"/>
    <w:rsid w:val="00786A08"/>
    <w:rsid w:val="00786E18"/>
    <w:rsid w:val="00787100"/>
    <w:rsid w:val="00787961"/>
    <w:rsid w:val="00787A5E"/>
    <w:rsid w:val="00790022"/>
    <w:rsid w:val="0079048C"/>
    <w:rsid w:val="007906EA"/>
    <w:rsid w:val="00790AB1"/>
    <w:rsid w:val="00790FAB"/>
    <w:rsid w:val="00791202"/>
    <w:rsid w:val="007912FC"/>
    <w:rsid w:val="00791515"/>
    <w:rsid w:val="007916AE"/>
    <w:rsid w:val="0079171A"/>
    <w:rsid w:val="00792139"/>
    <w:rsid w:val="007921A5"/>
    <w:rsid w:val="00792262"/>
    <w:rsid w:val="00792270"/>
    <w:rsid w:val="00792684"/>
    <w:rsid w:val="00792BA5"/>
    <w:rsid w:val="00792D22"/>
    <w:rsid w:val="00792F26"/>
    <w:rsid w:val="0079355B"/>
    <w:rsid w:val="00793E51"/>
    <w:rsid w:val="00793F51"/>
    <w:rsid w:val="007942FD"/>
    <w:rsid w:val="007949D9"/>
    <w:rsid w:val="00794B01"/>
    <w:rsid w:val="007959C6"/>
    <w:rsid w:val="00795B67"/>
    <w:rsid w:val="00795E48"/>
    <w:rsid w:val="007961A3"/>
    <w:rsid w:val="00796808"/>
    <w:rsid w:val="007969FC"/>
    <w:rsid w:val="00796B8E"/>
    <w:rsid w:val="00796D7B"/>
    <w:rsid w:val="00796FE9"/>
    <w:rsid w:val="00797771"/>
    <w:rsid w:val="007A030A"/>
    <w:rsid w:val="007A039E"/>
    <w:rsid w:val="007A0680"/>
    <w:rsid w:val="007A0ACD"/>
    <w:rsid w:val="007A0D74"/>
    <w:rsid w:val="007A14F6"/>
    <w:rsid w:val="007A17E6"/>
    <w:rsid w:val="007A232D"/>
    <w:rsid w:val="007A2830"/>
    <w:rsid w:val="007A2A96"/>
    <w:rsid w:val="007A2B40"/>
    <w:rsid w:val="007A2CF3"/>
    <w:rsid w:val="007A2E9B"/>
    <w:rsid w:val="007A345D"/>
    <w:rsid w:val="007A3DA8"/>
    <w:rsid w:val="007A3F2B"/>
    <w:rsid w:val="007A439F"/>
    <w:rsid w:val="007A47F5"/>
    <w:rsid w:val="007A490C"/>
    <w:rsid w:val="007A4A02"/>
    <w:rsid w:val="007A4D19"/>
    <w:rsid w:val="007A515B"/>
    <w:rsid w:val="007A53B0"/>
    <w:rsid w:val="007A591D"/>
    <w:rsid w:val="007A62A3"/>
    <w:rsid w:val="007A6307"/>
    <w:rsid w:val="007A672F"/>
    <w:rsid w:val="007A6816"/>
    <w:rsid w:val="007A7089"/>
    <w:rsid w:val="007A712B"/>
    <w:rsid w:val="007A7406"/>
    <w:rsid w:val="007A7882"/>
    <w:rsid w:val="007A7E40"/>
    <w:rsid w:val="007A7EF8"/>
    <w:rsid w:val="007B007F"/>
    <w:rsid w:val="007B0126"/>
    <w:rsid w:val="007B0659"/>
    <w:rsid w:val="007B073E"/>
    <w:rsid w:val="007B09DE"/>
    <w:rsid w:val="007B0A99"/>
    <w:rsid w:val="007B0CDF"/>
    <w:rsid w:val="007B0D59"/>
    <w:rsid w:val="007B0F41"/>
    <w:rsid w:val="007B1000"/>
    <w:rsid w:val="007B1035"/>
    <w:rsid w:val="007B1077"/>
    <w:rsid w:val="007B15B7"/>
    <w:rsid w:val="007B164C"/>
    <w:rsid w:val="007B2311"/>
    <w:rsid w:val="007B33C7"/>
    <w:rsid w:val="007B37E7"/>
    <w:rsid w:val="007B466A"/>
    <w:rsid w:val="007B470C"/>
    <w:rsid w:val="007B478D"/>
    <w:rsid w:val="007B4BFB"/>
    <w:rsid w:val="007B4DC8"/>
    <w:rsid w:val="007B501C"/>
    <w:rsid w:val="007B5A25"/>
    <w:rsid w:val="007B5F70"/>
    <w:rsid w:val="007B64B0"/>
    <w:rsid w:val="007B70AF"/>
    <w:rsid w:val="007B73B2"/>
    <w:rsid w:val="007B7612"/>
    <w:rsid w:val="007B787B"/>
    <w:rsid w:val="007B78F0"/>
    <w:rsid w:val="007B7D77"/>
    <w:rsid w:val="007B7DB1"/>
    <w:rsid w:val="007C0279"/>
    <w:rsid w:val="007C09C1"/>
    <w:rsid w:val="007C13AC"/>
    <w:rsid w:val="007C13D4"/>
    <w:rsid w:val="007C1452"/>
    <w:rsid w:val="007C1610"/>
    <w:rsid w:val="007C1890"/>
    <w:rsid w:val="007C1A4F"/>
    <w:rsid w:val="007C2074"/>
    <w:rsid w:val="007C20FB"/>
    <w:rsid w:val="007C2555"/>
    <w:rsid w:val="007C26AF"/>
    <w:rsid w:val="007C2C05"/>
    <w:rsid w:val="007C2FBF"/>
    <w:rsid w:val="007C384C"/>
    <w:rsid w:val="007C3C16"/>
    <w:rsid w:val="007C49F1"/>
    <w:rsid w:val="007C4A06"/>
    <w:rsid w:val="007C5420"/>
    <w:rsid w:val="007C5D45"/>
    <w:rsid w:val="007C5E94"/>
    <w:rsid w:val="007C5F6A"/>
    <w:rsid w:val="007C6395"/>
    <w:rsid w:val="007C7AFF"/>
    <w:rsid w:val="007C7FB5"/>
    <w:rsid w:val="007D062C"/>
    <w:rsid w:val="007D06C0"/>
    <w:rsid w:val="007D081B"/>
    <w:rsid w:val="007D0F48"/>
    <w:rsid w:val="007D16BF"/>
    <w:rsid w:val="007D24F6"/>
    <w:rsid w:val="007D2840"/>
    <w:rsid w:val="007D2C52"/>
    <w:rsid w:val="007D2C8F"/>
    <w:rsid w:val="007D2DD7"/>
    <w:rsid w:val="007D2F90"/>
    <w:rsid w:val="007D2FFF"/>
    <w:rsid w:val="007D3375"/>
    <w:rsid w:val="007D37F3"/>
    <w:rsid w:val="007D3A80"/>
    <w:rsid w:val="007D488A"/>
    <w:rsid w:val="007D4E35"/>
    <w:rsid w:val="007D5747"/>
    <w:rsid w:val="007D576D"/>
    <w:rsid w:val="007D5853"/>
    <w:rsid w:val="007D58C6"/>
    <w:rsid w:val="007D5A85"/>
    <w:rsid w:val="007D5B58"/>
    <w:rsid w:val="007D5BBE"/>
    <w:rsid w:val="007D6433"/>
    <w:rsid w:val="007D773B"/>
    <w:rsid w:val="007D7C8B"/>
    <w:rsid w:val="007E0470"/>
    <w:rsid w:val="007E05FA"/>
    <w:rsid w:val="007E0EB6"/>
    <w:rsid w:val="007E0F84"/>
    <w:rsid w:val="007E15FA"/>
    <w:rsid w:val="007E1874"/>
    <w:rsid w:val="007E2570"/>
    <w:rsid w:val="007E2761"/>
    <w:rsid w:val="007E2B1B"/>
    <w:rsid w:val="007E2D1A"/>
    <w:rsid w:val="007E2E77"/>
    <w:rsid w:val="007E30F6"/>
    <w:rsid w:val="007E33DD"/>
    <w:rsid w:val="007E4777"/>
    <w:rsid w:val="007E4935"/>
    <w:rsid w:val="007E4E07"/>
    <w:rsid w:val="007E4F40"/>
    <w:rsid w:val="007E5095"/>
    <w:rsid w:val="007E55B3"/>
    <w:rsid w:val="007E56BE"/>
    <w:rsid w:val="007E5D98"/>
    <w:rsid w:val="007E6345"/>
    <w:rsid w:val="007E66E0"/>
    <w:rsid w:val="007E6A57"/>
    <w:rsid w:val="007E6F31"/>
    <w:rsid w:val="007E6F9D"/>
    <w:rsid w:val="007E75B0"/>
    <w:rsid w:val="007E77C5"/>
    <w:rsid w:val="007E7A4A"/>
    <w:rsid w:val="007E7E08"/>
    <w:rsid w:val="007F098D"/>
    <w:rsid w:val="007F17F4"/>
    <w:rsid w:val="007F1EC6"/>
    <w:rsid w:val="007F24CB"/>
    <w:rsid w:val="007F3543"/>
    <w:rsid w:val="007F3B76"/>
    <w:rsid w:val="007F3EF9"/>
    <w:rsid w:val="007F4277"/>
    <w:rsid w:val="007F5008"/>
    <w:rsid w:val="007F5D67"/>
    <w:rsid w:val="007F5E4E"/>
    <w:rsid w:val="007F5EEC"/>
    <w:rsid w:val="007F60C0"/>
    <w:rsid w:val="007F6105"/>
    <w:rsid w:val="007F63C7"/>
    <w:rsid w:val="007F673F"/>
    <w:rsid w:val="007F69BD"/>
    <w:rsid w:val="007F6AE8"/>
    <w:rsid w:val="007F6CAD"/>
    <w:rsid w:val="007F6E09"/>
    <w:rsid w:val="007F6E5A"/>
    <w:rsid w:val="007F7DC7"/>
    <w:rsid w:val="007F7F3C"/>
    <w:rsid w:val="00800423"/>
    <w:rsid w:val="0080087A"/>
    <w:rsid w:val="00800A20"/>
    <w:rsid w:val="00800C87"/>
    <w:rsid w:val="00800DE0"/>
    <w:rsid w:val="00801A00"/>
    <w:rsid w:val="00801BBB"/>
    <w:rsid w:val="00801EF5"/>
    <w:rsid w:val="00801F3D"/>
    <w:rsid w:val="00802656"/>
    <w:rsid w:val="00802AB0"/>
    <w:rsid w:val="00802C36"/>
    <w:rsid w:val="00802C64"/>
    <w:rsid w:val="00802D5D"/>
    <w:rsid w:val="00802E20"/>
    <w:rsid w:val="00802F38"/>
    <w:rsid w:val="0080384B"/>
    <w:rsid w:val="008039DD"/>
    <w:rsid w:val="00803EB9"/>
    <w:rsid w:val="00804614"/>
    <w:rsid w:val="00804F47"/>
    <w:rsid w:val="00805667"/>
    <w:rsid w:val="008057FA"/>
    <w:rsid w:val="00805C58"/>
    <w:rsid w:val="00806103"/>
    <w:rsid w:val="008065B8"/>
    <w:rsid w:val="00806AC8"/>
    <w:rsid w:val="0080764F"/>
    <w:rsid w:val="00807DD6"/>
    <w:rsid w:val="00811147"/>
    <w:rsid w:val="0081145A"/>
    <w:rsid w:val="00812128"/>
    <w:rsid w:val="00812DE1"/>
    <w:rsid w:val="00812E11"/>
    <w:rsid w:val="0081302E"/>
    <w:rsid w:val="008130F2"/>
    <w:rsid w:val="00813F09"/>
    <w:rsid w:val="00814301"/>
    <w:rsid w:val="008145E4"/>
    <w:rsid w:val="0081494E"/>
    <w:rsid w:val="00814F0B"/>
    <w:rsid w:val="00814F42"/>
    <w:rsid w:val="008155F0"/>
    <w:rsid w:val="00815BF6"/>
    <w:rsid w:val="00815D66"/>
    <w:rsid w:val="00815E9D"/>
    <w:rsid w:val="008161CF"/>
    <w:rsid w:val="00816301"/>
    <w:rsid w:val="00816885"/>
    <w:rsid w:val="00817037"/>
    <w:rsid w:val="00817370"/>
    <w:rsid w:val="00817566"/>
    <w:rsid w:val="00817936"/>
    <w:rsid w:val="00820721"/>
    <w:rsid w:val="00820A9E"/>
    <w:rsid w:val="00820DA2"/>
    <w:rsid w:val="0082130A"/>
    <w:rsid w:val="00821752"/>
    <w:rsid w:val="00821E3C"/>
    <w:rsid w:val="00822013"/>
    <w:rsid w:val="00822440"/>
    <w:rsid w:val="00822E47"/>
    <w:rsid w:val="00822E8B"/>
    <w:rsid w:val="00822ED4"/>
    <w:rsid w:val="0082355C"/>
    <w:rsid w:val="0082386C"/>
    <w:rsid w:val="00823B25"/>
    <w:rsid w:val="00823C63"/>
    <w:rsid w:val="008242BD"/>
    <w:rsid w:val="00824B8B"/>
    <w:rsid w:val="00824C9E"/>
    <w:rsid w:val="00824D13"/>
    <w:rsid w:val="00825274"/>
    <w:rsid w:val="0082599B"/>
    <w:rsid w:val="00825A46"/>
    <w:rsid w:val="0082676A"/>
    <w:rsid w:val="00826EDA"/>
    <w:rsid w:val="00827077"/>
    <w:rsid w:val="00827172"/>
    <w:rsid w:val="00827607"/>
    <w:rsid w:val="00827919"/>
    <w:rsid w:val="0082798F"/>
    <w:rsid w:val="00827A17"/>
    <w:rsid w:val="00827C38"/>
    <w:rsid w:val="008302E1"/>
    <w:rsid w:val="00830548"/>
    <w:rsid w:val="008308BE"/>
    <w:rsid w:val="00830C44"/>
    <w:rsid w:val="008312A5"/>
    <w:rsid w:val="008312E0"/>
    <w:rsid w:val="0083168E"/>
    <w:rsid w:val="008317CF"/>
    <w:rsid w:val="008320C4"/>
    <w:rsid w:val="00832651"/>
    <w:rsid w:val="00832769"/>
    <w:rsid w:val="00832774"/>
    <w:rsid w:val="008327E0"/>
    <w:rsid w:val="00832BBD"/>
    <w:rsid w:val="00832E20"/>
    <w:rsid w:val="00833130"/>
    <w:rsid w:val="00833543"/>
    <w:rsid w:val="0083358F"/>
    <w:rsid w:val="00833735"/>
    <w:rsid w:val="0083373D"/>
    <w:rsid w:val="00834439"/>
    <w:rsid w:val="008348A3"/>
    <w:rsid w:val="00835032"/>
    <w:rsid w:val="0083518B"/>
    <w:rsid w:val="00835593"/>
    <w:rsid w:val="008355C5"/>
    <w:rsid w:val="00835AEE"/>
    <w:rsid w:val="00835CA7"/>
    <w:rsid w:val="0083613C"/>
    <w:rsid w:val="008362B5"/>
    <w:rsid w:val="00836B5B"/>
    <w:rsid w:val="00837401"/>
    <w:rsid w:val="00837ACB"/>
    <w:rsid w:val="0084077F"/>
    <w:rsid w:val="0084095A"/>
    <w:rsid w:val="00840A8F"/>
    <w:rsid w:val="00840E74"/>
    <w:rsid w:val="008415A4"/>
    <w:rsid w:val="00841F95"/>
    <w:rsid w:val="008423FA"/>
    <w:rsid w:val="00842D41"/>
    <w:rsid w:val="00843162"/>
    <w:rsid w:val="00843969"/>
    <w:rsid w:val="00843D83"/>
    <w:rsid w:val="00843EF8"/>
    <w:rsid w:val="008441B0"/>
    <w:rsid w:val="00844402"/>
    <w:rsid w:val="0084449C"/>
    <w:rsid w:val="0084461C"/>
    <w:rsid w:val="008448A3"/>
    <w:rsid w:val="00845222"/>
    <w:rsid w:val="0084559F"/>
    <w:rsid w:val="00845AB6"/>
    <w:rsid w:val="00845B2A"/>
    <w:rsid w:val="00845F1C"/>
    <w:rsid w:val="00845FCD"/>
    <w:rsid w:val="00846504"/>
    <w:rsid w:val="008466A7"/>
    <w:rsid w:val="00847132"/>
    <w:rsid w:val="008471BD"/>
    <w:rsid w:val="00847AB0"/>
    <w:rsid w:val="00850096"/>
    <w:rsid w:val="008501AB"/>
    <w:rsid w:val="00850F9E"/>
    <w:rsid w:val="00851400"/>
    <w:rsid w:val="00851509"/>
    <w:rsid w:val="008518A2"/>
    <w:rsid w:val="00851AFA"/>
    <w:rsid w:val="00851C62"/>
    <w:rsid w:val="00851D52"/>
    <w:rsid w:val="00851DDE"/>
    <w:rsid w:val="00852B71"/>
    <w:rsid w:val="0085331E"/>
    <w:rsid w:val="008535BB"/>
    <w:rsid w:val="0085391B"/>
    <w:rsid w:val="00853952"/>
    <w:rsid w:val="00853A3B"/>
    <w:rsid w:val="00853BBC"/>
    <w:rsid w:val="00853DF1"/>
    <w:rsid w:val="00854378"/>
    <w:rsid w:val="00854A65"/>
    <w:rsid w:val="00854D87"/>
    <w:rsid w:val="00854F73"/>
    <w:rsid w:val="00854F96"/>
    <w:rsid w:val="00854FCE"/>
    <w:rsid w:val="0085502D"/>
    <w:rsid w:val="00855110"/>
    <w:rsid w:val="0085600F"/>
    <w:rsid w:val="0085621A"/>
    <w:rsid w:val="0085629A"/>
    <w:rsid w:val="008565FF"/>
    <w:rsid w:val="00857131"/>
    <w:rsid w:val="00857732"/>
    <w:rsid w:val="00857EB6"/>
    <w:rsid w:val="008604F2"/>
    <w:rsid w:val="00860B44"/>
    <w:rsid w:val="0086184C"/>
    <w:rsid w:val="008619D7"/>
    <w:rsid w:val="00861BB1"/>
    <w:rsid w:val="00861BE5"/>
    <w:rsid w:val="00861EDA"/>
    <w:rsid w:val="0086287A"/>
    <w:rsid w:val="00862DE4"/>
    <w:rsid w:val="00862F10"/>
    <w:rsid w:val="008631E3"/>
    <w:rsid w:val="008637A1"/>
    <w:rsid w:val="00863804"/>
    <w:rsid w:val="00863885"/>
    <w:rsid w:val="008639D5"/>
    <w:rsid w:val="00863C7D"/>
    <w:rsid w:val="00863DE2"/>
    <w:rsid w:val="00863F0D"/>
    <w:rsid w:val="008643DF"/>
    <w:rsid w:val="00864564"/>
    <w:rsid w:val="0086497B"/>
    <w:rsid w:val="008651EB"/>
    <w:rsid w:val="00865D65"/>
    <w:rsid w:val="008662A8"/>
    <w:rsid w:val="008669DA"/>
    <w:rsid w:val="00866A20"/>
    <w:rsid w:val="00866A6C"/>
    <w:rsid w:val="00866D44"/>
    <w:rsid w:val="008670F7"/>
    <w:rsid w:val="00867258"/>
    <w:rsid w:val="0086737A"/>
    <w:rsid w:val="00867681"/>
    <w:rsid w:val="00867714"/>
    <w:rsid w:val="0087009F"/>
    <w:rsid w:val="00870DDB"/>
    <w:rsid w:val="00870EF4"/>
    <w:rsid w:val="00870F66"/>
    <w:rsid w:val="00871801"/>
    <w:rsid w:val="00871D4F"/>
    <w:rsid w:val="00872467"/>
    <w:rsid w:val="00872702"/>
    <w:rsid w:val="00872720"/>
    <w:rsid w:val="00872803"/>
    <w:rsid w:val="00872AC9"/>
    <w:rsid w:val="008739A4"/>
    <w:rsid w:val="008745C4"/>
    <w:rsid w:val="008746EF"/>
    <w:rsid w:val="008747C6"/>
    <w:rsid w:val="00874896"/>
    <w:rsid w:val="00874D68"/>
    <w:rsid w:val="00874E89"/>
    <w:rsid w:val="00874F9B"/>
    <w:rsid w:val="00875114"/>
    <w:rsid w:val="00875782"/>
    <w:rsid w:val="008757B1"/>
    <w:rsid w:val="00875909"/>
    <w:rsid w:val="008800B0"/>
    <w:rsid w:val="008805A3"/>
    <w:rsid w:val="0088101F"/>
    <w:rsid w:val="00881E95"/>
    <w:rsid w:val="008828D3"/>
    <w:rsid w:val="00882A9D"/>
    <w:rsid w:val="008835E4"/>
    <w:rsid w:val="008840BB"/>
    <w:rsid w:val="008840D9"/>
    <w:rsid w:val="00884628"/>
    <w:rsid w:val="008849B6"/>
    <w:rsid w:val="00884B61"/>
    <w:rsid w:val="00884E05"/>
    <w:rsid w:val="00884E47"/>
    <w:rsid w:val="00885443"/>
    <w:rsid w:val="008859E8"/>
    <w:rsid w:val="00886658"/>
    <w:rsid w:val="00886AD1"/>
    <w:rsid w:val="00886B27"/>
    <w:rsid w:val="00886BA5"/>
    <w:rsid w:val="00886BBC"/>
    <w:rsid w:val="008874BF"/>
    <w:rsid w:val="0088753B"/>
    <w:rsid w:val="008876CE"/>
    <w:rsid w:val="00887904"/>
    <w:rsid w:val="00887BD4"/>
    <w:rsid w:val="00887DA0"/>
    <w:rsid w:val="00887E18"/>
    <w:rsid w:val="00887E51"/>
    <w:rsid w:val="00887EBB"/>
    <w:rsid w:val="008900C0"/>
    <w:rsid w:val="0089078B"/>
    <w:rsid w:val="00890F05"/>
    <w:rsid w:val="008913DC"/>
    <w:rsid w:val="0089162F"/>
    <w:rsid w:val="00891B82"/>
    <w:rsid w:val="00891BDD"/>
    <w:rsid w:val="00891CAB"/>
    <w:rsid w:val="00892168"/>
    <w:rsid w:val="00892234"/>
    <w:rsid w:val="0089239F"/>
    <w:rsid w:val="00892FF7"/>
    <w:rsid w:val="008932FA"/>
    <w:rsid w:val="00893545"/>
    <w:rsid w:val="00893566"/>
    <w:rsid w:val="00893580"/>
    <w:rsid w:val="00893C65"/>
    <w:rsid w:val="008946FF"/>
    <w:rsid w:val="00894CA6"/>
    <w:rsid w:val="008957A4"/>
    <w:rsid w:val="008958BC"/>
    <w:rsid w:val="00895A17"/>
    <w:rsid w:val="00895FE4"/>
    <w:rsid w:val="00897024"/>
    <w:rsid w:val="00897325"/>
    <w:rsid w:val="00897988"/>
    <w:rsid w:val="008A06E4"/>
    <w:rsid w:val="008A0CCE"/>
    <w:rsid w:val="008A11AC"/>
    <w:rsid w:val="008A1263"/>
    <w:rsid w:val="008A1497"/>
    <w:rsid w:val="008A1520"/>
    <w:rsid w:val="008A1801"/>
    <w:rsid w:val="008A1902"/>
    <w:rsid w:val="008A25AC"/>
    <w:rsid w:val="008A2604"/>
    <w:rsid w:val="008A2672"/>
    <w:rsid w:val="008A382A"/>
    <w:rsid w:val="008A4466"/>
    <w:rsid w:val="008A4F07"/>
    <w:rsid w:val="008A5E54"/>
    <w:rsid w:val="008A65B7"/>
    <w:rsid w:val="008A6A1B"/>
    <w:rsid w:val="008A6D18"/>
    <w:rsid w:val="008B19EC"/>
    <w:rsid w:val="008B1F9D"/>
    <w:rsid w:val="008B222F"/>
    <w:rsid w:val="008B36C6"/>
    <w:rsid w:val="008B3AFB"/>
    <w:rsid w:val="008B3B92"/>
    <w:rsid w:val="008B3D59"/>
    <w:rsid w:val="008B3F2A"/>
    <w:rsid w:val="008B4487"/>
    <w:rsid w:val="008B456E"/>
    <w:rsid w:val="008B4929"/>
    <w:rsid w:val="008B4A35"/>
    <w:rsid w:val="008B4B76"/>
    <w:rsid w:val="008B4B7D"/>
    <w:rsid w:val="008B4DC4"/>
    <w:rsid w:val="008B55D1"/>
    <w:rsid w:val="008B58F0"/>
    <w:rsid w:val="008B61B3"/>
    <w:rsid w:val="008B656D"/>
    <w:rsid w:val="008B6769"/>
    <w:rsid w:val="008B6EE5"/>
    <w:rsid w:val="008B73D7"/>
    <w:rsid w:val="008B7FBF"/>
    <w:rsid w:val="008C03A9"/>
    <w:rsid w:val="008C051A"/>
    <w:rsid w:val="008C093F"/>
    <w:rsid w:val="008C0C74"/>
    <w:rsid w:val="008C0DCF"/>
    <w:rsid w:val="008C0DD1"/>
    <w:rsid w:val="008C0EA4"/>
    <w:rsid w:val="008C1188"/>
    <w:rsid w:val="008C1358"/>
    <w:rsid w:val="008C159B"/>
    <w:rsid w:val="008C284A"/>
    <w:rsid w:val="008C2B0C"/>
    <w:rsid w:val="008C2E16"/>
    <w:rsid w:val="008C2E37"/>
    <w:rsid w:val="008C2FEC"/>
    <w:rsid w:val="008C322B"/>
    <w:rsid w:val="008C358B"/>
    <w:rsid w:val="008C39D0"/>
    <w:rsid w:val="008C3A47"/>
    <w:rsid w:val="008C4C19"/>
    <w:rsid w:val="008C4EC2"/>
    <w:rsid w:val="008C50A0"/>
    <w:rsid w:val="008C5CD8"/>
    <w:rsid w:val="008C5D23"/>
    <w:rsid w:val="008C66BD"/>
    <w:rsid w:val="008C6A65"/>
    <w:rsid w:val="008C74E6"/>
    <w:rsid w:val="008C77D4"/>
    <w:rsid w:val="008C77F9"/>
    <w:rsid w:val="008C7C22"/>
    <w:rsid w:val="008C7CB5"/>
    <w:rsid w:val="008D0104"/>
    <w:rsid w:val="008D0251"/>
    <w:rsid w:val="008D0649"/>
    <w:rsid w:val="008D0802"/>
    <w:rsid w:val="008D08EE"/>
    <w:rsid w:val="008D1558"/>
    <w:rsid w:val="008D15B4"/>
    <w:rsid w:val="008D1B3E"/>
    <w:rsid w:val="008D2AB0"/>
    <w:rsid w:val="008D2F4C"/>
    <w:rsid w:val="008D2F77"/>
    <w:rsid w:val="008D31EE"/>
    <w:rsid w:val="008D343F"/>
    <w:rsid w:val="008D3819"/>
    <w:rsid w:val="008D397F"/>
    <w:rsid w:val="008D3AC6"/>
    <w:rsid w:val="008D3CF4"/>
    <w:rsid w:val="008D42A8"/>
    <w:rsid w:val="008D4A25"/>
    <w:rsid w:val="008D4B42"/>
    <w:rsid w:val="008D4CD4"/>
    <w:rsid w:val="008D4D65"/>
    <w:rsid w:val="008D4DD2"/>
    <w:rsid w:val="008D4DE7"/>
    <w:rsid w:val="008D4F86"/>
    <w:rsid w:val="008D53AB"/>
    <w:rsid w:val="008D6685"/>
    <w:rsid w:val="008D66E9"/>
    <w:rsid w:val="008D695A"/>
    <w:rsid w:val="008D6ABF"/>
    <w:rsid w:val="008D6ED3"/>
    <w:rsid w:val="008D7377"/>
    <w:rsid w:val="008D75A7"/>
    <w:rsid w:val="008D7768"/>
    <w:rsid w:val="008D7F87"/>
    <w:rsid w:val="008E059A"/>
    <w:rsid w:val="008E0639"/>
    <w:rsid w:val="008E092C"/>
    <w:rsid w:val="008E0A28"/>
    <w:rsid w:val="008E0C7E"/>
    <w:rsid w:val="008E0E88"/>
    <w:rsid w:val="008E11DF"/>
    <w:rsid w:val="008E14FC"/>
    <w:rsid w:val="008E197D"/>
    <w:rsid w:val="008E25EB"/>
    <w:rsid w:val="008E2893"/>
    <w:rsid w:val="008E2DF8"/>
    <w:rsid w:val="008E32AF"/>
    <w:rsid w:val="008E3B18"/>
    <w:rsid w:val="008E4AAE"/>
    <w:rsid w:val="008E5B8C"/>
    <w:rsid w:val="008E632A"/>
    <w:rsid w:val="008E6807"/>
    <w:rsid w:val="008E6C51"/>
    <w:rsid w:val="008E6DA1"/>
    <w:rsid w:val="008E6E80"/>
    <w:rsid w:val="008E72B7"/>
    <w:rsid w:val="008E72E4"/>
    <w:rsid w:val="008E773B"/>
    <w:rsid w:val="008E77B8"/>
    <w:rsid w:val="008F0131"/>
    <w:rsid w:val="008F0617"/>
    <w:rsid w:val="008F0850"/>
    <w:rsid w:val="008F09F7"/>
    <w:rsid w:val="008F0FB0"/>
    <w:rsid w:val="008F2311"/>
    <w:rsid w:val="008F2483"/>
    <w:rsid w:val="008F25BA"/>
    <w:rsid w:val="008F269D"/>
    <w:rsid w:val="008F2F70"/>
    <w:rsid w:val="008F2FCD"/>
    <w:rsid w:val="008F35A6"/>
    <w:rsid w:val="008F3A06"/>
    <w:rsid w:val="008F4951"/>
    <w:rsid w:val="008F5154"/>
    <w:rsid w:val="008F5415"/>
    <w:rsid w:val="008F56E9"/>
    <w:rsid w:val="008F5AC1"/>
    <w:rsid w:val="008F5D98"/>
    <w:rsid w:val="008F5EDE"/>
    <w:rsid w:val="008F6123"/>
    <w:rsid w:val="008F61BF"/>
    <w:rsid w:val="008F6530"/>
    <w:rsid w:val="008F68FE"/>
    <w:rsid w:val="008F6BFB"/>
    <w:rsid w:val="008F7C81"/>
    <w:rsid w:val="008F7DB0"/>
    <w:rsid w:val="0090017D"/>
    <w:rsid w:val="0090076C"/>
    <w:rsid w:val="009008E3"/>
    <w:rsid w:val="0090100C"/>
    <w:rsid w:val="0090155F"/>
    <w:rsid w:val="00901A33"/>
    <w:rsid w:val="00901AAD"/>
    <w:rsid w:val="00902466"/>
    <w:rsid w:val="009026AF"/>
    <w:rsid w:val="00902D14"/>
    <w:rsid w:val="00902E4B"/>
    <w:rsid w:val="00902E85"/>
    <w:rsid w:val="00904027"/>
    <w:rsid w:val="00904518"/>
    <w:rsid w:val="00904A95"/>
    <w:rsid w:val="00904C09"/>
    <w:rsid w:val="00904F2B"/>
    <w:rsid w:val="00904FC6"/>
    <w:rsid w:val="00905215"/>
    <w:rsid w:val="00905C82"/>
    <w:rsid w:val="009069CF"/>
    <w:rsid w:val="00906C12"/>
    <w:rsid w:val="00906C62"/>
    <w:rsid w:val="00906DA5"/>
    <w:rsid w:val="009074F1"/>
    <w:rsid w:val="00907842"/>
    <w:rsid w:val="00907B9E"/>
    <w:rsid w:val="009100B0"/>
    <w:rsid w:val="009109FA"/>
    <w:rsid w:val="00911293"/>
    <w:rsid w:val="00911651"/>
    <w:rsid w:val="00911E9A"/>
    <w:rsid w:val="009126FE"/>
    <w:rsid w:val="0091281D"/>
    <w:rsid w:val="00912EDE"/>
    <w:rsid w:val="0091381C"/>
    <w:rsid w:val="00913BDC"/>
    <w:rsid w:val="009147FC"/>
    <w:rsid w:val="009156BF"/>
    <w:rsid w:val="00915B07"/>
    <w:rsid w:val="00916107"/>
    <w:rsid w:val="009162C9"/>
    <w:rsid w:val="00916FDD"/>
    <w:rsid w:val="00917169"/>
    <w:rsid w:val="00917378"/>
    <w:rsid w:val="00917BAA"/>
    <w:rsid w:val="009204EA"/>
    <w:rsid w:val="009205DE"/>
    <w:rsid w:val="00920BF8"/>
    <w:rsid w:val="00921267"/>
    <w:rsid w:val="00923204"/>
    <w:rsid w:val="0092364A"/>
    <w:rsid w:val="009239B4"/>
    <w:rsid w:val="00924164"/>
    <w:rsid w:val="00924619"/>
    <w:rsid w:val="00924DDA"/>
    <w:rsid w:val="009253B2"/>
    <w:rsid w:val="009253DF"/>
    <w:rsid w:val="0092599A"/>
    <w:rsid w:val="00925DED"/>
    <w:rsid w:val="00926BDB"/>
    <w:rsid w:val="009274F4"/>
    <w:rsid w:val="009305E5"/>
    <w:rsid w:val="009308F5"/>
    <w:rsid w:val="00930E30"/>
    <w:rsid w:val="00931E24"/>
    <w:rsid w:val="009321FC"/>
    <w:rsid w:val="00932265"/>
    <w:rsid w:val="0093297C"/>
    <w:rsid w:val="009330FD"/>
    <w:rsid w:val="009333A8"/>
    <w:rsid w:val="00933A7A"/>
    <w:rsid w:val="00933C01"/>
    <w:rsid w:val="00933F8D"/>
    <w:rsid w:val="00934995"/>
    <w:rsid w:val="00934A77"/>
    <w:rsid w:val="00934E43"/>
    <w:rsid w:val="009352B3"/>
    <w:rsid w:val="009356EB"/>
    <w:rsid w:val="00936186"/>
    <w:rsid w:val="0093621E"/>
    <w:rsid w:val="0093637D"/>
    <w:rsid w:val="00936438"/>
    <w:rsid w:val="00936538"/>
    <w:rsid w:val="00937893"/>
    <w:rsid w:val="009405CD"/>
    <w:rsid w:val="00941C30"/>
    <w:rsid w:val="009426E5"/>
    <w:rsid w:val="0094305A"/>
    <w:rsid w:val="00943239"/>
    <w:rsid w:val="00943A4E"/>
    <w:rsid w:val="00943CBD"/>
    <w:rsid w:val="00943CDE"/>
    <w:rsid w:val="00943E3A"/>
    <w:rsid w:val="009443C7"/>
    <w:rsid w:val="009447C2"/>
    <w:rsid w:val="00944E4B"/>
    <w:rsid w:val="009450AC"/>
    <w:rsid w:val="009450D5"/>
    <w:rsid w:val="009459F7"/>
    <w:rsid w:val="00945D19"/>
    <w:rsid w:val="00945DAF"/>
    <w:rsid w:val="00945FD2"/>
    <w:rsid w:val="0094638D"/>
    <w:rsid w:val="009464CD"/>
    <w:rsid w:val="009464D6"/>
    <w:rsid w:val="009465FD"/>
    <w:rsid w:val="00946809"/>
    <w:rsid w:val="00946FDA"/>
    <w:rsid w:val="009472F8"/>
    <w:rsid w:val="009473FC"/>
    <w:rsid w:val="009476DA"/>
    <w:rsid w:val="00947A13"/>
    <w:rsid w:val="00947D46"/>
    <w:rsid w:val="00950AC6"/>
    <w:rsid w:val="00950C90"/>
    <w:rsid w:val="0095104E"/>
    <w:rsid w:val="009512A2"/>
    <w:rsid w:val="009512FD"/>
    <w:rsid w:val="009513F0"/>
    <w:rsid w:val="0095166D"/>
    <w:rsid w:val="00951B82"/>
    <w:rsid w:val="009521EB"/>
    <w:rsid w:val="00952B32"/>
    <w:rsid w:val="00952FA1"/>
    <w:rsid w:val="00952FDD"/>
    <w:rsid w:val="00953315"/>
    <w:rsid w:val="00953EC7"/>
    <w:rsid w:val="00953F62"/>
    <w:rsid w:val="0095466A"/>
    <w:rsid w:val="00954857"/>
    <w:rsid w:val="009549BD"/>
    <w:rsid w:val="00954B18"/>
    <w:rsid w:val="009552E5"/>
    <w:rsid w:val="0095546C"/>
    <w:rsid w:val="009554BA"/>
    <w:rsid w:val="00955699"/>
    <w:rsid w:val="00955A18"/>
    <w:rsid w:val="00955C94"/>
    <w:rsid w:val="00955D26"/>
    <w:rsid w:val="00955DD1"/>
    <w:rsid w:val="0095607F"/>
    <w:rsid w:val="0095675C"/>
    <w:rsid w:val="009568DC"/>
    <w:rsid w:val="00957895"/>
    <w:rsid w:val="009601D8"/>
    <w:rsid w:val="009606B0"/>
    <w:rsid w:val="00960B64"/>
    <w:rsid w:val="00960B93"/>
    <w:rsid w:val="0096121E"/>
    <w:rsid w:val="009615B1"/>
    <w:rsid w:val="00961DDC"/>
    <w:rsid w:val="00962457"/>
    <w:rsid w:val="009625D5"/>
    <w:rsid w:val="009628BA"/>
    <w:rsid w:val="00962972"/>
    <w:rsid w:val="00963015"/>
    <w:rsid w:val="009641CE"/>
    <w:rsid w:val="0096435E"/>
    <w:rsid w:val="009645D9"/>
    <w:rsid w:val="009649B5"/>
    <w:rsid w:val="00964D01"/>
    <w:rsid w:val="00964FA5"/>
    <w:rsid w:val="00965520"/>
    <w:rsid w:val="0096578D"/>
    <w:rsid w:val="00965ADD"/>
    <w:rsid w:val="00966302"/>
    <w:rsid w:val="00967B55"/>
    <w:rsid w:val="00967C37"/>
    <w:rsid w:val="00967CC3"/>
    <w:rsid w:val="009701E1"/>
    <w:rsid w:val="009704CE"/>
    <w:rsid w:val="00970AED"/>
    <w:rsid w:val="009711BF"/>
    <w:rsid w:val="009717E1"/>
    <w:rsid w:val="0097197A"/>
    <w:rsid w:val="00971F96"/>
    <w:rsid w:val="00971FBB"/>
    <w:rsid w:val="009723CC"/>
    <w:rsid w:val="0097246B"/>
    <w:rsid w:val="009725B9"/>
    <w:rsid w:val="009729C8"/>
    <w:rsid w:val="00972E98"/>
    <w:rsid w:val="00973CE7"/>
    <w:rsid w:val="00973D05"/>
    <w:rsid w:val="00974021"/>
    <w:rsid w:val="00974072"/>
    <w:rsid w:val="00974430"/>
    <w:rsid w:val="00974C04"/>
    <w:rsid w:val="00974CE4"/>
    <w:rsid w:val="009753A7"/>
    <w:rsid w:val="009759C4"/>
    <w:rsid w:val="00975EF1"/>
    <w:rsid w:val="00976AB4"/>
    <w:rsid w:val="00976EC9"/>
    <w:rsid w:val="00976EEB"/>
    <w:rsid w:val="00977DC6"/>
    <w:rsid w:val="009803D2"/>
    <w:rsid w:val="00980E3D"/>
    <w:rsid w:val="0098189A"/>
    <w:rsid w:val="00981C37"/>
    <w:rsid w:val="00982B83"/>
    <w:rsid w:val="00983081"/>
    <w:rsid w:val="009837F1"/>
    <w:rsid w:val="00984521"/>
    <w:rsid w:val="00984826"/>
    <w:rsid w:val="00984AE9"/>
    <w:rsid w:val="00984F18"/>
    <w:rsid w:val="0098559C"/>
    <w:rsid w:val="009861E0"/>
    <w:rsid w:val="00986B2F"/>
    <w:rsid w:val="00986CEF"/>
    <w:rsid w:val="00986FC7"/>
    <w:rsid w:val="00987087"/>
    <w:rsid w:val="00987279"/>
    <w:rsid w:val="00987E9B"/>
    <w:rsid w:val="00990372"/>
    <w:rsid w:val="00990415"/>
    <w:rsid w:val="009910A9"/>
    <w:rsid w:val="009918EA"/>
    <w:rsid w:val="00991C7E"/>
    <w:rsid w:val="00991D16"/>
    <w:rsid w:val="0099223A"/>
    <w:rsid w:val="00992F18"/>
    <w:rsid w:val="00993159"/>
    <w:rsid w:val="00993386"/>
    <w:rsid w:val="009935C6"/>
    <w:rsid w:val="0099385A"/>
    <w:rsid w:val="00993ABA"/>
    <w:rsid w:val="00993E2E"/>
    <w:rsid w:val="00993F65"/>
    <w:rsid w:val="0099470E"/>
    <w:rsid w:val="00994F58"/>
    <w:rsid w:val="00995488"/>
    <w:rsid w:val="00995837"/>
    <w:rsid w:val="00995ABD"/>
    <w:rsid w:val="00995B7F"/>
    <w:rsid w:val="0099629F"/>
    <w:rsid w:val="009966B2"/>
    <w:rsid w:val="009968D0"/>
    <w:rsid w:val="009972C4"/>
    <w:rsid w:val="00997425"/>
    <w:rsid w:val="00997512"/>
    <w:rsid w:val="0099754A"/>
    <w:rsid w:val="0099757D"/>
    <w:rsid w:val="00997972"/>
    <w:rsid w:val="00997BF6"/>
    <w:rsid w:val="009A0055"/>
    <w:rsid w:val="009A02B6"/>
    <w:rsid w:val="009A0952"/>
    <w:rsid w:val="009A0EAC"/>
    <w:rsid w:val="009A129B"/>
    <w:rsid w:val="009A1457"/>
    <w:rsid w:val="009A1771"/>
    <w:rsid w:val="009A1BCE"/>
    <w:rsid w:val="009A22C9"/>
    <w:rsid w:val="009A2425"/>
    <w:rsid w:val="009A2545"/>
    <w:rsid w:val="009A266D"/>
    <w:rsid w:val="009A31A9"/>
    <w:rsid w:val="009A3525"/>
    <w:rsid w:val="009A4AE4"/>
    <w:rsid w:val="009A4EEF"/>
    <w:rsid w:val="009A54C9"/>
    <w:rsid w:val="009A5840"/>
    <w:rsid w:val="009A63B6"/>
    <w:rsid w:val="009A63C6"/>
    <w:rsid w:val="009A67DC"/>
    <w:rsid w:val="009A6BB4"/>
    <w:rsid w:val="009A6DCC"/>
    <w:rsid w:val="009A7255"/>
    <w:rsid w:val="009A7E35"/>
    <w:rsid w:val="009B045D"/>
    <w:rsid w:val="009B0A24"/>
    <w:rsid w:val="009B0EB6"/>
    <w:rsid w:val="009B15A7"/>
    <w:rsid w:val="009B1F72"/>
    <w:rsid w:val="009B2617"/>
    <w:rsid w:val="009B299E"/>
    <w:rsid w:val="009B2BB7"/>
    <w:rsid w:val="009B2E12"/>
    <w:rsid w:val="009B35F1"/>
    <w:rsid w:val="009B39FD"/>
    <w:rsid w:val="009B3A58"/>
    <w:rsid w:val="009B3C1E"/>
    <w:rsid w:val="009B40EA"/>
    <w:rsid w:val="009B5103"/>
    <w:rsid w:val="009B5D5C"/>
    <w:rsid w:val="009B622B"/>
    <w:rsid w:val="009B62E8"/>
    <w:rsid w:val="009B6540"/>
    <w:rsid w:val="009B77C5"/>
    <w:rsid w:val="009B7DC8"/>
    <w:rsid w:val="009B7F51"/>
    <w:rsid w:val="009C0122"/>
    <w:rsid w:val="009C0146"/>
    <w:rsid w:val="009C048A"/>
    <w:rsid w:val="009C0E09"/>
    <w:rsid w:val="009C0EF5"/>
    <w:rsid w:val="009C1160"/>
    <w:rsid w:val="009C14FD"/>
    <w:rsid w:val="009C23AA"/>
    <w:rsid w:val="009C2782"/>
    <w:rsid w:val="009C27E2"/>
    <w:rsid w:val="009C2F50"/>
    <w:rsid w:val="009C3133"/>
    <w:rsid w:val="009C331C"/>
    <w:rsid w:val="009C3740"/>
    <w:rsid w:val="009C3F3D"/>
    <w:rsid w:val="009C4194"/>
    <w:rsid w:val="009C4321"/>
    <w:rsid w:val="009C4B81"/>
    <w:rsid w:val="009C4DA6"/>
    <w:rsid w:val="009C6309"/>
    <w:rsid w:val="009C6334"/>
    <w:rsid w:val="009C6DD9"/>
    <w:rsid w:val="009C7515"/>
    <w:rsid w:val="009C7B15"/>
    <w:rsid w:val="009D03ED"/>
    <w:rsid w:val="009D1173"/>
    <w:rsid w:val="009D221E"/>
    <w:rsid w:val="009D25F2"/>
    <w:rsid w:val="009D262C"/>
    <w:rsid w:val="009D3334"/>
    <w:rsid w:val="009D35B5"/>
    <w:rsid w:val="009D382F"/>
    <w:rsid w:val="009D3A3B"/>
    <w:rsid w:val="009D3FB0"/>
    <w:rsid w:val="009D423B"/>
    <w:rsid w:val="009D48A3"/>
    <w:rsid w:val="009D4B09"/>
    <w:rsid w:val="009D5216"/>
    <w:rsid w:val="009D5EB9"/>
    <w:rsid w:val="009D6541"/>
    <w:rsid w:val="009D6698"/>
    <w:rsid w:val="009D6DB1"/>
    <w:rsid w:val="009D712E"/>
    <w:rsid w:val="009D77F7"/>
    <w:rsid w:val="009D7AD9"/>
    <w:rsid w:val="009D7E79"/>
    <w:rsid w:val="009D7F53"/>
    <w:rsid w:val="009D7FE0"/>
    <w:rsid w:val="009E0872"/>
    <w:rsid w:val="009E12A0"/>
    <w:rsid w:val="009E1D2E"/>
    <w:rsid w:val="009E1DAD"/>
    <w:rsid w:val="009E1FDD"/>
    <w:rsid w:val="009E1FF2"/>
    <w:rsid w:val="009E24FC"/>
    <w:rsid w:val="009E26EC"/>
    <w:rsid w:val="009E2AA3"/>
    <w:rsid w:val="009E2AF0"/>
    <w:rsid w:val="009E2D41"/>
    <w:rsid w:val="009E2D99"/>
    <w:rsid w:val="009E2D9F"/>
    <w:rsid w:val="009E2DFE"/>
    <w:rsid w:val="009E33F9"/>
    <w:rsid w:val="009E344D"/>
    <w:rsid w:val="009E3478"/>
    <w:rsid w:val="009E34BD"/>
    <w:rsid w:val="009E3C84"/>
    <w:rsid w:val="009E3CE0"/>
    <w:rsid w:val="009E3E97"/>
    <w:rsid w:val="009E4110"/>
    <w:rsid w:val="009E482A"/>
    <w:rsid w:val="009E4C98"/>
    <w:rsid w:val="009E5478"/>
    <w:rsid w:val="009E5B9B"/>
    <w:rsid w:val="009E5C30"/>
    <w:rsid w:val="009E5CB9"/>
    <w:rsid w:val="009E5D29"/>
    <w:rsid w:val="009E5EBC"/>
    <w:rsid w:val="009E5F14"/>
    <w:rsid w:val="009E69FA"/>
    <w:rsid w:val="009E6D11"/>
    <w:rsid w:val="009E7015"/>
    <w:rsid w:val="009E7476"/>
    <w:rsid w:val="009E78CC"/>
    <w:rsid w:val="009E7B39"/>
    <w:rsid w:val="009E7C86"/>
    <w:rsid w:val="009F0742"/>
    <w:rsid w:val="009F082F"/>
    <w:rsid w:val="009F0B30"/>
    <w:rsid w:val="009F0DF3"/>
    <w:rsid w:val="009F0FED"/>
    <w:rsid w:val="009F10E0"/>
    <w:rsid w:val="009F132E"/>
    <w:rsid w:val="009F1450"/>
    <w:rsid w:val="009F148C"/>
    <w:rsid w:val="009F17E9"/>
    <w:rsid w:val="009F19E0"/>
    <w:rsid w:val="009F1C61"/>
    <w:rsid w:val="009F2727"/>
    <w:rsid w:val="009F2C70"/>
    <w:rsid w:val="009F3389"/>
    <w:rsid w:val="009F33F1"/>
    <w:rsid w:val="009F3BE3"/>
    <w:rsid w:val="009F3DAC"/>
    <w:rsid w:val="009F3F9D"/>
    <w:rsid w:val="009F40F7"/>
    <w:rsid w:val="009F4EE8"/>
    <w:rsid w:val="009F538D"/>
    <w:rsid w:val="009F63B8"/>
    <w:rsid w:val="009F6649"/>
    <w:rsid w:val="009F67F8"/>
    <w:rsid w:val="009F7595"/>
    <w:rsid w:val="00A000A0"/>
    <w:rsid w:val="00A00DBC"/>
    <w:rsid w:val="00A00E0D"/>
    <w:rsid w:val="00A027AA"/>
    <w:rsid w:val="00A02A6B"/>
    <w:rsid w:val="00A031E7"/>
    <w:rsid w:val="00A03599"/>
    <w:rsid w:val="00A03924"/>
    <w:rsid w:val="00A03A20"/>
    <w:rsid w:val="00A03C87"/>
    <w:rsid w:val="00A04953"/>
    <w:rsid w:val="00A05FCD"/>
    <w:rsid w:val="00A06977"/>
    <w:rsid w:val="00A07012"/>
    <w:rsid w:val="00A076B1"/>
    <w:rsid w:val="00A079BF"/>
    <w:rsid w:val="00A07A9E"/>
    <w:rsid w:val="00A100F6"/>
    <w:rsid w:val="00A102B4"/>
    <w:rsid w:val="00A11137"/>
    <w:rsid w:val="00A11155"/>
    <w:rsid w:val="00A1152A"/>
    <w:rsid w:val="00A11670"/>
    <w:rsid w:val="00A11E85"/>
    <w:rsid w:val="00A1231E"/>
    <w:rsid w:val="00A133D6"/>
    <w:rsid w:val="00A13671"/>
    <w:rsid w:val="00A13D2B"/>
    <w:rsid w:val="00A1406A"/>
    <w:rsid w:val="00A144F9"/>
    <w:rsid w:val="00A1496E"/>
    <w:rsid w:val="00A14E4F"/>
    <w:rsid w:val="00A15CF0"/>
    <w:rsid w:val="00A16260"/>
    <w:rsid w:val="00A1683E"/>
    <w:rsid w:val="00A168B6"/>
    <w:rsid w:val="00A168B7"/>
    <w:rsid w:val="00A16BAD"/>
    <w:rsid w:val="00A16F12"/>
    <w:rsid w:val="00A173C5"/>
    <w:rsid w:val="00A178DC"/>
    <w:rsid w:val="00A17FC8"/>
    <w:rsid w:val="00A20006"/>
    <w:rsid w:val="00A21771"/>
    <w:rsid w:val="00A21944"/>
    <w:rsid w:val="00A21B69"/>
    <w:rsid w:val="00A21F5D"/>
    <w:rsid w:val="00A23A7E"/>
    <w:rsid w:val="00A24546"/>
    <w:rsid w:val="00A24734"/>
    <w:rsid w:val="00A24AAF"/>
    <w:rsid w:val="00A24B70"/>
    <w:rsid w:val="00A24B8A"/>
    <w:rsid w:val="00A25012"/>
    <w:rsid w:val="00A25367"/>
    <w:rsid w:val="00A25489"/>
    <w:rsid w:val="00A259B3"/>
    <w:rsid w:val="00A25D19"/>
    <w:rsid w:val="00A26610"/>
    <w:rsid w:val="00A2687B"/>
    <w:rsid w:val="00A272E7"/>
    <w:rsid w:val="00A2786E"/>
    <w:rsid w:val="00A27E19"/>
    <w:rsid w:val="00A30797"/>
    <w:rsid w:val="00A320CE"/>
    <w:rsid w:val="00A32189"/>
    <w:rsid w:val="00A32236"/>
    <w:rsid w:val="00A32391"/>
    <w:rsid w:val="00A32656"/>
    <w:rsid w:val="00A32F96"/>
    <w:rsid w:val="00A34052"/>
    <w:rsid w:val="00A3440F"/>
    <w:rsid w:val="00A34824"/>
    <w:rsid w:val="00A35A1A"/>
    <w:rsid w:val="00A3606C"/>
    <w:rsid w:val="00A36778"/>
    <w:rsid w:val="00A370BE"/>
    <w:rsid w:val="00A37231"/>
    <w:rsid w:val="00A3763A"/>
    <w:rsid w:val="00A37B19"/>
    <w:rsid w:val="00A37F43"/>
    <w:rsid w:val="00A37FE7"/>
    <w:rsid w:val="00A40E1C"/>
    <w:rsid w:val="00A40F8F"/>
    <w:rsid w:val="00A41CF9"/>
    <w:rsid w:val="00A428E9"/>
    <w:rsid w:val="00A42944"/>
    <w:rsid w:val="00A42DBE"/>
    <w:rsid w:val="00A4429C"/>
    <w:rsid w:val="00A44B6E"/>
    <w:rsid w:val="00A44F7F"/>
    <w:rsid w:val="00A450B7"/>
    <w:rsid w:val="00A46454"/>
    <w:rsid w:val="00A46D3D"/>
    <w:rsid w:val="00A47373"/>
    <w:rsid w:val="00A479F5"/>
    <w:rsid w:val="00A47C26"/>
    <w:rsid w:val="00A47E38"/>
    <w:rsid w:val="00A50147"/>
    <w:rsid w:val="00A505C3"/>
    <w:rsid w:val="00A50A91"/>
    <w:rsid w:val="00A51B75"/>
    <w:rsid w:val="00A51EC3"/>
    <w:rsid w:val="00A522E9"/>
    <w:rsid w:val="00A52841"/>
    <w:rsid w:val="00A5291C"/>
    <w:rsid w:val="00A52E0B"/>
    <w:rsid w:val="00A53120"/>
    <w:rsid w:val="00A5327A"/>
    <w:rsid w:val="00A536B3"/>
    <w:rsid w:val="00A53F74"/>
    <w:rsid w:val="00A54496"/>
    <w:rsid w:val="00A54792"/>
    <w:rsid w:val="00A54E22"/>
    <w:rsid w:val="00A55153"/>
    <w:rsid w:val="00A5530B"/>
    <w:rsid w:val="00A554BF"/>
    <w:rsid w:val="00A55917"/>
    <w:rsid w:val="00A55A14"/>
    <w:rsid w:val="00A55F75"/>
    <w:rsid w:val="00A56C6F"/>
    <w:rsid w:val="00A5721A"/>
    <w:rsid w:val="00A57261"/>
    <w:rsid w:val="00A579F3"/>
    <w:rsid w:val="00A6004F"/>
    <w:rsid w:val="00A60180"/>
    <w:rsid w:val="00A60C04"/>
    <w:rsid w:val="00A60F4E"/>
    <w:rsid w:val="00A617AE"/>
    <w:rsid w:val="00A61CC5"/>
    <w:rsid w:val="00A61D13"/>
    <w:rsid w:val="00A621B8"/>
    <w:rsid w:val="00A6274D"/>
    <w:rsid w:val="00A62DA3"/>
    <w:rsid w:val="00A631F1"/>
    <w:rsid w:val="00A634E6"/>
    <w:rsid w:val="00A63806"/>
    <w:rsid w:val="00A6389D"/>
    <w:rsid w:val="00A63B3C"/>
    <w:rsid w:val="00A63D00"/>
    <w:rsid w:val="00A644B4"/>
    <w:rsid w:val="00A649A5"/>
    <w:rsid w:val="00A64A08"/>
    <w:rsid w:val="00A64A41"/>
    <w:rsid w:val="00A64AF9"/>
    <w:rsid w:val="00A64B8F"/>
    <w:rsid w:val="00A64C2D"/>
    <w:rsid w:val="00A64D9A"/>
    <w:rsid w:val="00A65ECB"/>
    <w:rsid w:val="00A66587"/>
    <w:rsid w:val="00A66687"/>
    <w:rsid w:val="00A66A47"/>
    <w:rsid w:val="00A6700B"/>
    <w:rsid w:val="00A673C9"/>
    <w:rsid w:val="00A67A5F"/>
    <w:rsid w:val="00A67BDB"/>
    <w:rsid w:val="00A67F43"/>
    <w:rsid w:val="00A70282"/>
    <w:rsid w:val="00A70491"/>
    <w:rsid w:val="00A708AF"/>
    <w:rsid w:val="00A708CC"/>
    <w:rsid w:val="00A70974"/>
    <w:rsid w:val="00A71F53"/>
    <w:rsid w:val="00A720AB"/>
    <w:rsid w:val="00A721A7"/>
    <w:rsid w:val="00A726C0"/>
    <w:rsid w:val="00A72756"/>
    <w:rsid w:val="00A73049"/>
    <w:rsid w:val="00A7346B"/>
    <w:rsid w:val="00A73745"/>
    <w:rsid w:val="00A7386B"/>
    <w:rsid w:val="00A73BE4"/>
    <w:rsid w:val="00A73D1C"/>
    <w:rsid w:val="00A745F5"/>
    <w:rsid w:val="00A74833"/>
    <w:rsid w:val="00A75AF6"/>
    <w:rsid w:val="00A75FB9"/>
    <w:rsid w:val="00A761FC"/>
    <w:rsid w:val="00A76DB3"/>
    <w:rsid w:val="00A775EC"/>
    <w:rsid w:val="00A77752"/>
    <w:rsid w:val="00A806AB"/>
    <w:rsid w:val="00A81A74"/>
    <w:rsid w:val="00A81E01"/>
    <w:rsid w:val="00A82028"/>
    <w:rsid w:val="00A8222B"/>
    <w:rsid w:val="00A82362"/>
    <w:rsid w:val="00A82373"/>
    <w:rsid w:val="00A82A84"/>
    <w:rsid w:val="00A82FAB"/>
    <w:rsid w:val="00A82FBC"/>
    <w:rsid w:val="00A83762"/>
    <w:rsid w:val="00A838DF"/>
    <w:rsid w:val="00A83D68"/>
    <w:rsid w:val="00A83E36"/>
    <w:rsid w:val="00A8410B"/>
    <w:rsid w:val="00A8419E"/>
    <w:rsid w:val="00A85957"/>
    <w:rsid w:val="00A865E1"/>
    <w:rsid w:val="00A86BCF"/>
    <w:rsid w:val="00A86FF9"/>
    <w:rsid w:val="00A87CF1"/>
    <w:rsid w:val="00A9030F"/>
    <w:rsid w:val="00A90515"/>
    <w:rsid w:val="00A9061D"/>
    <w:rsid w:val="00A90927"/>
    <w:rsid w:val="00A90A62"/>
    <w:rsid w:val="00A9107D"/>
    <w:rsid w:val="00A9128A"/>
    <w:rsid w:val="00A9149E"/>
    <w:rsid w:val="00A914E6"/>
    <w:rsid w:val="00A9172F"/>
    <w:rsid w:val="00A91DCC"/>
    <w:rsid w:val="00A928BA"/>
    <w:rsid w:val="00A93272"/>
    <w:rsid w:val="00A933AF"/>
    <w:rsid w:val="00A936C0"/>
    <w:rsid w:val="00A93DA5"/>
    <w:rsid w:val="00A94465"/>
    <w:rsid w:val="00A94DF0"/>
    <w:rsid w:val="00A95089"/>
    <w:rsid w:val="00A95C6F"/>
    <w:rsid w:val="00A95FD4"/>
    <w:rsid w:val="00A96212"/>
    <w:rsid w:val="00A9645B"/>
    <w:rsid w:val="00A9657D"/>
    <w:rsid w:val="00A96D3A"/>
    <w:rsid w:val="00A96F1D"/>
    <w:rsid w:val="00A96FEB"/>
    <w:rsid w:val="00A97037"/>
    <w:rsid w:val="00A977AC"/>
    <w:rsid w:val="00A97983"/>
    <w:rsid w:val="00AA03C9"/>
    <w:rsid w:val="00AA08B2"/>
    <w:rsid w:val="00AA0AF3"/>
    <w:rsid w:val="00AA1415"/>
    <w:rsid w:val="00AA14F7"/>
    <w:rsid w:val="00AA18D8"/>
    <w:rsid w:val="00AA2BA6"/>
    <w:rsid w:val="00AA2C13"/>
    <w:rsid w:val="00AA318D"/>
    <w:rsid w:val="00AA4107"/>
    <w:rsid w:val="00AA4250"/>
    <w:rsid w:val="00AA458D"/>
    <w:rsid w:val="00AA4716"/>
    <w:rsid w:val="00AA4776"/>
    <w:rsid w:val="00AA4829"/>
    <w:rsid w:val="00AA5037"/>
    <w:rsid w:val="00AA53C9"/>
    <w:rsid w:val="00AA557D"/>
    <w:rsid w:val="00AA58E3"/>
    <w:rsid w:val="00AA60F0"/>
    <w:rsid w:val="00AA740A"/>
    <w:rsid w:val="00AA753E"/>
    <w:rsid w:val="00AA7BF2"/>
    <w:rsid w:val="00AA7DFE"/>
    <w:rsid w:val="00AB04DD"/>
    <w:rsid w:val="00AB087F"/>
    <w:rsid w:val="00AB096F"/>
    <w:rsid w:val="00AB09C3"/>
    <w:rsid w:val="00AB1087"/>
    <w:rsid w:val="00AB13DE"/>
    <w:rsid w:val="00AB1707"/>
    <w:rsid w:val="00AB17E5"/>
    <w:rsid w:val="00AB1CCC"/>
    <w:rsid w:val="00AB2A06"/>
    <w:rsid w:val="00AB2F5B"/>
    <w:rsid w:val="00AB302D"/>
    <w:rsid w:val="00AB32DA"/>
    <w:rsid w:val="00AB442E"/>
    <w:rsid w:val="00AB45D8"/>
    <w:rsid w:val="00AB4668"/>
    <w:rsid w:val="00AB4858"/>
    <w:rsid w:val="00AB4954"/>
    <w:rsid w:val="00AB4D20"/>
    <w:rsid w:val="00AB4DAC"/>
    <w:rsid w:val="00AB5175"/>
    <w:rsid w:val="00AB5777"/>
    <w:rsid w:val="00AB5D1C"/>
    <w:rsid w:val="00AB6190"/>
    <w:rsid w:val="00AB6AB7"/>
    <w:rsid w:val="00AB6C62"/>
    <w:rsid w:val="00AB718F"/>
    <w:rsid w:val="00AB77B4"/>
    <w:rsid w:val="00AB7894"/>
    <w:rsid w:val="00AC0A42"/>
    <w:rsid w:val="00AC10CF"/>
    <w:rsid w:val="00AC1424"/>
    <w:rsid w:val="00AC15BC"/>
    <w:rsid w:val="00AC1CF0"/>
    <w:rsid w:val="00AC2526"/>
    <w:rsid w:val="00AC29BD"/>
    <w:rsid w:val="00AC3253"/>
    <w:rsid w:val="00AC43F2"/>
    <w:rsid w:val="00AC4990"/>
    <w:rsid w:val="00AC4F1C"/>
    <w:rsid w:val="00AC4FD0"/>
    <w:rsid w:val="00AC53D5"/>
    <w:rsid w:val="00AC5A74"/>
    <w:rsid w:val="00AC5BDC"/>
    <w:rsid w:val="00AC5C5E"/>
    <w:rsid w:val="00AC5DFA"/>
    <w:rsid w:val="00AC64CE"/>
    <w:rsid w:val="00AC6601"/>
    <w:rsid w:val="00AC6808"/>
    <w:rsid w:val="00AC7A38"/>
    <w:rsid w:val="00AC7D1B"/>
    <w:rsid w:val="00AC7E68"/>
    <w:rsid w:val="00AD0098"/>
    <w:rsid w:val="00AD0435"/>
    <w:rsid w:val="00AD0716"/>
    <w:rsid w:val="00AD0976"/>
    <w:rsid w:val="00AD103E"/>
    <w:rsid w:val="00AD200A"/>
    <w:rsid w:val="00AD203E"/>
    <w:rsid w:val="00AD2333"/>
    <w:rsid w:val="00AD2777"/>
    <w:rsid w:val="00AD3746"/>
    <w:rsid w:val="00AD3F9C"/>
    <w:rsid w:val="00AD4755"/>
    <w:rsid w:val="00AD4FD6"/>
    <w:rsid w:val="00AD5095"/>
    <w:rsid w:val="00AD5826"/>
    <w:rsid w:val="00AD5DC1"/>
    <w:rsid w:val="00AD6278"/>
    <w:rsid w:val="00AD691E"/>
    <w:rsid w:val="00AD6D24"/>
    <w:rsid w:val="00AD7685"/>
    <w:rsid w:val="00AD77D0"/>
    <w:rsid w:val="00AD7B8E"/>
    <w:rsid w:val="00AD7D6A"/>
    <w:rsid w:val="00AD7E14"/>
    <w:rsid w:val="00AE0CA8"/>
    <w:rsid w:val="00AE13D7"/>
    <w:rsid w:val="00AE1553"/>
    <w:rsid w:val="00AE19FC"/>
    <w:rsid w:val="00AE1FE7"/>
    <w:rsid w:val="00AE20B5"/>
    <w:rsid w:val="00AE2101"/>
    <w:rsid w:val="00AE237F"/>
    <w:rsid w:val="00AE2701"/>
    <w:rsid w:val="00AE2FAA"/>
    <w:rsid w:val="00AE35D1"/>
    <w:rsid w:val="00AE42D2"/>
    <w:rsid w:val="00AE4DD3"/>
    <w:rsid w:val="00AE5176"/>
    <w:rsid w:val="00AE56B9"/>
    <w:rsid w:val="00AE62CB"/>
    <w:rsid w:val="00AE658A"/>
    <w:rsid w:val="00AE6929"/>
    <w:rsid w:val="00AE6A1E"/>
    <w:rsid w:val="00AE6AE9"/>
    <w:rsid w:val="00AE6E7D"/>
    <w:rsid w:val="00AE7123"/>
    <w:rsid w:val="00AE7767"/>
    <w:rsid w:val="00AE77CB"/>
    <w:rsid w:val="00AE7B94"/>
    <w:rsid w:val="00AE7C5C"/>
    <w:rsid w:val="00AF0391"/>
    <w:rsid w:val="00AF07A3"/>
    <w:rsid w:val="00AF159D"/>
    <w:rsid w:val="00AF2810"/>
    <w:rsid w:val="00AF2FD2"/>
    <w:rsid w:val="00AF365E"/>
    <w:rsid w:val="00AF3743"/>
    <w:rsid w:val="00AF3FEE"/>
    <w:rsid w:val="00AF4118"/>
    <w:rsid w:val="00AF4207"/>
    <w:rsid w:val="00AF448A"/>
    <w:rsid w:val="00AF51AC"/>
    <w:rsid w:val="00AF5808"/>
    <w:rsid w:val="00AF586B"/>
    <w:rsid w:val="00AF5935"/>
    <w:rsid w:val="00AF599C"/>
    <w:rsid w:val="00AF5FBA"/>
    <w:rsid w:val="00AF6C25"/>
    <w:rsid w:val="00AF6DAB"/>
    <w:rsid w:val="00AF74B3"/>
    <w:rsid w:val="00AF777C"/>
    <w:rsid w:val="00AF789B"/>
    <w:rsid w:val="00AF7EE9"/>
    <w:rsid w:val="00B0024F"/>
    <w:rsid w:val="00B005E7"/>
    <w:rsid w:val="00B00E5C"/>
    <w:rsid w:val="00B00F80"/>
    <w:rsid w:val="00B01AF8"/>
    <w:rsid w:val="00B01D78"/>
    <w:rsid w:val="00B01D94"/>
    <w:rsid w:val="00B02B25"/>
    <w:rsid w:val="00B02BBE"/>
    <w:rsid w:val="00B02C42"/>
    <w:rsid w:val="00B03CC3"/>
    <w:rsid w:val="00B04A32"/>
    <w:rsid w:val="00B04B52"/>
    <w:rsid w:val="00B04EBB"/>
    <w:rsid w:val="00B057E0"/>
    <w:rsid w:val="00B0585A"/>
    <w:rsid w:val="00B05D98"/>
    <w:rsid w:val="00B06216"/>
    <w:rsid w:val="00B066C4"/>
    <w:rsid w:val="00B06EE9"/>
    <w:rsid w:val="00B07481"/>
    <w:rsid w:val="00B07F16"/>
    <w:rsid w:val="00B1040F"/>
    <w:rsid w:val="00B11C9B"/>
    <w:rsid w:val="00B11D3A"/>
    <w:rsid w:val="00B129D0"/>
    <w:rsid w:val="00B12DDE"/>
    <w:rsid w:val="00B130AB"/>
    <w:rsid w:val="00B1396A"/>
    <w:rsid w:val="00B13A7D"/>
    <w:rsid w:val="00B13ED1"/>
    <w:rsid w:val="00B14079"/>
    <w:rsid w:val="00B1408E"/>
    <w:rsid w:val="00B1447B"/>
    <w:rsid w:val="00B14522"/>
    <w:rsid w:val="00B148EC"/>
    <w:rsid w:val="00B14C2F"/>
    <w:rsid w:val="00B150A4"/>
    <w:rsid w:val="00B16D5B"/>
    <w:rsid w:val="00B1785B"/>
    <w:rsid w:val="00B17C7A"/>
    <w:rsid w:val="00B20228"/>
    <w:rsid w:val="00B20D4F"/>
    <w:rsid w:val="00B20D90"/>
    <w:rsid w:val="00B211CC"/>
    <w:rsid w:val="00B2132D"/>
    <w:rsid w:val="00B218D7"/>
    <w:rsid w:val="00B21AE1"/>
    <w:rsid w:val="00B22091"/>
    <w:rsid w:val="00B22196"/>
    <w:rsid w:val="00B2254D"/>
    <w:rsid w:val="00B22655"/>
    <w:rsid w:val="00B22722"/>
    <w:rsid w:val="00B22ACD"/>
    <w:rsid w:val="00B237C1"/>
    <w:rsid w:val="00B238B8"/>
    <w:rsid w:val="00B23E4D"/>
    <w:rsid w:val="00B2414F"/>
    <w:rsid w:val="00B24A79"/>
    <w:rsid w:val="00B24C02"/>
    <w:rsid w:val="00B24D68"/>
    <w:rsid w:val="00B24E4C"/>
    <w:rsid w:val="00B253CC"/>
    <w:rsid w:val="00B257C5"/>
    <w:rsid w:val="00B25FB5"/>
    <w:rsid w:val="00B26D38"/>
    <w:rsid w:val="00B2740A"/>
    <w:rsid w:val="00B27629"/>
    <w:rsid w:val="00B2778A"/>
    <w:rsid w:val="00B27796"/>
    <w:rsid w:val="00B27B05"/>
    <w:rsid w:val="00B3027E"/>
    <w:rsid w:val="00B30337"/>
    <w:rsid w:val="00B306EA"/>
    <w:rsid w:val="00B30909"/>
    <w:rsid w:val="00B30EE5"/>
    <w:rsid w:val="00B31A64"/>
    <w:rsid w:val="00B32545"/>
    <w:rsid w:val="00B32C38"/>
    <w:rsid w:val="00B33390"/>
    <w:rsid w:val="00B34F18"/>
    <w:rsid w:val="00B36055"/>
    <w:rsid w:val="00B360AF"/>
    <w:rsid w:val="00B362D5"/>
    <w:rsid w:val="00B364C5"/>
    <w:rsid w:val="00B364FB"/>
    <w:rsid w:val="00B36BB8"/>
    <w:rsid w:val="00B4002C"/>
    <w:rsid w:val="00B40231"/>
    <w:rsid w:val="00B40283"/>
    <w:rsid w:val="00B404EA"/>
    <w:rsid w:val="00B40764"/>
    <w:rsid w:val="00B40C1D"/>
    <w:rsid w:val="00B4133B"/>
    <w:rsid w:val="00B41CDC"/>
    <w:rsid w:val="00B41E28"/>
    <w:rsid w:val="00B42097"/>
    <w:rsid w:val="00B423C5"/>
    <w:rsid w:val="00B425D3"/>
    <w:rsid w:val="00B42A50"/>
    <w:rsid w:val="00B43284"/>
    <w:rsid w:val="00B4351B"/>
    <w:rsid w:val="00B43691"/>
    <w:rsid w:val="00B436AF"/>
    <w:rsid w:val="00B43F8B"/>
    <w:rsid w:val="00B440FD"/>
    <w:rsid w:val="00B445B8"/>
    <w:rsid w:val="00B456C4"/>
    <w:rsid w:val="00B459B8"/>
    <w:rsid w:val="00B45B41"/>
    <w:rsid w:val="00B45D1B"/>
    <w:rsid w:val="00B46353"/>
    <w:rsid w:val="00B46853"/>
    <w:rsid w:val="00B470C2"/>
    <w:rsid w:val="00B473D7"/>
    <w:rsid w:val="00B47790"/>
    <w:rsid w:val="00B47926"/>
    <w:rsid w:val="00B47B0C"/>
    <w:rsid w:val="00B47EE7"/>
    <w:rsid w:val="00B506F6"/>
    <w:rsid w:val="00B5072D"/>
    <w:rsid w:val="00B50E73"/>
    <w:rsid w:val="00B5230A"/>
    <w:rsid w:val="00B5267A"/>
    <w:rsid w:val="00B526D1"/>
    <w:rsid w:val="00B52A9B"/>
    <w:rsid w:val="00B52FC7"/>
    <w:rsid w:val="00B535FA"/>
    <w:rsid w:val="00B54480"/>
    <w:rsid w:val="00B54696"/>
    <w:rsid w:val="00B54BFF"/>
    <w:rsid w:val="00B5516E"/>
    <w:rsid w:val="00B552D6"/>
    <w:rsid w:val="00B552E5"/>
    <w:rsid w:val="00B55E60"/>
    <w:rsid w:val="00B56887"/>
    <w:rsid w:val="00B569D5"/>
    <w:rsid w:val="00B56CE1"/>
    <w:rsid w:val="00B57D11"/>
    <w:rsid w:val="00B57F15"/>
    <w:rsid w:val="00B60223"/>
    <w:rsid w:val="00B605C2"/>
    <w:rsid w:val="00B60985"/>
    <w:rsid w:val="00B609C1"/>
    <w:rsid w:val="00B60D0D"/>
    <w:rsid w:val="00B61026"/>
    <w:rsid w:val="00B611F2"/>
    <w:rsid w:val="00B6130C"/>
    <w:rsid w:val="00B61981"/>
    <w:rsid w:val="00B61E02"/>
    <w:rsid w:val="00B6211F"/>
    <w:rsid w:val="00B62201"/>
    <w:rsid w:val="00B62921"/>
    <w:rsid w:val="00B62AB3"/>
    <w:rsid w:val="00B62DFD"/>
    <w:rsid w:val="00B639E0"/>
    <w:rsid w:val="00B63A4A"/>
    <w:rsid w:val="00B63C04"/>
    <w:rsid w:val="00B642A8"/>
    <w:rsid w:val="00B6480B"/>
    <w:rsid w:val="00B64D23"/>
    <w:rsid w:val="00B64E36"/>
    <w:rsid w:val="00B65110"/>
    <w:rsid w:val="00B65160"/>
    <w:rsid w:val="00B6528B"/>
    <w:rsid w:val="00B65392"/>
    <w:rsid w:val="00B6568C"/>
    <w:rsid w:val="00B65704"/>
    <w:rsid w:val="00B657FE"/>
    <w:rsid w:val="00B65984"/>
    <w:rsid w:val="00B665B8"/>
    <w:rsid w:val="00B66712"/>
    <w:rsid w:val="00B66820"/>
    <w:rsid w:val="00B66B02"/>
    <w:rsid w:val="00B66D22"/>
    <w:rsid w:val="00B66FBF"/>
    <w:rsid w:val="00B67248"/>
    <w:rsid w:val="00B67E7C"/>
    <w:rsid w:val="00B67FD6"/>
    <w:rsid w:val="00B702F8"/>
    <w:rsid w:val="00B70386"/>
    <w:rsid w:val="00B705A0"/>
    <w:rsid w:val="00B70888"/>
    <w:rsid w:val="00B70CDD"/>
    <w:rsid w:val="00B70D45"/>
    <w:rsid w:val="00B716D2"/>
    <w:rsid w:val="00B7211D"/>
    <w:rsid w:val="00B72132"/>
    <w:rsid w:val="00B721B4"/>
    <w:rsid w:val="00B724BF"/>
    <w:rsid w:val="00B72DB5"/>
    <w:rsid w:val="00B733F9"/>
    <w:rsid w:val="00B7341E"/>
    <w:rsid w:val="00B739C8"/>
    <w:rsid w:val="00B73B90"/>
    <w:rsid w:val="00B741F5"/>
    <w:rsid w:val="00B74EBA"/>
    <w:rsid w:val="00B7505B"/>
    <w:rsid w:val="00B75719"/>
    <w:rsid w:val="00B7605A"/>
    <w:rsid w:val="00B76650"/>
    <w:rsid w:val="00B76AB5"/>
    <w:rsid w:val="00B76BBF"/>
    <w:rsid w:val="00B77C54"/>
    <w:rsid w:val="00B80A10"/>
    <w:rsid w:val="00B80B0C"/>
    <w:rsid w:val="00B816C6"/>
    <w:rsid w:val="00B81972"/>
    <w:rsid w:val="00B81AF5"/>
    <w:rsid w:val="00B81D1F"/>
    <w:rsid w:val="00B81F15"/>
    <w:rsid w:val="00B8319F"/>
    <w:rsid w:val="00B83BD0"/>
    <w:rsid w:val="00B83BE4"/>
    <w:rsid w:val="00B83BE5"/>
    <w:rsid w:val="00B83C0C"/>
    <w:rsid w:val="00B840CB"/>
    <w:rsid w:val="00B84478"/>
    <w:rsid w:val="00B8461F"/>
    <w:rsid w:val="00B84AE7"/>
    <w:rsid w:val="00B851A4"/>
    <w:rsid w:val="00B85266"/>
    <w:rsid w:val="00B852F8"/>
    <w:rsid w:val="00B85996"/>
    <w:rsid w:val="00B859CE"/>
    <w:rsid w:val="00B85AFB"/>
    <w:rsid w:val="00B85DE4"/>
    <w:rsid w:val="00B85F5C"/>
    <w:rsid w:val="00B86974"/>
    <w:rsid w:val="00B86981"/>
    <w:rsid w:val="00B86EEC"/>
    <w:rsid w:val="00B87923"/>
    <w:rsid w:val="00B87BEC"/>
    <w:rsid w:val="00B87EEA"/>
    <w:rsid w:val="00B901E2"/>
    <w:rsid w:val="00B9045F"/>
    <w:rsid w:val="00B9048F"/>
    <w:rsid w:val="00B907A0"/>
    <w:rsid w:val="00B90948"/>
    <w:rsid w:val="00B90F9D"/>
    <w:rsid w:val="00B910ED"/>
    <w:rsid w:val="00B91434"/>
    <w:rsid w:val="00B91688"/>
    <w:rsid w:val="00B91C15"/>
    <w:rsid w:val="00B91CFC"/>
    <w:rsid w:val="00B92468"/>
    <w:rsid w:val="00B9296E"/>
    <w:rsid w:val="00B92F89"/>
    <w:rsid w:val="00B93168"/>
    <w:rsid w:val="00B9336C"/>
    <w:rsid w:val="00B93474"/>
    <w:rsid w:val="00B93549"/>
    <w:rsid w:val="00B93C88"/>
    <w:rsid w:val="00B93F72"/>
    <w:rsid w:val="00B94518"/>
    <w:rsid w:val="00B94648"/>
    <w:rsid w:val="00B9465B"/>
    <w:rsid w:val="00B95F08"/>
    <w:rsid w:val="00B9612E"/>
    <w:rsid w:val="00B97266"/>
    <w:rsid w:val="00B97D37"/>
    <w:rsid w:val="00BA0366"/>
    <w:rsid w:val="00BA03E1"/>
    <w:rsid w:val="00BA0446"/>
    <w:rsid w:val="00BA05CF"/>
    <w:rsid w:val="00BA1554"/>
    <w:rsid w:val="00BA1696"/>
    <w:rsid w:val="00BA16B5"/>
    <w:rsid w:val="00BA1B36"/>
    <w:rsid w:val="00BA1CCD"/>
    <w:rsid w:val="00BA1DAC"/>
    <w:rsid w:val="00BA2065"/>
    <w:rsid w:val="00BA212C"/>
    <w:rsid w:val="00BA25E9"/>
    <w:rsid w:val="00BA2887"/>
    <w:rsid w:val="00BA29FD"/>
    <w:rsid w:val="00BA3490"/>
    <w:rsid w:val="00BA36D1"/>
    <w:rsid w:val="00BA3DE1"/>
    <w:rsid w:val="00BA4DC5"/>
    <w:rsid w:val="00BA52E1"/>
    <w:rsid w:val="00BA54CD"/>
    <w:rsid w:val="00BA5631"/>
    <w:rsid w:val="00BA59D9"/>
    <w:rsid w:val="00BA5EB1"/>
    <w:rsid w:val="00BA6743"/>
    <w:rsid w:val="00BA6C93"/>
    <w:rsid w:val="00BA71B4"/>
    <w:rsid w:val="00BA71C3"/>
    <w:rsid w:val="00BA7328"/>
    <w:rsid w:val="00BA74ED"/>
    <w:rsid w:val="00BA7ACC"/>
    <w:rsid w:val="00BA7ECE"/>
    <w:rsid w:val="00BA7F3D"/>
    <w:rsid w:val="00BA7F51"/>
    <w:rsid w:val="00BA7FC2"/>
    <w:rsid w:val="00BB04C9"/>
    <w:rsid w:val="00BB064B"/>
    <w:rsid w:val="00BB0DB5"/>
    <w:rsid w:val="00BB147F"/>
    <w:rsid w:val="00BB21FF"/>
    <w:rsid w:val="00BB222B"/>
    <w:rsid w:val="00BB2905"/>
    <w:rsid w:val="00BB2F4E"/>
    <w:rsid w:val="00BB2F61"/>
    <w:rsid w:val="00BB311B"/>
    <w:rsid w:val="00BB35F8"/>
    <w:rsid w:val="00BB3C5A"/>
    <w:rsid w:val="00BB4FF1"/>
    <w:rsid w:val="00BB51B8"/>
    <w:rsid w:val="00BB520A"/>
    <w:rsid w:val="00BB52E9"/>
    <w:rsid w:val="00BB57E7"/>
    <w:rsid w:val="00BB5B62"/>
    <w:rsid w:val="00BB6223"/>
    <w:rsid w:val="00BB66EB"/>
    <w:rsid w:val="00BB6CA8"/>
    <w:rsid w:val="00BB6CB2"/>
    <w:rsid w:val="00BB7207"/>
    <w:rsid w:val="00BB7F1F"/>
    <w:rsid w:val="00BB7F69"/>
    <w:rsid w:val="00BB7FC7"/>
    <w:rsid w:val="00BC0588"/>
    <w:rsid w:val="00BC05EB"/>
    <w:rsid w:val="00BC0A34"/>
    <w:rsid w:val="00BC0E84"/>
    <w:rsid w:val="00BC0F32"/>
    <w:rsid w:val="00BC0F43"/>
    <w:rsid w:val="00BC1133"/>
    <w:rsid w:val="00BC1307"/>
    <w:rsid w:val="00BC1C25"/>
    <w:rsid w:val="00BC1CB6"/>
    <w:rsid w:val="00BC2021"/>
    <w:rsid w:val="00BC2463"/>
    <w:rsid w:val="00BC2C1C"/>
    <w:rsid w:val="00BC335B"/>
    <w:rsid w:val="00BC3494"/>
    <w:rsid w:val="00BC36AC"/>
    <w:rsid w:val="00BC3C24"/>
    <w:rsid w:val="00BC3C47"/>
    <w:rsid w:val="00BC417B"/>
    <w:rsid w:val="00BC4357"/>
    <w:rsid w:val="00BC44FF"/>
    <w:rsid w:val="00BC45E0"/>
    <w:rsid w:val="00BC4F50"/>
    <w:rsid w:val="00BC4F5A"/>
    <w:rsid w:val="00BC5504"/>
    <w:rsid w:val="00BC5A68"/>
    <w:rsid w:val="00BC5C02"/>
    <w:rsid w:val="00BC5F61"/>
    <w:rsid w:val="00BC6077"/>
    <w:rsid w:val="00BC62C2"/>
    <w:rsid w:val="00BC64C8"/>
    <w:rsid w:val="00BC6E80"/>
    <w:rsid w:val="00BC771B"/>
    <w:rsid w:val="00BD094E"/>
    <w:rsid w:val="00BD101F"/>
    <w:rsid w:val="00BD1506"/>
    <w:rsid w:val="00BD150A"/>
    <w:rsid w:val="00BD1E34"/>
    <w:rsid w:val="00BD206D"/>
    <w:rsid w:val="00BD2496"/>
    <w:rsid w:val="00BD252B"/>
    <w:rsid w:val="00BD292A"/>
    <w:rsid w:val="00BD2AE1"/>
    <w:rsid w:val="00BD324A"/>
    <w:rsid w:val="00BD327E"/>
    <w:rsid w:val="00BD43C4"/>
    <w:rsid w:val="00BD48E7"/>
    <w:rsid w:val="00BD5283"/>
    <w:rsid w:val="00BD57C4"/>
    <w:rsid w:val="00BD72A4"/>
    <w:rsid w:val="00BD747F"/>
    <w:rsid w:val="00BE002B"/>
    <w:rsid w:val="00BE0103"/>
    <w:rsid w:val="00BE0504"/>
    <w:rsid w:val="00BE0693"/>
    <w:rsid w:val="00BE079A"/>
    <w:rsid w:val="00BE08EB"/>
    <w:rsid w:val="00BE0D59"/>
    <w:rsid w:val="00BE122E"/>
    <w:rsid w:val="00BE1306"/>
    <w:rsid w:val="00BE1506"/>
    <w:rsid w:val="00BE1650"/>
    <w:rsid w:val="00BE1BD3"/>
    <w:rsid w:val="00BE32C2"/>
    <w:rsid w:val="00BE39EC"/>
    <w:rsid w:val="00BE3A2E"/>
    <w:rsid w:val="00BE3CBB"/>
    <w:rsid w:val="00BE3FED"/>
    <w:rsid w:val="00BE45AB"/>
    <w:rsid w:val="00BE46A9"/>
    <w:rsid w:val="00BE4BD2"/>
    <w:rsid w:val="00BE4DB7"/>
    <w:rsid w:val="00BE535D"/>
    <w:rsid w:val="00BE5E17"/>
    <w:rsid w:val="00BE6A75"/>
    <w:rsid w:val="00BE6D5F"/>
    <w:rsid w:val="00BE6FFF"/>
    <w:rsid w:val="00BE798C"/>
    <w:rsid w:val="00BE7BA1"/>
    <w:rsid w:val="00BE7EF9"/>
    <w:rsid w:val="00BF04DD"/>
    <w:rsid w:val="00BF068D"/>
    <w:rsid w:val="00BF0A25"/>
    <w:rsid w:val="00BF0B58"/>
    <w:rsid w:val="00BF0D29"/>
    <w:rsid w:val="00BF0F3A"/>
    <w:rsid w:val="00BF159A"/>
    <w:rsid w:val="00BF1EA1"/>
    <w:rsid w:val="00BF2D13"/>
    <w:rsid w:val="00BF3054"/>
    <w:rsid w:val="00BF35B9"/>
    <w:rsid w:val="00BF436D"/>
    <w:rsid w:val="00BF4651"/>
    <w:rsid w:val="00BF46E4"/>
    <w:rsid w:val="00BF48E5"/>
    <w:rsid w:val="00BF4CAC"/>
    <w:rsid w:val="00BF4E3A"/>
    <w:rsid w:val="00BF5313"/>
    <w:rsid w:val="00BF5394"/>
    <w:rsid w:val="00BF5495"/>
    <w:rsid w:val="00BF5FE4"/>
    <w:rsid w:val="00BF6A59"/>
    <w:rsid w:val="00BF6DB5"/>
    <w:rsid w:val="00BF6EDF"/>
    <w:rsid w:val="00BF6EF1"/>
    <w:rsid w:val="00BF6F3C"/>
    <w:rsid w:val="00BF70F1"/>
    <w:rsid w:val="00BF7721"/>
    <w:rsid w:val="00BF7962"/>
    <w:rsid w:val="00BF7F6C"/>
    <w:rsid w:val="00C00163"/>
    <w:rsid w:val="00C00A83"/>
    <w:rsid w:val="00C01542"/>
    <w:rsid w:val="00C01B3B"/>
    <w:rsid w:val="00C02A2D"/>
    <w:rsid w:val="00C03678"/>
    <w:rsid w:val="00C03773"/>
    <w:rsid w:val="00C040DA"/>
    <w:rsid w:val="00C043CD"/>
    <w:rsid w:val="00C04637"/>
    <w:rsid w:val="00C049E5"/>
    <w:rsid w:val="00C04DC1"/>
    <w:rsid w:val="00C054C3"/>
    <w:rsid w:val="00C05918"/>
    <w:rsid w:val="00C05961"/>
    <w:rsid w:val="00C0613C"/>
    <w:rsid w:val="00C0630E"/>
    <w:rsid w:val="00C064AB"/>
    <w:rsid w:val="00C06791"/>
    <w:rsid w:val="00C06CA2"/>
    <w:rsid w:val="00C06CED"/>
    <w:rsid w:val="00C070F5"/>
    <w:rsid w:val="00C074D1"/>
    <w:rsid w:val="00C078AF"/>
    <w:rsid w:val="00C07D25"/>
    <w:rsid w:val="00C07D64"/>
    <w:rsid w:val="00C07DE1"/>
    <w:rsid w:val="00C07DFB"/>
    <w:rsid w:val="00C07E34"/>
    <w:rsid w:val="00C104B4"/>
    <w:rsid w:val="00C10AB8"/>
    <w:rsid w:val="00C10B41"/>
    <w:rsid w:val="00C10EF6"/>
    <w:rsid w:val="00C10F63"/>
    <w:rsid w:val="00C10F67"/>
    <w:rsid w:val="00C11099"/>
    <w:rsid w:val="00C11252"/>
    <w:rsid w:val="00C11BAF"/>
    <w:rsid w:val="00C12BF5"/>
    <w:rsid w:val="00C1307E"/>
    <w:rsid w:val="00C133CE"/>
    <w:rsid w:val="00C13499"/>
    <w:rsid w:val="00C136D4"/>
    <w:rsid w:val="00C14195"/>
    <w:rsid w:val="00C14B74"/>
    <w:rsid w:val="00C15AC1"/>
    <w:rsid w:val="00C16067"/>
    <w:rsid w:val="00C164AF"/>
    <w:rsid w:val="00C166FD"/>
    <w:rsid w:val="00C167B8"/>
    <w:rsid w:val="00C16813"/>
    <w:rsid w:val="00C172D5"/>
    <w:rsid w:val="00C173C0"/>
    <w:rsid w:val="00C175CC"/>
    <w:rsid w:val="00C176D7"/>
    <w:rsid w:val="00C17F6C"/>
    <w:rsid w:val="00C2032B"/>
    <w:rsid w:val="00C206EF"/>
    <w:rsid w:val="00C2080D"/>
    <w:rsid w:val="00C20CCF"/>
    <w:rsid w:val="00C20F81"/>
    <w:rsid w:val="00C21005"/>
    <w:rsid w:val="00C21113"/>
    <w:rsid w:val="00C21237"/>
    <w:rsid w:val="00C21A39"/>
    <w:rsid w:val="00C21C97"/>
    <w:rsid w:val="00C222B8"/>
    <w:rsid w:val="00C222FC"/>
    <w:rsid w:val="00C22428"/>
    <w:rsid w:val="00C22542"/>
    <w:rsid w:val="00C22A78"/>
    <w:rsid w:val="00C22CEE"/>
    <w:rsid w:val="00C231DF"/>
    <w:rsid w:val="00C239BC"/>
    <w:rsid w:val="00C23B13"/>
    <w:rsid w:val="00C2437B"/>
    <w:rsid w:val="00C24406"/>
    <w:rsid w:val="00C247CC"/>
    <w:rsid w:val="00C24A8B"/>
    <w:rsid w:val="00C24B10"/>
    <w:rsid w:val="00C25440"/>
    <w:rsid w:val="00C254ED"/>
    <w:rsid w:val="00C256A8"/>
    <w:rsid w:val="00C25F5E"/>
    <w:rsid w:val="00C26193"/>
    <w:rsid w:val="00C262A1"/>
    <w:rsid w:val="00C26318"/>
    <w:rsid w:val="00C26CEA"/>
    <w:rsid w:val="00C27147"/>
    <w:rsid w:val="00C2726C"/>
    <w:rsid w:val="00C2775D"/>
    <w:rsid w:val="00C2796B"/>
    <w:rsid w:val="00C30777"/>
    <w:rsid w:val="00C309ED"/>
    <w:rsid w:val="00C30AA5"/>
    <w:rsid w:val="00C30B46"/>
    <w:rsid w:val="00C31051"/>
    <w:rsid w:val="00C321C0"/>
    <w:rsid w:val="00C334C6"/>
    <w:rsid w:val="00C33580"/>
    <w:rsid w:val="00C335FE"/>
    <w:rsid w:val="00C33849"/>
    <w:rsid w:val="00C33AB3"/>
    <w:rsid w:val="00C33BA6"/>
    <w:rsid w:val="00C340CA"/>
    <w:rsid w:val="00C34642"/>
    <w:rsid w:val="00C34CF0"/>
    <w:rsid w:val="00C34D1A"/>
    <w:rsid w:val="00C35155"/>
    <w:rsid w:val="00C35290"/>
    <w:rsid w:val="00C35806"/>
    <w:rsid w:val="00C358D8"/>
    <w:rsid w:val="00C369B4"/>
    <w:rsid w:val="00C37666"/>
    <w:rsid w:val="00C3766C"/>
    <w:rsid w:val="00C40441"/>
    <w:rsid w:val="00C40547"/>
    <w:rsid w:val="00C40671"/>
    <w:rsid w:val="00C407B3"/>
    <w:rsid w:val="00C40F67"/>
    <w:rsid w:val="00C40F8E"/>
    <w:rsid w:val="00C417AF"/>
    <w:rsid w:val="00C41FFA"/>
    <w:rsid w:val="00C4236D"/>
    <w:rsid w:val="00C42A0D"/>
    <w:rsid w:val="00C432E0"/>
    <w:rsid w:val="00C4430B"/>
    <w:rsid w:val="00C44667"/>
    <w:rsid w:val="00C44B40"/>
    <w:rsid w:val="00C44BA7"/>
    <w:rsid w:val="00C450B2"/>
    <w:rsid w:val="00C467B4"/>
    <w:rsid w:val="00C468A1"/>
    <w:rsid w:val="00C46E99"/>
    <w:rsid w:val="00C471AC"/>
    <w:rsid w:val="00C471F4"/>
    <w:rsid w:val="00C472E4"/>
    <w:rsid w:val="00C505AA"/>
    <w:rsid w:val="00C50762"/>
    <w:rsid w:val="00C50774"/>
    <w:rsid w:val="00C50FDB"/>
    <w:rsid w:val="00C51942"/>
    <w:rsid w:val="00C51E6A"/>
    <w:rsid w:val="00C52026"/>
    <w:rsid w:val="00C52A13"/>
    <w:rsid w:val="00C52CC5"/>
    <w:rsid w:val="00C5300C"/>
    <w:rsid w:val="00C53136"/>
    <w:rsid w:val="00C5354A"/>
    <w:rsid w:val="00C54172"/>
    <w:rsid w:val="00C5418B"/>
    <w:rsid w:val="00C54468"/>
    <w:rsid w:val="00C54587"/>
    <w:rsid w:val="00C5484B"/>
    <w:rsid w:val="00C54B89"/>
    <w:rsid w:val="00C55437"/>
    <w:rsid w:val="00C55933"/>
    <w:rsid w:val="00C562A5"/>
    <w:rsid w:val="00C56EB1"/>
    <w:rsid w:val="00C570F3"/>
    <w:rsid w:val="00C5749A"/>
    <w:rsid w:val="00C5785F"/>
    <w:rsid w:val="00C601AE"/>
    <w:rsid w:val="00C603EB"/>
    <w:rsid w:val="00C60444"/>
    <w:rsid w:val="00C61219"/>
    <w:rsid w:val="00C6176D"/>
    <w:rsid w:val="00C62095"/>
    <w:rsid w:val="00C62250"/>
    <w:rsid w:val="00C62540"/>
    <w:rsid w:val="00C627F1"/>
    <w:rsid w:val="00C629FC"/>
    <w:rsid w:val="00C63060"/>
    <w:rsid w:val="00C64D9B"/>
    <w:rsid w:val="00C65704"/>
    <w:rsid w:val="00C65987"/>
    <w:rsid w:val="00C65D69"/>
    <w:rsid w:val="00C6648E"/>
    <w:rsid w:val="00C667A0"/>
    <w:rsid w:val="00C667A8"/>
    <w:rsid w:val="00C66A37"/>
    <w:rsid w:val="00C66BD3"/>
    <w:rsid w:val="00C672B7"/>
    <w:rsid w:val="00C6744F"/>
    <w:rsid w:val="00C675A7"/>
    <w:rsid w:val="00C6786D"/>
    <w:rsid w:val="00C6789D"/>
    <w:rsid w:val="00C678F4"/>
    <w:rsid w:val="00C67EC8"/>
    <w:rsid w:val="00C67EE1"/>
    <w:rsid w:val="00C7062A"/>
    <w:rsid w:val="00C70C6E"/>
    <w:rsid w:val="00C70DF3"/>
    <w:rsid w:val="00C716E0"/>
    <w:rsid w:val="00C71B9E"/>
    <w:rsid w:val="00C72626"/>
    <w:rsid w:val="00C73652"/>
    <w:rsid w:val="00C738AC"/>
    <w:rsid w:val="00C73C74"/>
    <w:rsid w:val="00C74CAE"/>
    <w:rsid w:val="00C752F0"/>
    <w:rsid w:val="00C75664"/>
    <w:rsid w:val="00C7667A"/>
    <w:rsid w:val="00C7694E"/>
    <w:rsid w:val="00C76C90"/>
    <w:rsid w:val="00C77238"/>
    <w:rsid w:val="00C772AD"/>
    <w:rsid w:val="00C7775E"/>
    <w:rsid w:val="00C777D1"/>
    <w:rsid w:val="00C77AA4"/>
    <w:rsid w:val="00C77EA5"/>
    <w:rsid w:val="00C77F53"/>
    <w:rsid w:val="00C802E1"/>
    <w:rsid w:val="00C80D5D"/>
    <w:rsid w:val="00C80FB7"/>
    <w:rsid w:val="00C80FD6"/>
    <w:rsid w:val="00C81391"/>
    <w:rsid w:val="00C815ED"/>
    <w:rsid w:val="00C81D4F"/>
    <w:rsid w:val="00C8202F"/>
    <w:rsid w:val="00C82298"/>
    <w:rsid w:val="00C82365"/>
    <w:rsid w:val="00C82375"/>
    <w:rsid w:val="00C82411"/>
    <w:rsid w:val="00C829B4"/>
    <w:rsid w:val="00C82B10"/>
    <w:rsid w:val="00C82ED1"/>
    <w:rsid w:val="00C83A5E"/>
    <w:rsid w:val="00C83F23"/>
    <w:rsid w:val="00C844EC"/>
    <w:rsid w:val="00C845D8"/>
    <w:rsid w:val="00C84A20"/>
    <w:rsid w:val="00C84D79"/>
    <w:rsid w:val="00C84EB3"/>
    <w:rsid w:val="00C84F32"/>
    <w:rsid w:val="00C85133"/>
    <w:rsid w:val="00C85B4E"/>
    <w:rsid w:val="00C8630D"/>
    <w:rsid w:val="00C8645F"/>
    <w:rsid w:val="00C86ED5"/>
    <w:rsid w:val="00C871CC"/>
    <w:rsid w:val="00C87289"/>
    <w:rsid w:val="00C878F7"/>
    <w:rsid w:val="00C87F57"/>
    <w:rsid w:val="00C909CB"/>
    <w:rsid w:val="00C90AE3"/>
    <w:rsid w:val="00C90BDA"/>
    <w:rsid w:val="00C9111E"/>
    <w:rsid w:val="00C91352"/>
    <w:rsid w:val="00C914B1"/>
    <w:rsid w:val="00C91748"/>
    <w:rsid w:val="00C91C08"/>
    <w:rsid w:val="00C91ED8"/>
    <w:rsid w:val="00C92A4B"/>
    <w:rsid w:val="00C92C29"/>
    <w:rsid w:val="00C9318B"/>
    <w:rsid w:val="00C9347E"/>
    <w:rsid w:val="00C939A7"/>
    <w:rsid w:val="00C93D39"/>
    <w:rsid w:val="00C94708"/>
    <w:rsid w:val="00C956BA"/>
    <w:rsid w:val="00C95E81"/>
    <w:rsid w:val="00C96011"/>
    <w:rsid w:val="00C96225"/>
    <w:rsid w:val="00C96467"/>
    <w:rsid w:val="00C9650C"/>
    <w:rsid w:val="00C9685E"/>
    <w:rsid w:val="00C96E9D"/>
    <w:rsid w:val="00C9702B"/>
    <w:rsid w:val="00C9734B"/>
    <w:rsid w:val="00C976BF"/>
    <w:rsid w:val="00C978B7"/>
    <w:rsid w:val="00C9798B"/>
    <w:rsid w:val="00CA01CD"/>
    <w:rsid w:val="00CA1347"/>
    <w:rsid w:val="00CA1430"/>
    <w:rsid w:val="00CA1DAF"/>
    <w:rsid w:val="00CA1DB3"/>
    <w:rsid w:val="00CA1F09"/>
    <w:rsid w:val="00CA280C"/>
    <w:rsid w:val="00CA2DD2"/>
    <w:rsid w:val="00CA33F3"/>
    <w:rsid w:val="00CA3C1B"/>
    <w:rsid w:val="00CA5182"/>
    <w:rsid w:val="00CA54AF"/>
    <w:rsid w:val="00CA5500"/>
    <w:rsid w:val="00CA67F6"/>
    <w:rsid w:val="00CA6F4F"/>
    <w:rsid w:val="00CA71CB"/>
    <w:rsid w:val="00CA74D0"/>
    <w:rsid w:val="00CB061F"/>
    <w:rsid w:val="00CB081F"/>
    <w:rsid w:val="00CB0DDA"/>
    <w:rsid w:val="00CB0DF3"/>
    <w:rsid w:val="00CB1925"/>
    <w:rsid w:val="00CB19DC"/>
    <w:rsid w:val="00CB1D8D"/>
    <w:rsid w:val="00CB1F28"/>
    <w:rsid w:val="00CB1F3E"/>
    <w:rsid w:val="00CB2295"/>
    <w:rsid w:val="00CB27EC"/>
    <w:rsid w:val="00CB28F6"/>
    <w:rsid w:val="00CB3A02"/>
    <w:rsid w:val="00CB3DFB"/>
    <w:rsid w:val="00CB4675"/>
    <w:rsid w:val="00CB48E9"/>
    <w:rsid w:val="00CB4A3E"/>
    <w:rsid w:val="00CB4CE4"/>
    <w:rsid w:val="00CB4D2A"/>
    <w:rsid w:val="00CB4FA3"/>
    <w:rsid w:val="00CB50F4"/>
    <w:rsid w:val="00CB51FE"/>
    <w:rsid w:val="00CB56CC"/>
    <w:rsid w:val="00CB60DA"/>
    <w:rsid w:val="00CB7270"/>
    <w:rsid w:val="00CB77A1"/>
    <w:rsid w:val="00CB7885"/>
    <w:rsid w:val="00CB79DB"/>
    <w:rsid w:val="00CB7B34"/>
    <w:rsid w:val="00CB7C01"/>
    <w:rsid w:val="00CB7C48"/>
    <w:rsid w:val="00CB7FBF"/>
    <w:rsid w:val="00CC027C"/>
    <w:rsid w:val="00CC0A01"/>
    <w:rsid w:val="00CC0FA3"/>
    <w:rsid w:val="00CC1155"/>
    <w:rsid w:val="00CC146D"/>
    <w:rsid w:val="00CC1481"/>
    <w:rsid w:val="00CC166C"/>
    <w:rsid w:val="00CC1AB1"/>
    <w:rsid w:val="00CC24AD"/>
    <w:rsid w:val="00CC272D"/>
    <w:rsid w:val="00CC2897"/>
    <w:rsid w:val="00CC2F55"/>
    <w:rsid w:val="00CC3C59"/>
    <w:rsid w:val="00CC433B"/>
    <w:rsid w:val="00CC4D11"/>
    <w:rsid w:val="00CC50E5"/>
    <w:rsid w:val="00CC6B7C"/>
    <w:rsid w:val="00CC6F0C"/>
    <w:rsid w:val="00CC712E"/>
    <w:rsid w:val="00CC71FC"/>
    <w:rsid w:val="00CC7B5F"/>
    <w:rsid w:val="00CC7FBA"/>
    <w:rsid w:val="00CD0C5B"/>
    <w:rsid w:val="00CD0C96"/>
    <w:rsid w:val="00CD0E3C"/>
    <w:rsid w:val="00CD1380"/>
    <w:rsid w:val="00CD26E5"/>
    <w:rsid w:val="00CD2C64"/>
    <w:rsid w:val="00CD34D8"/>
    <w:rsid w:val="00CD3674"/>
    <w:rsid w:val="00CD40CD"/>
    <w:rsid w:val="00CD4130"/>
    <w:rsid w:val="00CD422B"/>
    <w:rsid w:val="00CD451F"/>
    <w:rsid w:val="00CD464A"/>
    <w:rsid w:val="00CD4BD9"/>
    <w:rsid w:val="00CD520B"/>
    <w:rsid w:val="00CD5242"/>
    <w:rsid w:val="00CD56D1"/>
    <w:rsid w:val="00CD5B60"/>
    <w:rsid w:val="00CD7112"/>
    <w:rsid w:val="00CD72AC"/>
    <w:rsid w:val="00CD7627"/>
    <w:rsid w:val="00CD790D"/>
    <w:rsid w:val="00CE0109"/>
    <w:rsid w:val="00CE20E6"/>
    <w:rsid w:val="00CE226D"/>
    <w:rsid w:val="00CE2494"/>
    <w:rsid w:val="00CE33A2"/>
    <w:rsid w:val="00CE3A20"/>
    <w:rsid w:val="00CE3D42"/>
    <w:rsid w:val="00CE3E73"/>
    <w:rsid w:val="00CE5AC5"/>
    <w:rsid w:val="00CE5BD0"/>
    <w:rsid w:val="00CE5BE7"/>
    <w:rsid w:val="00CE5DA0"/>
    <w:rsid w:val="00CE613F"/>
    <w:rsid w:val="00CE63B9"/>
    <w:rsid w:val="00CE7199"/>
    <w:rsid w:val="00CE71FF"/>
    <w:rsid w:val="00CE733E"/>
    <w:rsid w:val="00CE75FE"/>
    <w:rsid w:val="00CE7D7B"/>
    <w:rsid w:val="00CE7E64"/>
    <w:rsid w:val="00CF0273"/>
    <w:rsid w:val="00CF0333"/>
    <w:rsid w:val="00CF083C"/>
    <w:rsid w:val="00CF089B"/>
    <w:rsid w:val="00CF0DB2"/>
    <w:rsid w:val="00CF1F9F"/>
    <w:rsid w:val="00CF215B"/>
    <w:rsid w:val="00CF25D3"/>
    <w:rsid w:val="00CF2662"/>
    <w:rsid w:val="00CF2669"/>
    <w:rsid w:val="00CF3623"/>
    <w:rsid w:val="00CF3C92"/>
    <w:rsid w:val="00CF3D87"/>
    <w:rsid w:val="00CF43A3"/>
    <w:rsid w:val="00CF491C"/>
    <w:rsid w:val="00CF57F2"/>
    <w:rsid w:val="00CF5E52"/>
    <w:rsid w:val="00CF6584"/>
    <w:rsid w:val="00CF7326"/>
    <w:rsid w:val="00CF7613"/>
    <w:rsid w:val="00CF77A2"/>
    <w:rsid w:val="00CF7801"/>
    <w:rsid w:val="00CF791D"/>
    <w:rsid w:val="00CF7EAE"/>
    <w:rsid w:val="00D004A1"/>
    <w:rsid w:val="00D00E62"/>
    <w:rsid w:val="00D010BB"/>
    <w:rsid w:val="00D01621"/>
    <w:rsid w:val="00D01A78"/>
    <w:rsid w:val="00D01CB6"/>
    <w:rsid w:val="00D01F58"/>
    <w:rsid w:val="00D02042"/>
    <w:rsid w:val="00D022E6"/>
    <w:rsid w:val="00D030C5"/>
    <w:rsid w:val="00D03F17"/>
    <w:rsid w:val="00D041D5"/>
    <w:rsid w:val="00D04DEB"/>
    <w:rsid w:val="00D0517E"/>
    <w:rsid w:val="00D0541E"/>
    <w:rsid w:val="00D0599D"/>
    <w:rsid w:val="00D05EF1"/>
    <w:rsid w:val="00D065CA"/>
    <w:rsid w:val="00D071B0"/>
    <w:rsid w:val="00D073E2"/>
    <w:rsid w:val="00D0766E"/>
    <w:rsid w:val="00D07825"/>
    <w:rsid w:val="00D07E5B"/>
    <w:rsid w:val="00D105C3"/>
    <w:rsid w:val="00D10D87"/>
    <w:rsid w:val="00D1109F"/>
    <w:rsid w:val="00D1129B"/>
    <w:rsid w:val="00D11372"/>
    <w:rsid w:val="00D11472"/>
    <w:rsid w:val="00D1184F"/>
    <w:rsid w:val="00D11D5A"/>
    <w:rsid w:val="00D122F8"/>
    <w:rsid w:val="00D13662"/>
    <w:rsid w:val="00D13C47"/>
    <w:rsid w:val="00D13F57"/>
    <w:rsid w:val="00D14644"/>
    <w:rsid w:val="00D14CCC"/>
    <w:rsid w:val="00D14D6C"/>
    <w:rsid w:val="00D15419"/>
    <w:rsid w:val="00D155B5"/>
    <w:rsid w:val="00D15E31"/>
    <w:rsid w:val="00D15EB7"/>
    <w:rsid w:val="00D165FE"/>
    <w:rsid w:val="00D16700"/>
    <w:rsid w:val="00D16C28"/>
    <w:rsid w:val="00D17206"/>
    <w:rsid w:val="00D173CF"/>
    <w:rsid w:val="00D176D0"/>
    <w:rsid w:val="00D1775C"/>
    <w:rsid w:val="00D17C55"/>
    <w:rsid w:val="00D207E9"/>
    <w:rsid w:val="00D211DF"/>
    <w:rsid w:val="00D22162"/>
    <w:rsid w:val="00D223F5"/>
    <w:rsid w:val="00D23090"/>
    <w:rsid w:val="00D2313F"/>
    <w:rsid w:val="00D23558"/>
    <w:rsid w:val="00D235B1"/>
    <w:rsid w:val="00D237DB"/>
    <w:rsid w:val="00D23E3A"/>
    <w:rsid w:val="00D24698"/>
    <w:rsid w:val="00D24AFF"/>
    <w:rsid w:val="00D24B84"/>
    <w:rsid w:val="00D24EED"/>
    <w:rsid w:val="00D25555"/>
    <w:rsid w:val="00D25724"/>
    <w:rsid w:val="00D25CAD"/>
    <w:rsid w:val="00D25DBC"/>
    <w:rsid w:val="00D2610B"/>
    <w:rsid w:val="00D278A3"/>
    <w:rsid w:val="00D27CED"/>
    <w:rsid w:val="00D301B4"/>
    <w:rsid w:val="00D3044B"/>
    <w:rsid w:val="00D30503"/>
    <w:rsid w:val="00D30607"/>
    <w:rsid w:val="00D3080F"/>
    <w:rsid w:val="00D30CAB"/>
    <w:rsid w:val="00D30EF7"/>
    <w:rsid w:val="00D31238"/>
    <w:rsid w:val="00D31A6F"/>
    <w:rsid w:val="00D323B6"/>
    <w:rsid w:val="00D32458"/>
    <w:rsid w:val="00D327D9"/>
    <w:rsid w:val="00D32B42"/>
    <w:rsid w:val="00D32D1B"/>
    <w:rsid w:val="00D33290"/>
    <w:rsid w:val="00D33435"/>
    <w:rsid w:val="00D33DEB"/>
    <w:rsid w:val="00D33E34"/>
    <w:rsid w:val="00D3440E"/>
    <w:rsid w:val="00D34759"/>
    <w:rsid w:val="00D34945"/>
    <w:rsid w:val="00D35160"/>
    <w:rsid w:val="00D352B8"/>
    <w:rsid w:val="00D355B9"/>
    <w:rsid w:val="00D3574B"/>
    <w:rsid w:val="00D3579D"/>
    <w:rsid w:val="00D35D4B"/>
    <w:rsid w:val="00D35D73"/>
    <w:rsid w:val="00D35EC6"/>
    <w:rsid w:val="00D361A2"/>
    <w:rsid w:val="00D361EF"/>
    <w:rsid w:val="00D37C39"/>
    <w:rsid w:val="00D37C3E"/>
    <w:rsid w:val="00D37ED6"/>
    <w:rsid w:val="00D40591"/>
    <w:rsid w:val="00D40880"/>
    <w:rsid w:val="00D40AAC"/>
    <w:rsid w:val="00D40E59"/>
    <w:rsid w:val="00D41004"/>
    <w:rsid w:val="00D4156F"/>
    <w:rsid w:val="00D41607"/>
    <w:rsid w:val="00D41F03"/>
    <w:rsid w:val="00D42940"/>
    <w:rsid w:val="00D42A98"/>
    <w:rsid w:val="00D42E9C"/>
    <w:rsid w:val="00D4305E"/>
    <w:rsid w:val="00D43B57"/>
    <w:rsid w:val="00D43BBD"/>
    <w:rsid w:val="00D44046"/>
    <w:rsid w:val="00D4413A"/>
    <w:rsid w:val="00D4468D"/>
    <w:rsid w:val="00D44A9D"/>
    <w:rsid w:val="00D44EB4"/>
    <w:rsid w:val="00D45315"/>
    <w:rsid w:val="00D45538"/>
    <w:rsid w:val="00D457FA"/>
    <w:rsid w:val="00D45837"/>
    <w:rsid w:val="00D45944"/>
    <w:rsid w:val="00D469E1"/>
    <w:rsid w:val="00D47019"/>
    <w:rsid w:val="00D4765C"/>
    <w:rsid w:val="00D479AD"/>
    <w:rsid w:val="00D47A86"/>
    <w:rsid w:val="00D47AB9"/>
    <w:rsid w:val="00D512E2"/>
    <w:rsid w:val="00D5179E"/>
    <w:rsid w:val="00D52563"/>
    <w:rsid w:val="00D5295C"/>
    <w:rsid w:val="00D5306E"/>
    <w:rsid w:val="00D533A4"/>
    <w:rsid w:val="00D536CC"/>
    <w:rsid w:val="00D536DF"/>
    <w:rsid w:val="00D5377D"/>
    <w:rsid w:val="00D537A8"/>
    <w:rsid w:val="00D53821"/>
    <w:rsid w:val="00D53C79"/>
    <w:rsid w:val="00D53E94"/>
    <w:rsid w:val="00D541E3"/>
    <w:rsid w:val="00D54347"/>
    <w:rsid w:val="00D54624"/>
    <w:rsid w:val="00D547A4"/>
    <w:rsid w:val="00D54A4A"/>
    <w:rsid w:val="00D55056"/>
    <w:rsid w:val="00D5578E"/>
    <w:rsid w:val="00D55EF1"/>
    <w:rsid w:val="00D560E8"/>
    <w:rsid w:val="00D56114"/>
    <w:rsid w:val="00D6023E"/>
    <w:rsid w:val="00D6069A"/>
    <w:rsid w:val="00D60E70"/>
    <w:rsid w:val="00D6149E"/>
    <w:rsid w:val="00D62453"/>
    <w:rsid w:val="00D62972"/>
    <w:rsid w:val="00D62D51"/>
    <w:rsid w:val="00D62DBC"/>
    <w:rsid w:val="00D62DE2"/>
    <w:rsid w:val="00D632DA"/>
    <w:rsid w:val="00D63B90"/>
    <w:rsid w:val="00D63DF6"/>
    <w:rsid w:val="00D64A2C"/>
    <w:rsid w:val="00D64DA9"/>
    <w:rsid w:val="00D65558"/>
    <w:rsid w:val="00D65A18"/>
    <w:rsid w:val="00D65BE2"/>
    <w:rsid w:val="00D65EFE"/>
    <w:rsid w:val="00D66287"/>
    <w:rsid w:val="00D6682A"/>
    <w:rsid w:val="00D6713F"/>
    <w:rsid w:val="00D67447"/>
    <w:rsid w:val="00D674E4"/>
    <w:rsid w:val="00D67535"/>
    <w:rsid w:val="00D67AFA"/>
    <w:rsid w:val="00D67E67"/>
    <w:rsid w:val="00D70948"/>
    <w:rsid w:val="00D70A53"/>
    <w:rsid w:val="00D70C91"/>
    <w:rsid w:val="00D70E72"/>
    <w:rsid w:val="00D710D0"/>
    <w:rsid w:val="00D717B3"/>
    <w:rsid w:val="00D72200"/>
    <w:rsid w:val="00D727F5"/>
    <w:rsid w:val="00D72AA2"/>
    <w:rsid w:val="00D72D78"/>
    <w:rsid w:val="00D7336E"/>
    <w:rsid w:val="00D736FF"/>
    <w:rsid w:val="00D73B34"/>
    <w:rsid w:val="00D73B9F"/>
    <w:rsid w:val="00D755C0"/>
    <w:rsid w:val="00D75AFA"/>
    <w:rsid w:val="00D75B58"/>
    <w:rsid w:val="00D75C91"/>
    <w:rsid w:val="00D75C9E"/>
    <w:rsid w:val="00D75ED0"/>
    <w:rsid w:val="00D764C8"/>
    <w:rsid w:val="00D765A3"/>
    <w:rsid w:val="00D769DD"/>
    <w:rsid w:val="00D77467"/>
    <w:rsid w:val="00D775B5"/>
    <w:rsid w:val="00D8048D"/>
    <w:rsid w:val="00D80491"/>
    <w:rsid w:val="00D808E2"/>
    <w:rsid w:val="00D80F50"/>
    <w:rsid w:val="00D81A59"/>
    <w:rsid w:val="00D81A9E"/>
    <w:rsid w:val="00D81C9A"/>
    <w:rsid w:val="00D81E45"/>
    <w:rsid w:val="00D82144"/>
    <w:rsid w:val="00D82297"/>
    <w:rsid w:val="00D837DF"/>
    <w:rsid w:val="00D83AFE"/>
    <w:rsid w:val="00D83B66"/>
    <w:rsid w:val="00D83D5B"/>
    <w:rsid w:val="00D83E7F"/>
    <w:rsid w:val="00D84795"/>
    <w:rsid w:val="00D851E5"/>
    <w:rsid w:val="00D85255"/>
    <w:rsid w:val="00D85CFB"/>
    <w:rsid w:val="00D85D33"/>
    <w:rsid w:val="00D85FAD"/>
    <w:rsid w:val="00D86A64"/>
    <w:rsid w:val="00D86A89"/>
    <w:rsid w:val="00D86C61"/>
    <w:rsid w:val="00D86C89"/>
    <w:rsid w:val="00D86E81"/>
    <w:rsid w:val="00D870C0"/>
    <w:rsid w:val="00D877D0"/>
    <w:rsid w:val="00D87A94"/>
    <w:rsid w:val="00D87BAC"/>
    <w:rsid w:val="00D87F92"/>
    <w:rsid w:val="00D9022F"/>
    <w:rsid w:val="00D9044E"/>
    <w:rsid w:val="00D9046B"/>
    <w:rsid w:val="00D91099"/>
    <w:rsid w:val="00D9128B"/>
    <w:rsid w:val="00D916B3"/>
    <w:rsid w:val="00D91826"/>
    <w:rsid w:val="00D928C6"/>
    <w:rsid w:val="00D92C7E"/>
    <w:rsid w:val="00D92D1F"/>
    <w:rsid w:val="00D92D35"/>
    <w:rsid w:val="00D92D83"/>
    <w:rsid w:val="00D92EE5"/>
    <w:rsid w:val="00D933CF"/>
    <w:rsid w:val="00D93567"/>
    <w:rsid w:val="00D936FA"/>
    <w:rsid w:val="00D939D7"/>
    <w:rsid w:val="00D940A5"/>
    <w:rsid w:val="00D9463F"/>
    <w:rsid w:val="00D9489F"/>
    <w:rsid w:val="00D956E8"/>
    <w:rsid w:val="00D9591C"/>
    <w:rsid w:val="00D9606C"/>
    <w:rsid w:val="00D968A5"/>
    <w:rsid w:val="00D9745E"/>
    <w:rsid w:val="00D975B8"/>
    <w:rsid w:val="00DA03C1"/>
    <w:rsid w:val="00DA1106"/>
    <w:rsid w:val="00DA1FAE"/>
    <w:rsid w:val="00DA266E"/>
    <w:rsid w:val="00DA2875"/>
    <w:rsid w:val="00DA2969"/>
    <w:rsid w:val="00DA34A4"/>
    <w:rsid w:val="00DA34D7"/>
    <w:rsid w:val="00DA4C89"/>
    <w:rsid w:val="00DA538C"/>
    <w:rsid w:val="00DA58C5"/>
    <w:rsid w:val="00DA58F2"/>
    <w:rsid w:val="00DA5E29"/>
    <w:rsid w:val="00DA5F7A"/>
    <w:rsid w:val="00DA658B"/>
    <w:rsid w:val="00DA6B58"/>
    <w:rsid w:val="00DA6C1A"/>
    <w:rsid w:val="00DA7313"/>
    <w:rsid w:val="00DB0167"/>
    <w:rsid w:val="00DB0297"/>
    <w:rsid w:val="00DB02F9"/>
    <w:rsid w:val="00DB04A9"/>
    <w:rsid w:val="00DB0844"/>
    <w:rsid w:val="00DB111C"/>
    <w:rsid w:val="00DB144A"/>
    <w:rsid w:val="00DB15E7"/>
    <w:rsid w:val="00DB184F"/>
    <w:rsid w:val="00DB190B"/>
    <w:rsid w:val="00DB1918"/>
    <w:rsid w:val="00DB1CCA"/>
    <w:rsid w:val="00DB1EAF"/>
    <w:rsid w:val="00DB2079"/>
    <w:rsid w:val="00DB2228"/>
    <w:rsid w:val="00DB26AA"/>
    <w:rsid w:val="00DB271C"/>
    <w:rsid w:val="00DB2C74"/>
    <w:rsid w:val="00DB325C"/>
    <w:rsid w:val="00DB32F2"/>
    <w:rsid w:val="00DB357F"/>
    <w:rsid w:val="00DB3A0A"/>
    <w:rsid w:val="00DB3F60"/>
    <w:rsid w:val="00DB492A"/>
    <w:rsid w:val="00DB5477"/>
    <w:rsid w:val="00DB5A45"/>
    <w:rsid w:val="00DB5B03"/>
    <w:rsid w:val="00DB60F0"/>
    <w:rsid w:val="00DB6E3F"/>
    <w:rsid w:val="00DB71D2"/>
    <w:rsid w:val="00DB7211"/>
    <w:rsid w:val="00DB765F"/>
    <w:rsid w:val="00DB7A48"/>
    <w:rsid w:val="00DB7B85"/>
    <w:rsid w:val="00DB7CF4"/>
    <w:rsid w:val="00DC02C9"/>
    <w:rsid w:val="00DC0869"/>
    <w:rsid w:val="00DC0875"/>
    <w:rsid w:val="00DC09BD"/>
    <w:rsid w:val="00DC0A56"/>
    <w:rsid w:val="00DC0B4C"/>
    <w:rsid w:val="00DC0CA4"/>
    <w:rsid w:val="00DC17DD"/>
    <w:rsid w:val="00DC2B6F"/>
    <w:rsid w:val="00DC2EDA"/>
    <w:rsid w:val="00DC32FE"/>
    <w:rsid w:val="00DC3B65"/>
    <w:rsid w:val="00DC3F17"/>
    <w:rsid w:val="00DC4881"/>
    <w:rsid w:val="00DC4B8A"/>
    <w:rsid w:val="00DC5002"/>
    <w:rsid w:val="00DC514C"/>
    <w:rsid w:val="00DC52DA"/>
    <w:rsid w:val="00DC5755"/>
    <w:rsid w:val="00DC5B52"/>
    <w:rsid w:val="00DC5D4E"/>
    <w:rsid w:val="00DC6D62"/>
    <w:rsid w:val="00DC6ED2"/>
    <w:rsid w:val="00DC76CB"/>
    <w:rsid w:val="00DD060F"/>
    <w:rsid w:val="00DD0628"/>
    <w:rsid w:val="00DD0C11"/>
    <w:rsid w:val="00DD128D"/>
    <w:rsid w:val="00DD19CE"/>
    <w:rsid w:val="00DD1A31"/>
    <w:rsid w:val="00DD1D5A"/>
    <w:rsid w:val="00DD1FA1"/>
    <w:rsid w:val="00DD3160"/>
    <w:rsid w:val="00DD3167"/>
    <w:rsid w:val="00DD344E"/>
    <w:rsid w:val="00DD3865"/>
    <w:rsid w:val="00DD3C25"/>
    <w:rsid w:val="00DD42E5"/>
    <w:rsid w:val="00DD435F"/>
    <w:rsid w:val="00DD4729"/>
    <w:rsid w:val="00DD4791"/>
    <w:rsid w:val="00DD488C"/>
    <w:rsid w:val="00DD4968"/>
    <w:rsid w:val="00DD4CD7"/>
    <w:rsid w:val="00DD526C"/>
    <w:rsid w:val="00DD52FF"/>
    <w:rsid w:val="00DD5629"/>
    <w:rsid w:val="00DD574D"/>
    <w:rsid w:val="00DD6CA8"/>
    <w:rsid w:val="00DD6CB3"/>
    <w:rsid w:val="00DD6DCB"/>
    <w:rsid w:val="00DD6F6E"/>
    <w:rsid w:val="00DD7B11"/>
    <w:rsid w:val="00DE044B"/>
    <w:rsid w:val="00DE152C"/>
    <w:rsid w:val="00DE197C"/>
    <w:rsid w:val="00DE20C9"/>
    <w:rsid w:val="00DE2317"/>
    <w:rsid w:val="00DE2A92"/>
    <w:rsid w:val="00DE3AA3"/>
    <w:rsid w:val="00DE3D82"/>
    <w:rsid w:val="00DE4168"/>
    <w:rsid w:val="00DE4925"/>
    <w:rsid w:val="00DE75B2"/>
    <w:rsid w:val="00DF0051"/>
    <w:rsid w:val="00DF054F"/>
    <w:rsid w:val="00DF089A"/>
    <w:rsid w:val="00DF0D25"/>
    <w:rsid w:val="00DF0F20"/>
    <w:rsid w:val="00DF17D5"/>
    <w:rsid w:val="00DF2329"/>
    <w:rsid w:val="00DF27E3"/>
    <w:rsid w:val="00DF2A2D"/>
    <w:rsid w:val="00DF2ACE"/>
    <w:rsid w:val="00DF2EBD"/>
    <w:rsid w:val="00DF3335"/>
    <w:rsid w:val="00DF3442"/>
    <w:rsid w:val="00DF3A8D"/>
    <w:rsid w:val="00DF4A78"/>
    <w:rsid w:val="00DF5081"/>
    <w:rsid w:val="00DF5584"/>
    <w:rsid w:val="00DF5602"/>
    <w:rsid w:val="00DF5AF1"/>
    <w:rsid w:val="00DF6202"/>
    <w:rsid w:val="00DF676B"/>
    <w:rsid w:val="00DF69A3"/>
    <w:rsid w:val="00DF6CC2"/>
    <w:rsid w:val="00DF7413"/>
    <w:rsid w:val="00DF7D44"/>
    <w:rsid w:val="00DF7EC1"/>
    <w:rsid w:val="00DF7F5F"/>
    <w:rsid w:val="00E00159"/>
    <w:rsid w:val="00E005A3"/>
    <w:rsid w:val="00E01062"/>
    <w:rsid w:val="00E01B0E"/>
    <w:rsid w:val="00E01CF5"/>
    <w:rsid w:val="00E01DE2"/>
    <w:rsid w:val="00E01EE9"/>
    <w:rsid w:val="00E02547"/>
    <w:rsid w:val="00E03B92"/>
    <w:rsid w:val="00E04692"/>
    <w:rsid w:val="00E0549C"/>
    <w:rsid w:val="00E0550F"/>
    <w:rsid w:val="00E05C31"/>
    <w:rsid w:val="00E065B1"/>
    <w:rsid w:val="00E06E0B"/>
    <w:rsid w:val="00E071AB"/>
    <w:rsid w:val="00E07802"/>
    <w:rsid w:val="00E106A5"/>
    <w:rsid w:val="00E112DD"/>
    <w:rsid w:val="00E11A21"/>
    <w:rsid w:val="00E11C2B"/>
    <w:rsid w:val="00E11C8D"/>
    <w:rsid w:val="00E127D0"/>
    <w:rsid w:val="00E12943"/>
    <w:rsid w:val="00E132C5"/>
    <w:rsid w:val="00E13E2A"/>
    <w:rsid w:val="00E13FF9"/>
    <w:rsid w:val="00E14454"/>
    <w:rsid w:val="00E14BB1"/>
    <w:rsid w:val="00E14E3C"/>
    <w:rsid w:val="00E14F94"/>
    <w:rsid w:val="00E156DE"/>
    <w:rsid w:val="00E15A1A"/>
    <w:rsid w:val="00E162F7"/>
    <w:rsid w:val="00E163E1"/>
    <w:rsid w:val="00E16983"/>
    <w:rsid w:val="00E170C0"/>
    <w:rsid w:val="00E1715D"/>
    <w:rsid w:val="00E173CC"/>
    <w:rsid w:val="00E177F7"/>
    <w:rsid w:val="00E20257"/>
    <w:rsid w:val="00E207F6"/>
    <w:rsid w:val="00E20A50"/>
    <w:rsid w:val="00E20B04"/>
    <w:rsid w:val="00E20C0D"/>
    <w:rsid w:val="00E21431"/>
    <w:rsid w:val="00E21522"/>
    <w:rsid w:val="00E2171B"/>
    <w:rsid w:val="00E21BC7"/>
    <w:rsid w:val="00E21D17"/>
    <w:rsid w:val="00E21F01"/>
    <w:rsid w:val="00E2201B"/>
    <w:rsid w:val="00E2354C"/>
    <w:rsid w:val="00E236D5"/>
    <w:rsid w:val="00E23907"/>
    <w:rsid w:val="00E23E7C"/>
    <w:rsid w:val="00E24371"/>
    <w:rsid w:val="00E2450C"/>
    <w:rsid w:val="00E2554C"/>
    <w:rsid w:val="00E25A34"/>
    <w:rsid w:val="00E25B34"/>
    <w:rsid w:val="00E25D23"/>
    <w:rsid w:val="00E26435"/>
    <w:rsid w:val="00E2675E"/>
    <w:rsid w:val="00E27012"/>
    <w:rsid w:val="00E27243"/>
    <w:rsid w:val="00E27BFF"/>
    <w:rsid w:val="00E30045"/>
    <w:rsid w:val="00E30185"/>
    <w:rsid w:val="00E306FD"/>
    <w:rsid w:val="00E307B0"/>
    <w:rsid w:val="00E308A7"/>
    <w:rsid w:val="00E3090B"/>
    <w:rsid w:val="00E30966"/>
    <w:rsid w:val="00E30FE1"/>
    <w:rsid w:val="00E31621"/>
    <w:rsid w:val="00E31934"/>
    <w:rsid w:val="00E329C0"/>
    <w:rsid w:val="00E33657"/>
    <w:rsid w:val="00E34019"/>
    <w:rsid w:val="00E34279"/>
    <w:rsid w:val="00E348C4"/>
    <w:rsid w:val="00E34AB1"/>
    <w:rsid w:val="00E34CA7"/>
    <w:rsid w:val="00E355C9"/>
    <w:rsid w:val="00E35ED2"/>
    <w:rsid w:val="00E35FDB"/>
    <w:rsid w:val="00E361C7"/>
    <w:rsid w:val="00E36E75"/>
    <w:rsid w:val="00E37059"/>
    <w:rsid w:val="00E400AD"/>
    <w:rsid w:val="00E40F37"/>
    <w:rsid w:val="00E41085"/>
    <w:rsid w:val="00E41148"/>
    <w:rsid w:val="00E41B68"/>
    <w:rsid w:val="00E41D55"/>
    <w:rsid w:val="00E4259A"/>
    <w:rsid w:val="00E42ACE"/>
    <w:rsid w:val="00E4326E"/>
    <w:rsid w:val="00E435B7"/>
    <w:rsid w:val="00E44395"/>
    <w:rsid w:val="00E446E6"/>
    <w:rsid w:val="00E447F8"/>
    <w:rsid w:val="00E449AB"/>
    <w:rsid w:val="00E452C4"/>
    <w:rsid w:val="00E454FD"/>
    <w:rsid w:val="00E45770"/>
    <w:rsid w:val="00E457A3"/>
    <w:rsid w:val="00E457BE"/>
    <w:rsid w:val="00E45C2C"/>
    <w:rsid w:val="00E45E07"/>
    <w:rsid w:val="00E45EB5"/>
    <w:rsid w:val="00E463A4"/>
    <w:rsid w:val="00E46600"/>
    <w:rsid w:val="00E47303"/>
    <w:rsid w:val="00E474BD"/>
    <w:rsid w:val="00E47542"/>
    <w:rsid w:val="00E5024E"/>
    <w:rsid w:val="00E50559"/>
    <w:rsid w:val="00E5098E"/>
    <w:rsid w:val="00E50CB3"/>
    <w:rsid w:val="00E51F41"/>
    <w:rsid w:val="00E526B5"/>
    <w:rsid w:val="00E52E93"/>
    <w:rsid w:val="00E536A3"/>
    <w:rsid w:val="00E5395D"/>
    <w:rsid w:val="00E540EC"/>
    <w:rsid w:val="00E5445B"/>
    <w:rsid w:val="00E54D9A"/>
    <w:rsid w:val="00E55135"/>
    <w:rsid w:val="00E554BC"/>
    <w:rsid w:val="00E55600"/>
    <w:rsid w:val="00E55686"/>
    <w:rsid w:val="00E55A4B"/>
    <w:rsid w:val="00E55B10"/>
    <w:rsid w:val="00E55DB5"/>
    <w:rsid w:val="00E55DB6"/>
    <w:rsid w:val="00E560AA"/>
    <w:rsid w:val="00E564AA"/>
    <w:rsid w:val="00E56645"/>
    <w:rsid w:val="00E602E1"/>
    <w:rsid w:val="00E61AF7"/>
    <w:rsid w:val="00E623F3"/>
    <w:rsid w:val="00E6269A"/>
    <w:rsid w:val="00E6269B"/>
    <w:rsid w:val="00E62A5D"/>
    <w:rsid w:val="00E63079"/>
    <w:rsid w:val="00E63264"/>
    <w:rsid w:val="00E632BB"/>
    <w:rsid w:val="00E63848"/>
    <w:rsid w:val="00E63F8D"/>
    <w:rsid w:val="00E640C5"/>
    <w:rsid w:val="00E643BE"/>
    <w:rsid w:val="00E64404"/>
    <w:rsid w:val="00E6444B"/>
    <w:rsid w:val="00E64935"/>
    <w:rsid w:val="00E64DD1"/>
    <w:rsid w:val="00E64EE7"/>
    <w:rsid w:val="00E64FC4"/>
    <w:rsid w:val="00E654EA"/>
    <w:rsid w:val="00E65C6F"/>
    <w:rsid w:val="00E665FC"/>
    <w:rsid w:val="00E6767D"/>
    <w:rsid w:val="00E67EB3"/>
    <w:rsid w:val="00E67F30"/>
    <w:rsid w:val="00E67FE8"/>
    <w:rsid w:val="00E703DC"/>
    <w:rsid w:val="00E709D0"/>
    <w:rsid w:val="00E71CD6"/>
    <w:rsid w:val="00E71E5A"/>
    <w:rsid w:val="00E71EF3"/>
    <w:rsid w:val="00E721D9"/>
    <w:rsid w:val="00E722FC"/>
    <w:rsid w:val="00E727B7"/>
    <w:rsid w:val="00E72DBF"/>
    <w:rsid w:val="00E72E84"/>
    <w:rsid w:val="00E72F98"/>
    <w:rsid w:val="00E730D6"/>
    <w:rsid w:val="00E73CCA"/>
    <w:rsid w:val="00E74220"/>
    <w:rsid w:val="00E746C0"/>
    <w:rsid w:val="00E74754"/>
    <w:rsid w:val="00E74EC5"/>
    <w:rsid w:val="00E74F28"/>
    <w:rsid w:val="00E74FE0"/>
    <w:rsid w:val="00E7526D"/>
    <w:rsid w:val="00E75C39"/>
    <w:rsid w:val="00E762EC"/>
    <w:rsid w:val="00E773B3"/>
    <w:rsid w:val="00E77CB3"/>
    <w:rsid w:val="00E8020B"/>
    <w:rsid w:val="00E804F6"/>
    <w:rsid w:val="00E80DCC"/>
    <w:rsid w:val="00E81A49"/>
    <w:rsid w:val="00E8206A"/>
    <w:rsid w:val="00E82205"/>
    <w:rsid w:val="00E829E4"/>
    <w:rsid w:val="00E82A20"/>
    <w:rsid w:val="00E82A4F"/>
    <w:rsid w:val="00E82C32"/>
    <w:rsid w:val="00E82C84"/>
    <w:rsid w:val="00E82DB5"/>
    <w:rsid w:val="00E82EA7"/>
    <w:rsid w:val="00E83665"/>
    <w:rsid w:val="00E836D4"/>
    <w:rsid w:val="00E83BA5"/>
    <w:rsid w:val="00E83F3C"/>
    <w:rsid w:val="00E849C8"/>
    <w:rsid w:val="00E84B29"/>
    <w:rsid w:val="00E84C14"/>
    <w:rsid w:val="00E852E7"/>
    <w:rsid w:val="00E85305"/>
    <w:rsid w:val="00E85B19"/>
    <w:rsid w:val="00E861DD"/>
    <w:rsid w:val="00E86A0F"/>
    <w:rsid w:val="00E86AA9"/>
    <w:rsid w:val="00E86CDD"/>
    <w:rsid w:val="00E876D3"/>
    <w:rsid w:val="00E87E5B"/>
    <w:rsid w:val="00E9050B"/>
    <w:rsid w:val="00E90B93"/>
    <w:rsid w:val="00E90D82"/>
    <w:rsid w:val="00E91265"/>
    <w:rsid w:val="00E92775"/>
    <w:rsid w:val="00E92C09"/>
    <w:rsid w:val="00E92E32"/>
    <w:rsid w:val="00E93C29"/>
    <w:rsid w:val="00E93CAC"/>
    <w:rsid w:val="00E93D82"/>
    <w:rsid w:val="00E9417A"/>
    <w:rsid w:val="00E94772"/>
    <w:rsid w:val="00E94F00"/>
    <w:rsid w:val="00E95038"/>
    <w:rsid w:val="00E953A5"/>
    <w:rsid w:val="00E956F3"/>
    <w:rsid w:val="00E959A8"/>
    <w:rsid w:val="00E95A76"/>
    <w:rsid w:val="00E95D01"/>
    <w:rsid w:val="00E95E40"/>
    <w:rsid w:val="00E961FF"/>
    <w:rsid w:val="00E967EF"/>
    <w:rsid w:val="00E97A11"/>
    <w:rsid w:val="00E97BFF"/>
    <w:rsid w:val="00EA01E5"/>
    <w:rsid w:val="00EA0B4C"/>
    <w:rsid w:val="00EA0E63"/>
    <w:rsid w:val="00EA0EDE"/>
    <w:rsid w:val="00EA0F4F"/>
    <w:rsid w:val="00EA1079"/>
    <w:rsid w:val="00EA112D"/>
    <w:rsid w:val="00EA137C"/>
    <w:rsid w:val="00EA1538"/>
    <w:rsid w:val="00EA1A8B"/>
    <w:rsid w:val="00EA1B01"/>
    <w:rsid w:val="00EA1DF9"/>
    <w:rsid w:val="00EA1F5A"/>
    <w:rsid w:val="00EA24B9"/>
    <w:rsid w:val="00EA261D"/>
    <w:rsid w:val="00EA319E"/>
    <w:rsid w:val="00EA34B9"/>
    <w:rsid w:val="00EA37A3"/>
    <w:rsid w:val="00EA37FB"/>
    <w:rsid w:val="00EA3C06"/>
    <w:rsid w:val="00EA3EFD"/>
    <w:rsid w:val="00EA4099"/>
    <w:rsid w:val="00EA44E8"/>
    <w:rsid w:val="00EA4736"/>
    <w:rsid w:val="00EA5190"/>
    <w:rsid w:val="00EA565B"/>
    <w:rsid w:val="00EA5E82"/>
    <w:rsid w:val="00EA6345"/>
    <w:rsid w:val="00EA6D39"/>
    <w:rsid w:val="00EA704E"/>
    <w:rsid w:val="00EA757B"/>
    <w:rsid w:val="00EA763B"/>
    <w:rsid w:val="00EA7E33"/>
    <w:rsid w:val="00EA7F14"/>
    <w:rsid w:val="00EB03C8"/>
    <w:rsid w:val="00EB0481"/>
    <w:rsid w:val="00EB04A3"/>
    <w:rsid w:val="00EB0B64"/>
    <w:rsid w:val="00EB0C54"/>
    <w:rsid w:val="00EB1D64"/>
    <w:rsid w:val="00EB2558"/>
    <w:rsid w:val="00EB2E09"/>
    <w:rsid w:val="00EB3614"/>
    <w:rsid w:val="00EB4324"/>
    <w:rsid w:val="00EB468F"/>
    <w:rsid w:val="00EB46FC"/>
    <w:rsid w:val="00EB50D7"/>
    <w:rsid w:val="00EB515A"/>
    <w:rsid w:val="00EB539B"/>
    <w:rsid w:val="00EB5BAD"/>
    <w:rsid w:val="00EB5EEF"/>
    <w:rsid w:val="00EB653F"/>
    <w:rsid w:val="00EB6620"/>
    <w:rsid w:val="00EB677E"/>
    <w:rsid w:val="00EB6B2F"/>
    <w:rsid w:val="00EB6BAC"/>
    <w:rsid w:val="00EB7EAE"/>
    <w:rsid w:val="00EC036A"/>
    <w:rsid w:val="00EC088C"/>
    <w:rsid w:val="00EC0E8A"/>
    <w:rsid w:val="00EC2A12"/>
    <w:rsid w:val="00EC2F11"/>
    <w:rsid w:val="00EC3267"/>
    <w:rsid w:val="00EC39EF"/>
    <w:rsid w:val="00EC4181"/>
    <w:rsid w:val="00EC4329"/>
    <w:rsid w:val="00EC4804"/>
    <w:rsid w:val="00EC4C42"/>
    <w:rsid w:val="00EC5029"/>
    <w:rsid w:val="00EC52AA"/>
    <w:rsid w:val="00EC5CE2"/>
    <w:rsid w:val="00EC62E2"/>
    <w:rsid w:val="00EC65AE"/>
    <w:rsid w:val="00EC65D4"/>
    <w:rsid w:val="00EC6A0E"/>
    <w:rsid w:val="00EC6BA0"/>
    <w:rsid w:val="00EC75C1"/>
    <w:rsid w:val="00EC7834"/>
    <w:rsid w:val="00ED0CB0"/>
    <w:rsid w:val="00ED0D47"/>
    <w:rsid w:val="00ED0DE4"/>
    <w:rsid w:val="00ED0EAB"/>
    <w:rsid w:val="00ED12C4"/>
    <w:rsid w:val="00ED13A3"/>
    <w:rsid w:val="00ED1845"/>
    <w:rsid w:val="00ED1DA0"/>
    <w:rsid w:val="00ED1E56"/>
    <w:rsid w:val="00ED1FBA"/>
    <w:rsid w:val="00ED235E"/>
    <w:rsid w:val="00ED2A92"/>
    <w:rsid w:val="00ED2B7E"/>
    <w:rsid w:val="00ED2D8A"/>
    <w:rsid w:val="00ED2DD2"/>
    <w:rsid w:val="00ED3902"/>
    <w:rsid w:val="00ED3C50"/>
    <w:rsid w:val="00ED3C93"/>
    <w:rsid w:val="00ED3CC6"/>
    <w:rsid w:val="00ED43C6"/>
    <w:rsid w:val="00ED46D9"/>
    <w:rsid w:val="00ED473A"/>
    <w:rsid w:val="00ED50B5"/>
    <w:rsid w:val="00ED51C8"/>
    <w:rsid w:val="00ED5442"/>
    <w:rsid w:val="00ED547A"/>
    <w:rsid w:val="00ED620C"/>
    <w:rsid w:val="00ED667D"/>
    <w:rsid w:val="00ED6E6E"/>
    <w:rsid w:val="00ED73A1"/>
    <w:rsid w:val="00ED782A"/>
    <w:rsid w:val="00ED7AFD"/>
    <w:rsid w:val="00ED7C4B"/>
    <w:rsid w:val="00ED7F11"/>
    <w:rsid w:val="00ED7F50"/>
    <w:rsid w:val="00EE0705"/>
    <w:rsid w:val="00EE099C"/>
    <w:rsid w:val="00EE0C42"/>
    <w:rsid w:val="00EE0DC6"/>
    <w:rsid w:val="00EE1024"/>
    <w:rsid w:val="00EE1355"/>
    <w:rsid w:val="00EE1A73"/>
    <w:rsid w:val="00EE1D30"/>
    <w:rsid w:val="00EE1E73"/>
    <w:rsid w:val="00EE2438"/>
    <w:rsid w:val="00EE2512"/>
    <w:rsid w:val="00EE2AAC"/>
    <w:rsid w:val="00EE2B8B"/>
    <w:rsid w:val="00EE33AC"/>
    <w:rsid w:val="00EE3418"/>
    <w:rsid w:val="00EE3802"/>
    <w:rsid w:val="00EE3E93"/>
    <w:rsid w:val="00EE405D"/>
    <w:rsid w:val="00EE4506"/>
    <w:rsid w:val="00EE463A"/>
    <w:rsid w:val="00EE4BB3"/>
    <w:rsid w:val="00EE4D7F"/>
    <w:rsid w:val="00EE516C"/>
    <w:rsid w:val="00EE560B"/>
    <w:rsid w:val="00EE5BAF"/>
    <w:rsid w:val="00EE5F1A"/>
    <w:rsid w:val="00EE5FB3"/>
    <w:rsid w:val="00EE61A1"/>
    <w:rsid w:val="00EE6503"/>
    <w:rsid w:val="00EE6647"/>
    <w:rsid w:val="00EE6E0E"/>
    <w:rsid w:val="00EE744C"/>
    <w:rsid w:val="00EE759A"/>
    <w:rsid w:val="00EE763F"/>
    <w:rsid w:val="00EF00A9"/>
    <w:rsid w:val="00EF0B57"/>
    <w:rsid w:val="00EF0D3E"/>
    <w:rsid w:val="00EF0EA2"/>
    <w:rsid w:val="00EF1394"/>
    <w:rsid w:val="00EF1BDF"/>
    <w:rsid w:val="00EF21C0"/>
    <w:rsid w:val="00EF21FA"/>
    <w:rsid w:val="00EF27D3"/>
    <w:rsid w:val="00EF4456"/>
    <w:rsid w:val="00EF46A6"/>
    <w:rsid w:val="00EF49E7"/>
    <w:rsid w:val="00EF4B04"/>
    <w:rsid w:val="00EF4E3A"/>
    <w:rsid w:val="00EF5881"/>
    <w:rsid w:val="00EF5ECB"/>
    <w:rsid w:val="00EF6485"/>
    <w:rsid w:val="00EF6776"/>
    <w:rsid w:val="00EF6861"/>
    <w:rsid w:val="00EF68E3"/>
    <w:rsid w:val="00EF7021"/>
    <w:rsid w:val="00EF702C"/>
    <w:rsid w:val="00EF7417"/>
    <w:rsid w:val="00EF7459"/>
    <w:rsid w:val="00EF7C88"/>
    <w:rsid w:val="00F0001E"/>
    <w:rsid w:val="00F011D2"/>
    <w:rsid w:val="00F01B71"/>
    <w:rsid w:val="00F025B8"/>
    <w:rsid w:val="00F0262D"/>
    <w:rsid w:val="00F029E9"/>
    <w:rsid w:val="00F029F1"/>
    <w:rsid w:val="00F02E20"/>
    <w:rsid w:val="00F037CA"/>
    <w:rsid w:val="00F03A29"/>
    <w:rsid w:val="00F03AA4"/>
    <w:rsid w:val="00F04193"/>
    <w:rsid w:val="00F04321"/>
    <w:rsid w:val="00F04B0A"/>
    <w:rsid w:val="00F054EB"/>
    <w:rsid w:val="00F05C3F"/>
    <w:rsid w:val="00F0607F"/>
    <w:rsid w:val="00F06578"/>
    <w:rsid w:val="00F0693C"/>
    <w:rsid w:val="00F06ABF"/>
    <w:rsid w:val="00F06CC5"/>
    <w:rsid w:val="00F06ED7"/>
    <w:rsid w:val="00F07169"/>
    <w:rsid w:val="00F10758"/>
    <w:rsid w:val="00F10BDA"/>
    <w:rsid w:val="00F10D77"/>
    <w:rsid w:val="00F10ECA"/>
    <w:rsid w:val="00F11A12"/>
    <w:rsid w:val="00F1252A"/>
    <w:rsid w:val="00F1295C"/>
    <w:rsid w:val="00F129FE"/>
    <w:rsid w:val="00F136D3"/>
    <w:rsid w:val="00F13998"/>
    <w:rsid w:val="00F13FB7"/>
    <w:rsid w:val="00F140C8"/>
    <w:rsid w:val="00F14444"/>
    <w:rsid w:val="00F14628"/>
    <w:rsid w:val="00F14692"/>
    <w:rsid w:val="00F14B98"/>
    <w:rsid w:val="00F150C1"/>
    <w:rsid w:val="00F15753"/>
    <w:rsid w:val="00F159DD"/>
    <w:rsid w:val="00F160BC"/>
    <w:rsid w:val="00F16164"/>
    <w:rsid w:val="00F1667D"/>
    <w:rsid w:val="00F167BA"/>
    <w:rsid w:val="00F1680A"/>
    <w:rsid w:val="00F17076"/>
    <w:rsid w:val="00F17161"/>
    <w:rsid w:val="00F1723A"/>
    <w:rsid w:val="00F17ADB"/>
    <w:rsid w:val="00F17C96"/>
    <w:rsid w:val="00F20157"/>
    <w:rsid w:val="00F210B3"/>
    <w:rsid w:val="00F218E2"/>
    <w:rsid w:val="00F219A0"/>
    <w:rsid w:val="00F21B60"/>
    <w:rsid w:val="00F21BC7"/>
    <w:rsid w:val="00F21BDF"/>
    <w:rsid w:val="00F21E19"/>
    <w:rsid w:val="00F22E30"/>
    <w:rsid w:val="00F236E9"/>
    <w:rsid w:val="00F2378C"/>
    <w:rsid w:val="00F2403D"/>
    <w:rsid w:val="00F24245"/>
    <w:rsid w:val="00F24784"/>
    <w:rsid w:val="00F247A4"/>
    <w:rsid w:val="00F2511E"/>
    <w:rsid w:val="00F25245"/>
    <w:rsid w:val="00F25B50"/>
    <w:rsid w:val="00F25D14"/>
    <w:rsid w:val="00F260BF"/>
    <w:rsid w:val="00F26244"/>
    <w:rsid w:val="00F26295"/>
    <w:rsid w:val="00F272B6"/>
    <w:rsid w:val="00F27BC5"/>
    <w:rsid w:val="00F30151"/>
    <w:rsid w:val="00F30D3A"/>
    <w:rsid w:val="00F30D6C"/>
    <w:rsid w:val="00F31651"/>
    <w:rsid w:val="00F3197C"/>
    <w:rsid w:val="00F31B5E"/>
    <w:rsid w:val="00F32851"/>
    <w:rsid w:val="00F32A6B"/>
    <w:rsid w:val="00F32E7D"/>
    <w:rsid w:val="00F33024"/>
    <w:rsid w:val="00F338FB"/>
    <w:rsid w:val="00F33E71"/>
    <w:rsid w:val="00F34FFB"/>
    <w:rsid w:val="00F3512C"/>
    <w:rsid w:val="00F3541A"/>
    <w:rsid w:val="00F3543B"/>
    <w:rsid w:val="00F359C5"/>
    <w:rsid w:val="00F35CA0"/>
    <w:rsid w:val="00F36229"/>
    <w:rsid w:val="00F36485"/>
    <w:rsid w:val="00F3673B"/>
    <w:rsid w:val="00F36C02"/>
    <w:rsid w:val="00F36C58"/>
    <w:rsid w:val="00F36D64"/>
    <w:rsid w:val="00F36E77"/>
    <w:rsid w:val="00F37176"/>
    <w:rsid w:val="00F372B2"/>
    <w:rsid w:val="00F373EF"/>
    <w:rsid w:val="00F37817"/>
    <w:rsid w:val="00F37D26"/>
    <w:rsid w:val="00F403B7"/>
    <w:rsid w:val="00F40448"/>
    <w:rsid w:val="00F40F05"/>
    <w:rsid w:val="00F40FDD"/>
    <w:rsid w:val="00F410AF"/>
    <w:rsid w:val="00F413D3"/>
    <w:rsid w:val="00F41679"/>
    <w:rsid w:val="00F41AF5"/>
    <w:rsid w:val="00F420D6"/>
    <w:rsid w:val="00F422DD"/>
    <w:rsid w:val="00F42B64"/>
    <w:rsid w:val="00F42FF8"/>
    <w:rsid w:val="00F43513"/>
    <w:rsid w:val="00F4370D"/>
    <w:rsid w:val="00F43D9F"/>
    <w:rsid w:val="00F43FEC"/>
    <w:rsid w:val="00F44148"/>
    <w:rsid w:val="00F44CDC"/>
    <w:rsid w:val="00F4529E"/>
    <w:rsid w:val="00F455B0"/>
    <w:rsid w:val="00F456DF"/>
    <w:rsid w:val="00F45B28"/>
    <w:rsid w:val="00F45CDF"/>
    <w:rsid w:val="00F45E9D"/>
    <w:rsid w:val="00F468CD"/>
    <w:rsid w:val="00F46AA1"/>
    <w:rsid w:val="00F46C1C"/>
    <w:rsid w:val="00F46C74"/>
    <w:rsid w:val="00F4728C"/>
    <w:rsid w:val="00F4794A"/>
    <w:rsid w:val="00F47968"/>
    <w:rsid w:val="00F47BB7"/>
    <w:rsid w:val="00F47E37"/>
    <w:rsid w:val="00F47F24"/>
    <w:rsid w:val="00F503A5"/>
    <w:rsid w:val="00F50E43"/>
    <w:rsid w:val="00F50F2E"/>
    <w:rsid w:val="00F50FC8"/>
    <w:rsid w:val="00F517D7"/>
    <w:rsid w:val="00F5186E"/>
    <w:rsid w:val="00F51CBF"/>
    <w:rsid w:val="00F51E2A"/>
    <w:rsid w:val="00F521A5"/>
    <w:rsid w:val="00F52463"/>
    <w:rsid w:val="00F52910"/>
    <w:rsid w:val="00F52ACF"/>
    <w:rsid w:val="00F52EF8"/>
    <w:rsid w:val="00F52F91"/>
    <w:rsid w:val="00F53A7E"/>
    <w:rsid w:val="00F53C4E"/>
    <w:rsid w:val="00F5408E"/>
    <w:rsid w:val="00F555DD"/>
    <w:rsid w:val="00F559E9"/>
    <w:rsid w:val="00F56639"/>
    <w:rsid w:val="00F568ED"/>
    <w:rsid w:val="00F56984"/>
    <w:rsid w:val="00F56A30"/>
    <w:rsid w:val="00F57060"/>
    <w:rsid w:val="00F57446"/>
    <w:rsid w:val="00F57792"/>
    <w:rsid w:val="00F57A27"/>
    <w:rsid w:val="00F57CCE"/>
    <w:rsid w:val="00F57F31"/>
    <w:rsid w:val="00F601ED"/>
    <w:rsid w:val="00F60429"/>
    <w:rsid w:val="00F61168"/>
    <w:rsid w:val="00F615CC"/>
    <w:rsid w:val="00F61AE0"/>
    <w:rsid w:val="00F61C4D"/>
    <w:rsid w:val="00F6310A"/>
    <w:rsid w:val="00F63D33"/>
    <w:rsid w:val="00F63E6D"/>
    <w:rsid w:val="00F64150"/>
    <w:rsid w:val="00F6435A"/>
    <w:rsid w:val="00F6459E"/>
    <w:rsid w:val="00F653F9"/>
    <w:rsid w:val="00F655C0"/>
    <w:rsid w:val="00F6574B"/>
    <w:rsid w:val="00F65836"/>
    <w:rsid w:val="00F65882"/>
    <w:rsid w:val="00F65E1F"/>
    <w:rsid w:val="00F66697"/>
    <w:rsid w:val="00F66747"/>
    <w:rsid w:val="00F667A7"/>
    <w:rsid w:val="00F66C45"/>
    <w:rsid w:val="00F67081"/>
    <w:rsid w:val="00F670F3"/>
    <w:rsid w:val="00F671DE"/>
    <w:rsid w:val="00F6747E"/>
    <w:rsid w:val="00F674A0"/>
    <w:rsid w:val="00F67924"/>
    <w:rsid w:val="00F679B1"/>
    <w:rsid w:val="00F67D8F"/>
    <w:rsid w:val="00F70231"/>
    <w:rsid w:val="00F7044D"/>
    <w:rsid w:val="00F706EE"/>
    <w:rsid w:val="00F70A1C"/>
    <w:rsid w:val="00F70F45"/>
    <w:rsid w:val="00F714A9"/>
    <w:rsid w:val="00F71B77"/>
    <w:rsid w:val="00F71D87"/>
    <w:rsid w:val="00F71FFF"/>
    <w:rsid w:val="00F72D52"/>
    <w:rsid w:val="00F72F5E"/>
    <w:rsid w:val="00F73BDD"/>
    <w:rsid w:val="00F73D15"/>
    <w:rsid w:val="00F73E3E"/>
    <w:rsid w:val="00F74048"/>
    <w:rsid w:val="00F74366"/>
    <w:rsid w:val="00F74439"/>
    <w:rsid w:val="00F7449C"/>
    <w:rsid w:val="00F74584"/>
    <w:rsid w:val="00F74773"/>
    <w:rsid w:val="00F754CC"/>
    <w:rsid w:val="00F75A8A"/>
    <w:rsid w:val="00F75BD2"/>
    <w:rsid w:val="00F75CE5"/>
    <w:rsid w:val="00F75D0D"/>
    <w:rsid w:val="00F75F16"/>
    <w:rsid w:val="00F769AC"/>
    <w:rsid w:val="00F76AF7"/>
    <w:rsid w:val="00F76CC0"/>
    <w:rsid w:val="00F76F5C"/>
    <w:rsid w:val="00F77079"/>
    <w:rsid w:val="00F770AF"/>
    <w:rsid w:val="00F773C4"/>
    <w:rsid w:val="00F775DD"/>
    <w:rsid w:val="00F777A8"/>
    <w:rsid w:val="00F77DE1"/>
    <w:rsid w:val="00F77E6D"/>
    <w:rsid w:val="00F80A71"/>
    <w:rsid w:val="00F8100F"/>
    <w:rsid w:val="00F81041"/>
    <w:rsid w:val="00F8171B"/>
    <w:rsid w:val="00F82577"/>
    <w:rsid w:val="00F82A51"/>
    <w:rsid w:val="00F82F21"/>
    <w:rsid w:val="00F83300"/>
    <w:rsid w:val="00F838AC"/>
    <w:rsid w:val="00F83BB0"/>
    <w:rsid w:val="00F841B6"/>
    <w:rsid w:val="00F8458C"/>
    <w:rsid w:val="00F849CD"/>
    <w:rsid w:val="00F84E27"/>
    <w:rsid w:val="00F84FE8"/>
    <w:rsid w:val="00F8545E"/>
    <w:rsid w:val="00F859AC"/>
    <w:rsid w:val="00F85BA0"/>
    <w:rsid w:val="00F85D77"/>
    <w:rsid w:val="00F8636C"/>
    <w:rsid w:val="00F867F8"/>
    <w:rsid w:val="00F87020"/>
    <w:rsid w:val="00F871A2"/>
    <w:rsid w:val="00F875D7"/>
    <w:rsid w:val="00F87640"/>
    <w:rsid w:val="00F879C8"/>
    <w:rsid w:val="00F90623"/>
    <w:rsid w:val="00F90B42"/>
    <w:rsid w:val="00F90D33"/>
    <w:rsid w:val="00F9126F"/>
    <w:rsid w:val="00F91BF8"/>
    <w:rsid w:val="00F923E5"/>
    <w:rsid w:val="00F92638"/>
    <w:rsid w:val="00F92B5B"/>
    <w:rsid w:val="00F92B7D"/>
    <w:rsid w:val="00F93855"/>
    <w:rsid w:val="00F93892"/>
    <w:rsid w:val="00F9397E"/>
    <w:rsid w:val="00F93C37"/>
    <w:rsid w:val="00F93CF7"/>
    <w:rsid w:val="00F94170"/>
    <w:rsid w:val="00F94513"/>
    <w:rsid w:val="00F945CC"/>
    <w:rsid w:val="00F94B42"/>
    <w:rsid w:val="00F94B86"/>
    <w:rsid w:val="00F94F7C"/>
    <w:rsid w:val="00F96396"/>
    <w:rsid w:val="00F963AB"/>
    <w:rsid w:val="00F9690A"/>
    <w:rsid w:val="00FA007C"/>
    <w:rsid w:val="00FA00EE"/>
    <w:rsid w:val="00FA02A0"/>
    <w:rsid w:val="00FA0BF7"/>
    <w:rsid w:val="00FA146A"/>
    <w:rsid w:val="00FA16D2"/>
    <w:rsid w:val="00FA1982"/>
    <w:rsid w:val="00FA2689"/>
    <w:rsid w:val="00FA2796"/>
    <w:rsid w:val="00FA2EE1"/>
    <w:rsid w:val="00FA35B3"/>
    <w:rsid w:val="00FA383E"/>
    <w:rsid w:val="00FA44A4"/>
    <w:rsid w:val="00FA463E"/>
    <w:rsid w:val="00FA4B35"/>
    <w:rsid w:val="00FA5364"/>
    <w:rsid w:val="00FA6A1F"/>
    <w:rsid w:val="00FA6B20"/>
    <w:rsid w:val="00FA6CA8"/>
    <w:rsid w:val="00FA7168"/>
    <w:rsid w:val="00FA74A4"/>
    <w:rsid w:val="00FB0080"/>
    <w:rsid w:val="00FB0088"/>
    <w:rsid w:val="00FB014B"/>
    <w:rsid w:val="00FB01F3"/>
    <w:rsid w:val="00FB041D"/>
    <w:rsid w:val="00FB083F"/>
    <w:rsid w:val="00FB1143"/>
    <w:rsid w:val="00FB136F"/>
    <w:rsid w:val="00FB14C8"/>
    <w:rsid w:val="00FB1771"/>
    <w:rsid w:val="00FB1CEB"/>
    <w:rsid w:val="00FB1CF3"/>
    <w:rsid w:val="00FB25CB"/>
    <w:rsid w:val="00FB2817"/>
    <w:rsid w:val="00FB2863"/>
    <w:rsid w:val="00FB2BEC"/>
    <w:rsid w:val="00FB31B4"/>
    <w:rsid w:val="00FB4147"/>
    <w:rsid w:val="00FB4DB3"/>
    <w:rsid w:val="00FB57FC"/>
    <w:rsid w:val="00FB58DC"/>
    <w:rsid w:val="00FB5904"/>
    <w:rsid w:val="00FB5F28"/>
    <w:rsid w:val="00FB6CA9"/>
    <w:rsid w:val="00FB7145"/>
    <w:rsid w:val="00FB7707"/>
    <w:rsid w:val="00FB7A5D"/>
    <w:rsid w:val="00FB7CAA"/>
    <w:rsid w:val="00FB7D59"/>
    <w:rsid w:val="00FC00B3"/>
    <w:rsid w:val="00FC068F"/>
    <w:rsid w:val="00FC07D7"/>
    <w:rsid w:val="00FC0AAC"/>
    <w:rsid w:val="00FC0E46"/>
    <w:rsid w:val="00FC1982"/>
    <w:rsid w:val="00FC19BA"/>
    <w:rsid w:val="00FC19E3"/>
    <w:rsid w:val="00FC20A4"/>
    <w:rsid w:val="00FC22E9"/>
    <w:rsid w:val="00FC2301"/>
    <w:rsid w:val="00FC2435"/>
    <w:rsid w:val="00FC28A9"/>
    <w:rsid w:val="00FC2A94"/>
    <w:rsid w:val="00FC2B43"/>
    <w:rsid w:val="00FC2F43"/>
    <w:rsid w:val="00FC3118"/>
    <w:rsid w:val="00FC31FD"/>
    <w:rsid w:val="00FC37AB"/>
    <w:rsid w:val="00FC3A3A"/>
    <w:rsid w:val="00FC3A3D"/>
    <w:rsid w:val="00FC3C30"/>
    <w:rsid w:val="00FC403A"/>
    <w:rsid w:val="00FC45B4"/>
    <w:rsid w:val="00FC4861"/>
    <w:rsid w:val="00FC488E"/>
    <w:rsid w:val="00FC4D0C"/>
    <w:rsid w:val="00FC5039"/>
    <w:rsid w:val="00FC53D3"/>
    <w:rsid w:val="00FC5ADC"/>
    <w:rsid w:val="00FC5C46"/>
    <w:rsid w:val="00FC5C62"/>
    <w:rsid w:val="00FC650C"/>
    <w:rsid w:val="00FC68B7"/>
    <w:rsid w:val="00FC693F"/>
    <w:rsid w:val="00FC6994"/>
    <w:rsid w:val="00FC6BF8"/>
    <w:rsid w:val="00FC704B"/>
    <w:rsid w:val="00FC7107"/>
    <w:rsid w:val="00FC753B"/>
    <w:rsid w:val="00FC7685"/>
    <w:rsid w:val="00FC78F4"/>
    <w:rsid w:val="00FC7F79"/>
    <w:rsid w:val="00FD07F3"/>
    <w:rsid w:val="00FD12EF"/>
    <w:rsid w:val="00FD139E"/>
    <w:rsid w:val="00FD1979"/>
    <w:rsid w:val="00FD2716"/>
    <w:rsid w:val="00FD37FC"/>
    <w:rsid w:val="00FD3894"/>
    <w:rsid w:val="00FD3AAA"/>
    <w:rsid w:val="00FD3C49"/>
    <w:rsid w:val="00FD45B8"/>
    <w:rsid w:val="00FD45C8"/>
    <w:rsid w:val="00FD481E"/>
    <w:rsid w:val="00FD4D24"/>
    <w:rsid w:val="00FD4EB9"/>
    <w:rsid w:val="00FD4F77"/>
    <w:rsid w:val="00FD5604"/>
    <w:rsid w:val="00FD590F"/>
    <w:rsid w:val="00FD5AD8"/>
    <w:rsid w:val="00FD60CA"/>
    <w:rsid w:val="00FD671F"/>
    <w:rsid w:val="00FD6CEA"/>
    <w:rsid w:val="00FD6E11"/>
    <w:rsid w:val="00FD765A"/>
    <w:rsid w:val="00FE01DB"/>
    <w:rsid w:val="00FE0648"/>
    <w:rsid w:val="00FE11F8"/>
    <w:rsid w:val="00FE1465"/>
    <w:rsid w:val="00FE1938"/>
    <w:rsid w:val="00FE19E3"/>
    <w:rsid w:val="00FE1C50"/>
    <w:rsid w:val="00FE2281"/>
    <w:rsid w:val="00FE22A7"/>
    <w:rsid w:val="00FE24A6"/>
    <w:rsid w:val="00FE28E2"/>
    <w:rsid w:val="00FE2E27"/>
    <w:rsid w:val="00FE33E8"/>
    <w:rsid w:val="00FE3DBA"/>
    <w:rsid w:val="00FE413A"/>
    <w:rsid w:val="00FE4378"/>
    <w:rsid w:val="00FE480D"/>
    <w:rsid w:val="00FE4CBA"/>
    <w:rsid w:val="00FE56B4"/>
    <w:rsid w:val="00FE594A"/>
    <w:rsid w:val="00FE5D9B"/>
    <w:rsid w:val="00FE658F"/>
    <w:rsid w:val="00FE7825"/>
    <w:rsid w:val="00FE786E"/>
    <w:rsid w:val="00FE7AAD"/>
    <w:rsid w:val="00FE7B3E"/>
    <w:rsid w:val="00FE7CE0"/>
    <w:rsid w:val="00FF05FB"/>
    <w:rsid w:val="00FF0EA6"/>
    <w:rsid w:val="00FF1159"/>
    <w:rsid w:val="00FF1293"/>
    <w:rsid w:val="00FF1777"/>
    <w:rsid w:val="00FF18DE"/>
    <w:rsid w:val="00FF1A72"/>
    <w:rsid w:val="00FF1FD9"/>
    <w:rsid w:val="00FF2ED5"/>
    <w:rsid w:val="00FF30F2"/>
    <w:rsid w:val="00FF32D8"/>
    <w:rsid w:val="00FF3415"/>
    <w:rsid w:val="00FF3CF1"/>
    <w:rsid w:val="00FF42E1"/>
    <w:rsid w:val="00FF461E"/>
    <w:rsid w:val="00FF49AA"/>
    <w:rsid w:val="00FF4B33"/>
    <w:rsid w:val="00FF4C32"/>
    <w:rsid w:val="00FF5785"/>
    <w:rsid w:val="00FF5BAF"/>
    <w:rsid w:val="00FF6771"/>
    <w:rsid w:val="00FF69AC"/>
    <w:rsid w:val="00FF783B"/>
    <w:rsid w:val="00FF7843"/>
    <w:rsid w:val="00FF7EB5"/>
    <w:rsid w:val="00FF7EC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fabf8f" strokecolor="#f79646">
      <v:fill color="#fabf8f" color2="#f79646" rotate="t" focusposition="1" focussize="" focus="50%" type="gradient"/>
      <v:stroke color="#f79646" weight="1pt"/>
      <v:shadow on="t" type="perspective" color="#974706" offset="1pt" offset2="-3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0F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2D99"/>
    <w:pPr>
      <w:keepNext/>
      <w:tabs>
        <w:tab w:val="left" w:pos="0"/>
      </w:tabs>
      <w:ind w:right="114" w:firstLine="180"/>
      <w:jc w:val="both"/>
      <w:outlineLvl w:val="1"/>
    </w:pPr>
    <w:rPr>
      <w:rFonts w:ascii="Arial Narrow" w:eastAsia="Times New Roman" w:hAnsi="Arial Narrow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724729"/>
    <w:pPr>
      <w:keepNext/>
      <w:jc w:val="center"/>
      <w:outlineLvl w:val="3"/>
    </w:pPr>
    <w:rPr>
      <w:rFonts w:ascii="Arial Narrow" w:eastAsia="Times New Roman" w:hAnsi="Arial Narrow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"/>
    <w:qFormat/>
    <w:rsid w:val="00F555D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C31"/>
    <w:rPr>
      <w:rFonts w:eastAsia="MS Mincho" w:cs="Arial"/>
      <w:sz w:val="22"/>
      <w:szCs w:val="22"/>
      <w:lang w:val="en-US" w:eastAsia="ja-JP"/>
    </w:rPr>
  </w:style>
  <w:style w:type="character" w:customStyle="1" w:styleId="a4">
    <w:name w:val="Без разредка Знак"/>
    <w:link w:val="a3"/>
    <w:uiPriority w:val="1"/>
    <w:rsid w:val="00104C31"/>
    <w:rPr>
      <w:rFonts w:eastAsia="MS Mincho" w:cs="Arial"/>
      <w:sz w:val="22"/>
      <w:szCs w:val="22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104C3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04C31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nhideWhenUsed/>
    <w:rsid w:val="00104C3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104C3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04C3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rsid w:val="00104C31"/>
    <w:rPr>
      <w:sz w:val="22"/>
      <w:szCs w:val="22"/>
      <w:lang w:eastAsia="en-US"/>
    </w:rPr>
  </w:style>
  <w:style w:type="paragraph" w:customStyle="1" w:styleId="Default">
    <w:name w:val="Default"/>
    <w:rsid w:val="00E526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b">
    <w:name w:val="Normal (Web)"/>
    <w:basedOn w:val="a"/>
    <w:uiPriority w:val="99"/>
    <w:rsid w:val="002C420D"/>
    <w:pPr>
      <w:spacing w:before="100" w:beforeAutospacing="1" w:after="100" w:afterAutospacing="1"/>
      <w:jc w:val="both"/>
    </w:pPr>
    <w:rPr>
      <w:rFonts w:ascii="Arial" w:eastAsia="Times New Roman" w:hAnsi="Arial" w:cs="Arial"/>
      <w:color w:val="404040"/>
      <w:sz w:val="17"/>
      <w:szCs w:val="17"/>
      <w:lang w:eastAsia="bg-BG"/>
    </w:rPr>
  </w:style>
  <w:style w:type="paragraph" w:customStyle="1" w:styleId="ac">
    <w:name w:val="Знак"/>
    <w:basedOn w:val="a"/>
    <w:rsid w:val="00EE33AC"/>
    <w:pPr>
      <w:spacing w:before="120"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2705BA"/>
    <w:rPr>
      <w:sz w:val="20"/>
      <w:szCs w:val="20"/>
    </w:rPr>
  </w:style>
  <w:style w:type="character" w:customStyle="1" w:styleId="ae">
    <w:name w:val="Текст под линия Знак"/>
    <w:link w:val="ad"/>
    <w:uiPriority w:val="99"/>
    <w:semiHidden/>
    <w:rsid w:val="002705BA"/>
    <w:rPr>
      <w:lang w:eastAsia="en-US"/>
    </w:rPr>
  </w:style>
  <w:style w:type="character" w:styleId="af">
    <w:name w:val="footnote reference"/>
    <w:uiPriority w:val="99"/>
    <w:semiHidden/>
    <w:unhideWhenUsed/>
    <w:rsid w:val="002705BA"/>
    <w:rPr>
      <w:vertAlign w:val="superscript"/>
    </w:rPr>
  </w:style>
  <w:style w:type="paragraph" w:customStyle="1" w:styleId="m">
    <w:name w:val="m"/>
    <w:basedOn w:val="a"/>
    <w:rsid w:val="00754D0C"/>
    <w:pPr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styleId="af0">
    <w:name w:val="Hyperlink"/>
    <w:uiPriority w:val="99"/>
    <w:unhideWhenUsed/>
    <w:rsid w:val="00754D0C"/>
    <w:rPr>
      <w:strike w:val="0"/>
      <w:dstrike w:val="0"/>
      <w:color w:val="000000"/>
      <w:u w:val="none"/>
      <w:effect w:val="none"/>
    </w:rPr>
  </w:style>
  <w:style w:type="table" w:styleId="af1">
    <w:name w:val="Table Grid"/>
    <w:basedOn w:val="a1"/>
    <w:uiPriority w:val="59"/>
    <w:rsid w:val="0016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16700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Grid 1 Accent 3"/>
    <w:basedOn w:val="a1"/>
    <w:uiPriority w:val="67"/>
    <w:rsid w:val="00335F8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20">
    <w:name w:val="Заглавие 2 Знак"/>
    <w:link w:val="2"/>
    <w:rsid w:val="001F2D99"/>
    <w:rPr>
      <w:rFonts w:ascii="Arial Narrow" w:eastAsia="Times New Roman" w:hAnsi="Arial Narrow" w:cs="Arial"/>
      <w:b/>
      <w:bCs/>
      <w:i/>
      <w:iCs/>
      <w:sz w:val="22"/>
      <w:szCs w:val="22"/>
      <w:lang w:eastAsia="en-US"/>
    </w:rPr>
  </w:style>
  <w:style w:type="paragraph" w:styleId="af2">
    <w:name w:val="Body Text"/>
    <w:basedOn w:val="a"/>
    <w:link w:val="af3"/>
    <w:rsid w:val="001F2D99"/>
    <w:pPr>
      <w:jc w:val="center"/>
    </w:pPr>
    <w:rPr>
      <w:rFonts w:ascii="Arial Narrow" w:eastAsia="Times New Roman" w:hAnsi="Arial Narrow"/>
      <w:sz w:val="18"/>
      <w:szCs w:val="24"/>
    </w:rPr>
  </w:style>
  <w:style w:type="character" w:customStyle="1" w:styleId="af3">
    <w:name w:val="Основен текст Знак"/>
    <w:link w:val="af2"/>
    <w:rsid w:val="001F2D99"/>
    <w:rPr>
      <w:rFonts w:ascii="Arial Narrow" w:eastAsia="Times New Roman" w:hAnsi="Arial Narrow"/>
      <w:sz w:val="18"/>
      <w:szCs w:val="24"/>
      <w:lang w:eastAsia="en-US"/>
    </w:rPr>
  </w:style>
  <w:style w:type="paragraph" w:styleId="af4">
    <w:name w:val="Title"/>
    <w:basedOn w:val="a"/>
    <w:link w:val="af5"/>
    <w:qFormat/>
    <w:rsid w:val="001F2D99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af5">
    <w:name w:val="Заглавие Знак"/>
    <w:link w:val="af4"/>
    <w:rsid w:val="001F2D99"/>
    <w:rPr>
      <w:rFonts w:ascii="Arial" w:eastAsia="Times New Roman" w:hAnsi="Arial" w:cs="Arial"/>
      <w:b/>
      <w:bCs/>
      <w:szCs w:val="24"/>
      <w:lang w:val="en-US" w:eastAsia="en-US"/>
    </w:rPr>
  </w:style>
  <w:style w:type="paragraph" w:styleId="21">
    <w:name w:val="Body Text 2"/>
    <w:basedOn w:val="a"/>
    <w:link w:val="22"/>
    <w:rsid w:val="001F2D99"/>
    <w:pPr>
      <w:tabs>
        <w:tab w:val="left" w:pos="540"/>
      </w:tabs>
      <w:jc w:val="both"/>
    </w:pPr>
    <w:rPr>
      <w:rFonts w:ascii="Arial Narrow" w:eastAsia="Times New Roman" w:hAnsi="Arial Narrow"/>
      <w:lang w:val="en-GB"/>
    </w:rPr>
  </w:style>
  <w:style w:type="character" w:customStyle="1" w:styleId="22">
    <w:name w:val="Основен текст 2 Знак"/>
    <w:link w:val="21"/>
    <w:rsid w:val="001F2D99"/>
    <w:rPr>
      <w:rFonts w:ascii="Arial Narrow" w:eastAsia="Times New Roman" w:hAnsi="Arial Narrow"/>
      <w:sz w:val="22"/>
      <w:szCs w:val="22"/>
      <w:lang w:val="en-GB" w:eastAsia="en-US"/>
    </w:rPr>
  </w:style>
  <w:style w:type="table" w:styleId="3-3">
    <w:name w:val="Medium Grid 3 Accent 3"/>
    <w:basedOn w:val="a1"/>
    <w:uiPriority w:val="69"/>
    <w:rsid w:val="00861ED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af6">
    <w:name w:val="Body Text Indent"/>
    <w:basedOn w:val="a"/>
    <w:link w:val="af7"/>
    <w:uiPriority w:val="99"/>
    <w:unhideWhenUsed/>
    <w:rsid w:val="001B0DDE"/>
    <w:pPr>
      <w:spacing w:after="120"/>
      <w:ind w:left="283"/>
    </w:pPr>
  </w:style>
  <w:style w:type="character" w:customStyle="1" w:styleId="af7">
    <w:name w:val="Основен текст с отстъп Знак"/>
    <w:link w:val="af6"/>
    <w:uiPriority w:val="99"/>
    <w:rsid w:val="001B0DDE"/>
    <w:rPr>
      <w:sz w:val="22"/>
      <w:szCs w:val="22"/>
      <w:lang w:eastAsia="en-US"/>
    </w:rPr>
  </w:style>
  <w:style w:type="character" w:customStyle="1" w:styleId="40">
    <w:name w:val="Заглавие 4 Знак"/>
    <w:link w:val="4"/>
    <w:rsid w:val="00724729"/>
    <w:rPr>
      <w:rFonts w:ascii="Arial Narrow" w:eastAsia="Times New Roman" w:hAnsi="Arial Narrow"/>
      <w:b/>
      <w:bCs/>
      <w:szCs w:val="24"/>
      <w:lang w:eastAsia="en-US"/>
    </w:rPr>
  </w:style>
  <w:style w:type="character" w:customStyle="1" w:styleId="70">
    <w:name w:val="Заглавие 7 Знак"/>
    <w:link w:val="7"/>
    <w:uiPriority w:val="9"/>
    <w:rsid w:val="00F555DD"/>
    <w:rPr>
      <w:rFonts w:ascii="Calibri" w:eastAsia="Times New Roman" w:hAnsi="Calibri" w:cs="Times New Roman"/>
      <w:sz w:val="24"/>
      <w:szCs w:val="24"/>
      <w:lang w:eastAsia="en-US"/>
    </w:rPr>
  </w:style>
  <w:style w:type="character" w:styleId="af8">
    <w:name w:val="Strong"/>
    <w:uiPriority w:val="22"/>
    <w:qFormat/>
    <w:rsid w:val="00213ABA"/>
    <w:rPr>
      <w:b/>
      <w:bCs/>
    </w:rPr>
  </w:style>
  <w:style w:type="paragraph" w:customStyle="1" w:styleId="-">
    <w:name w:val="Таблица - съдържание"/>
    <w:basedOn w:val="a"/>
    <w:rsid w:val="0084095A"/>
    <w:pPr>
      <w:suppressLineNumbers/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table" w:styleId="3-6">
    <w:name w:val="Medium Grid 3 Accent 6"/>
    <w:basedOn w:val="a1"/>
    <w:uiPriority w:val="69"/>
    <w:rsid w:val="00616B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10">
    <w:name w:val="Заглавие 1 Знак"/>
    <w:link w:val="1"/>
    <w:uiPriority w:val="9"/>
    <w:rsid w:val="00F40F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0F05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link w:val="3"/>
    <w:uiPriority w:val="99"/>
    <w:semiHidden/>
    <w:rsid w:val="00F40F05"/>
    <w:rPr>
      <w:sz w:val="16"/>
      <w:szCs w:val="16"/>
      <w:lang w:eastAsia="en-US"/>
    </w:rPr>
  </w:style>
  <w:style w:type="table" w:customStyle="1" w:styleId="GridTable4Accent2">
    <w:name w:val="Grid Table 4 Accent 2"/>
    <w:basedOn w:val="a1"/>
    <w:uiPriority w:val="49"/>
    <w:rsid w:val="007B78F0"/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Accent4">
    <w:name w:val="Grid Table 4 Accent 4"/>
    <w:basedOn w:val="a1"/>
    <w:uiPriority w:val="49"/>
    <w:rsid w:val="002F443C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0F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2D99"/>
    <w:pPr>
      <w:keepNext/>
      <w:tabs>
        <w:tab w:val="left" w:pos="0"/>
      </w:tabs>
      <w:ind w:right="114" w:firstLine="180"/>
      <w:jc w:val="both"/>
      <w:outlineLvl w:val="1"/>
    </w:pPr>
    <w:rPr>
      <w:rFonts w:ascii="Arial Narrow" w:eastAsia="Times New Roman" w:hAnsi="Arial Narrow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724729"/>
    <w:pPr>
      <w:keepNext/>
      <w:jc w:val="center"/>
      <w:outlineLvl w:val="3"/>
    </w:pPr>
    <w:rPr>
      <w:rFonts w:ascii="Arial Narrow" w:eastAsia="Times New Roman" w:hAnsi="Arial Narrow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"/>
    <w:qFormat/>
    <w:rsid w:val="00F555D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C31"/>
    <w:rPr>
      <w:rFonts w:eastAsia="MS Mincho" w:cs="Arial"/>
      <w:sz w:val="22"/>
      <w:szCs w:val="22"/>
      <w:lang w:val="en-US" w:eastAsia="ja-JP"/>
    </w:rPr>
  </w:style>
  <w:style w:type="character" w:customStyle="1" w:styleId="a4">
    <w:name w:val="Без разредка Знак"/>
    <w:link w:val="a3"/>
    <w:uiPriority w:val="1"/>
    <w:rsid w:val="00104C31"/>
    <w:rPr>
      <w:rFonts w:eastAsia="MS Mincho" w:cs="Arial"/>
      <w:sz w:val="22"/>
      <w:szCs w:val="22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104C3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04C31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nhideWhenUsed/>
    <w:rsid w:val="00104C3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104C3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04C3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rsid w:val="00104C31"/>
    <w:rPr>
      <w:sz w:val="22"/>
      <w:szCs w:val="22"/>
      <w:lang w:eastAsia="en-US"/>
    </w:rPr>
  </w:style>
  <w:style w:type="paragraph" w:customStyle="1" w:styleId="Default">
    <w:name w:val="Default"/>
    <w:rsid w:val="00E526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b">
    <w:name w:val="Normal (Web)"/>
    <w:basedOn w:val="a"/>
    <w:uiPriority w:val="99"/>
    <w:rsid w:val="002C420D"/>
    <w:pPr>
      <w:spacing w:before="100" w:beforeAutospacing="1" w:after="100" w:afterAutospacing="1"/>
      <w:jc w:val="both"/>
    </w:pPr>
    <w:rPr>
      <w:rFonts w:ascii="Arial" w:eastAsia="Times New Roman" w:hAnsi="Arial" w:cs="Arial"/>
      <w:color w:val="404040"/>
      <w:sz w:val="17"/>
      <w:szCs w:val="17"/>
      <w:lang w:eastAsia="bg-BG"/>
    </w:rPr>
  </w:style>
  <w:style w:type="paragraph" w:customStyle="1" w:styleId="ac">
    <w:name w:val="Знак"/>
    <w:basedOn w:val="a"/>
    <w:rsid w:val="00EE33AC"/>
    <w:pPr>
      <w:spacing w:before="120"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2705BA"/>
    <w:rPr>
      <w:sz w:val="20"/>
      <w:szCs w:val="20"/>
    </w:rPr>
  </w:style>
  <w:style w:type="character" w:customStyle="1" w:styleId="ae">
    <w:name w:val="Текст под линия Знак"/>
    <w:link w:val="ad"/>
    <w:uiPriority w:val="99"/>
    <w:semiHidden/>
    <w:rsid w:val="002705BA"/>
    <w:rPr>
      <w:lang w:eastAsia="en-US"/>
    </w:rPr>
  </w:style>
  <w:style w:type="character" w:styleId="af">
    <w:name w:val="footnote reference"/>
    <w:uiPriority w:val="99"/>
    <w:semiHidden/>
    <w:unhideWhenUsed/>
    <w:rsid w:val="002705BA"/>
    <w:rPr>
      <w:vertAlign w:val="superscript"/>
    </w:rPr>
  </w:style>
  <w:style w:type="paragraph" w:customStyle="1" w:styleId="m">
    <w:name w:val="m"/>
    <w:basedOn w:val="a"/>
    <w:rsid w:val="00754D0C"/>
    <w:pPr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styleId="af0">
    <w:name w:val="Hyperlink"/>
    <w:uiPriority w:val="99"/>
    <w:unhideWhenUsed/>
    <w:rsid w:val="00754D0C"/>
    <w:rPr>
      <w:strike w:val="0"/>
      <w:dstrike w:val="0"/>
      <w:color w:val="000000"/>
      <w:u w:val="none"/>
      <w:effect w:val="none"/>
    </w:rPr>
  </w:style>
  <w:style w:type="table" w:styleId="af1">
    <w:name w:val="Table Grid"/>
    <w:basedOn w:val="a1"/>
    <w:uiPriority w:val="59"/>
    <w:rsid w:val="0016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16700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Grid 1 Accent 3"/>
    <w:basedOn w:val="a1"/>
    <w:uiPriority w:val="67"/>
    <w:rsid w:val="00335F8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20">
    <w:name w:val="Заглавие 2 Знак"/>
    <w:link w:val="2"/>
    <w:rsid w:val="001F2D99"/>
    <w:rPr>
      <w:rFonts w:ascii="Arial Narrow" w:eastAsia="Times New Roman" w:hAnsi="Arial Narrow" w:cs="Arial"/>
      <w:b/>
      <w:bCs/>
      <w:i/>
      <w:iCs/>
      <w:sz w:val="22"/>
      <w:szCs w:val="22"/>
      <w:lang w:eastAsia="en-US"/>
    </w:rPr>
  </w:style>
  <w:style w:type="paragraph" w:styleId="af2">
    <w:name w:val="Body Text"/>
    <w:basedOn w:val="a"/>
    <w:link w:val="af3"/>
    <w:rsid w:val="001F2D99"/>
    <w:pPr>
      <w:jc w:val="center"/>
    </w:pPr>
    <w:rPr>
      <w:rFonts w:ascii="Arial Narrow" w:eastAsia="Times New Roman" w:hAnsi="Arial Narrow"/>
      <w:sz w:val="18"/>
      <w:szCs w:val="24"/>
    </w:rPr>
  </w:style>
  <w:style w:type="character" w:customStyle="1" w:styleId="af3">
    <w:name w:val="Основен текст Знак"/>
    <w:link w:val="af2"/>
    <w:rsid w:val="001F2D99"/>
    <w:rPr>
      <w:rFonts w:ascii="Arial Narrow" w:eastAsia="Times New Roman" w:hAnsi="Arial Narrow"/>
      <w:sz w:val="18"/>
      <w:szCs w:val="24"/>
      <w:lang w:eastAsia="en-US"/>
    </w:rPr>
  </w:style>
  <w:style w:type="paragraph" w:styleId="af4">
    <w:name w:val="Title"/>
    <w:basedOn w:val="a"/>
    <w:link w:val="af5"/>
    <w:qFormat/>
    <w:rsid w:val="001F2D99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af5">
    <w:name w:val="Заглавие Знак"/>
    <w:link w:val="af4"/>
    <w:rsid w:val="001F2D99"/>
    <w:rPr>
      <w:rFonts w:ascii="Arial" w:eastAsia="Times New Roman" w:hAnsi="Arial" w:cs="Arial"/>
      <w:b/>
      <w:bCs/>
      <w:szCs w:val="24"/>
      <w:lang w:val="en-US" w:eastAsia="en-US"/>
    </w:rPr>
  </w:style>
  <w:style w:type="paragraph" w:styleId="21">
    <w:name w:val="Body Text 2"/>
    <w:basedOn w:val="a"/>
    <w:link w:val="22"/>
    <w:rsid w:val="001F2D99"/>
    <w:pPr>
      <w:tabs>
        <w:tab w:val="left" w:pos="540"/>
      </w:tabs>
      <w:jc w:val="both"/>
    </w:pPr>
    <w:rPr>
      <w:rFonts w:ascii="Arial Narrow" w:eastAsia="Times New Roman" w:hAnsi="Arial Narrow"/>
      <w:lang w:val="en-GB"/>
    </w:rPr>
  </w:style>
  <w:style w:type="character" w:customStyle="1" w:styleId="22">
    <w:name w:val="Основен текст 2 Знак"/>
    <w:link w:val="21"/>
    <w:rsid w:val="001F2D99"/>
    <w:rPr>
      <w:rFonts w:ascii="Arial Narrow" w:eastAsia="Times New Roman" w:hAnsi="Arial Narrow"/>
      <w:sz w:val="22"/>
      <w:szCs w:val="22"/>
      <w:lang w:val="en-GB" w:eastAsia="en-US"/>
    </w:rPr>
  </w:style>
  <w:style w:type="table" w:styleId="3-3">
    <w:name w:val="Medium Grid 3 Accent 3"/>
    <w:basedOn w:val="a1"/>
    <w:uiPriority w:val="69"/>
    <w:rsid w:val="00861ED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af6">
    <w:name w:val="Body Text Indent"/>
    <w:basedOn w:val="a"/>
    <w:link w:val="af7"/>
    <w:uiPriority w:val="99"/>
    <w:unhideWhenUsed/>
    <w:rsid w:val="001B0DDE"/>
    <w:pPr>
      <w:spacing w:after="120"/>
      <w:ind w:left="283"/>
    </w:pPr>
  </w:style>
  <w:style w:type="character" w:customStyle="1" w:styleId="af7">
    <w:name w:val="Основен текст с отстъп Знак"/>
    <w:link w:val="af6"/>
    <w:uiPriority w:val="99"/>
    <w:rsid w:val="001B0DDE"/>
    <w:rPr>
      <w:sz w:val="22"/>
      <w:szCs w:val="22"/>
      <w:lang w:eastAsia="en-US"/>
    </w:rPr>
  </w:style>
  <w:style w:type="character" w:customStyle="1" w:styleId="40">
    <w:name w:val="Заглавие 4 Знак"/>
    <w:link w:val="4"/>
    <w:rsid w:val="00724729"/>
    <w:rPr>
      <w:rFonts w:ascii="Arial Narrow" w:eastAsia="Times New Roman" w:hAnsi="Arial Narrow"/>
      <w:b/>
      <w:bCs/>
      <w:szCs w:val="24"/>
      <w:lang w:eastAsia="en-US"/>
    </w:rPr>
  </w:style>
  <w:style w:type="character" w:customStyle="1" w:styleId="70">
    <w:name w:val="Заглавие 7 Знак"/>
    <w:link w:val="7"/>
    <w:uiPriority w:val="9"/>
    <w:rsid w:val="00F555DD"/>
    <w:rPr>
      <w:rFonts w:ascii="Calibri" w:eastAsia="Times New Roman" w:hAnsi="Calibri" w:cs="Times New Roman"/>
      <w:sz w:val="24"/>
      <w:szCs w:val="24"/>
      <w:lang w:eastAsia="en-US"/>
    </w:rPr>
  </w:style>
  <w:style w:type="character" w:styleId="af8">
    <w:name w:val="Strong"/>
    <w:uiPriority w:val="22"/>
    <w:qFormat/>
    <w:rsid w:val="00213ABA"/>
    <w:rPr>
      <w:b/>
      <w:bCs/>
    </w:rPr>
  </w:style>
  <w:style w:type="paragraph" w:customStyle="1" w:styleId="-">
    <w:name w:val="Таблица - съдържание"/>
    <w:basedOn w:val="a"/>
    <w:rsid w:val="0084095A"/>
    <w:pPr>
      <w:suppressLineNumbers/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table" w:styleId="3-6">
    <w:name w:val="Medium Grid 3 Accent 6"/>
    <w:basedOn w:val="a1"/>
    <w:uiPriority w:val="69"/>
    <w:rsid w:val="00616B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10">
    <w:name w:val="Заглавие 1 Знак"/>
    <w:link w:val="1"/>
    <w:uiPriority w:val="9"/>
    <w:rsid w:val="00F40F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0F05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link w:val="3"/>
    <w:uiPriority w:val="99"/>
    <w:semiHidden/>
    <w:rsid w:val="00F40F05"/>
    <w:rPr>
      <w:sz w:val="16"/>
      <w:szCs w:val="16"/>
      <w:lang w:eastAsia="en-US"/>
    </w:rPr>
  </w:style>
  <w:style w:type="table" w:customStyle="1" w:styleId="GridTable4Accent2">
    <w:name w:val="Grid Table 4 Accent 2"/>
    <w:basedOn w:val="a1"/>
    <w:uiPriority w:val="49"/>
    <w:rsid w:val="007B78F0"/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Accent4">
    <w:name w:val="Grid Table 4 Accent 4"/>
    <w:basedOn w:val="a1"/>
    <w:uiPriority w:val="49"/>
    <w:rsid w:val="002F443C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2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0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6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7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60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31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5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1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5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2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0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85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45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98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7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15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09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2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30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55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9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48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2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45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7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55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1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74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5" Type="http://schemas.microsoft.com/office/2007/relationships/stylesWithEffects" Target="stylesWithEffect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a\Desktop\kfn%20tablici%20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Реализирани приходи от продажби</a:t>
            </a:r>
          </a:p>
        </c:rich>
      </c:tx>
      <c:layout>
        <c:manualLayout>
          <c:xMode val="edge"/>
          <c:yMode val="edge"/>
          <c:x val="0.20164372931644417"/>
          <c:y val="4.1821502350229037E-2"/>
        </c:manualLayout>
      </c:layout>
      <c:overlay val="0"/>
    </c:title>
    <c:autoTitleDeleted val="0"/>
    <c:view3D>
      <c:rotX val="15"/>
      <c:hPercent val="6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632034364866231E-2"/>
          <c:y val="0.16616338711319142"/>
          <c:w val="0.7156140323808815"/>
          <c:h val="0.712991988340239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'harakteristika na deynostta'!$A$4</c:f>
              <c:strCache>
                <c:ptCount val="1"/>
                <c:pt idx="0">
                  <c:v>приходи от РЗОК</c:v>
                </c:pt>
              </c:strCache>
            </c:strRef>
          </c:tx>
          <c:invertIfNegative val="0"/>
          <c:cat>
            <c:numRef>
              <c:f>'harakteristika na deynostta'!$B$3:$C$3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'harakteristika na deynostta'!$B$4:$C$4</c:f>
              <c:numCache>
                <c:formatCode>General</c:formatCode>
                <c:ptCount val="2"/>
                <c:pt idx="0">
                  <c:v>448</c:v>
                </c:pt>
                <c:pt idx="1">
                  <c:v>448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'harakteristika na deynostta'!$A$5</c:f>
              <c:strCache>
                <c:ptCount val="1"/>
                <c:pt idx="0">
                  <c:v>приходи от профилактични прегледи</c:v>
                </c:pt>
              </c:strCache>
            </c:strRef>
          </c:tx>
          <c:invertIfNegative val="0"/>
          <c:cat>
            <c:numRef>
              <c:f>'harakteristika na deynostta'!$B$3:$C$3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'harakteristika na deynostta'!$B$5:$C$5</c:f>
              <c:numCache>
                <c:formatCode>General</c:formatCode>
                <c:ptCount val="2"/>
                <c:pt idx="0">
                  <c:v>12</c:v>
                </c:pt>
                <c:pt idx="1">
                  <c:v>25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'harakteristika na deynostta'!$A$6</c:f>
              <c:strCache>
                <c:ptCount val="1"/>
                <c:pt idx="0">
                  <c:v>приходи от населението</c:v>
                </c:pt>
              </c:strCache>
            </c:strRef>
          </c:tx>
          <c:invertIfNegative val="0"/>
          <c:cat>
            <c:numRef>
              <c:f>'harakteristika na deynostta'!$B$3:$C$3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'harakteristika na deynostta'!$B$6:$C$6</c:f>
              <c:numCache>
                <c:formatCode>General</c:formatCode>
                <c:ptCount val="2"/>
                <c:pt idx="0">
                  <c:v>117</c:v>
                </c:pt>
                <c:pt idx="1">
                  <c:v>111</c:v>
                </c:pt>
              </c:numCache>
            </c:numRef>
          </c:val>
          <c:shape val="pyramid"/>
        </c:ser>
        <c:ser>
          <c:idx val="3"/>
          <c:order val="3"/>
          <c:tx>
            <c:strRef>
              <c:f>'harakteristika na deynostta'!$A$7</c:f>
              <c:strCache>
                <c:ptCount val="1"/>
                <c:pt idx="0">
                  <c:v>приходи от здравни фондове </c:v>
                </c:pt>
              </c:strCache>
            </c:strRef>
          </c:tx>
          <c:invertIfNegative val="0"/>
          <c:cat>
            <c:numRef>
              <c:f>'harakteristika na deynostta'!$B$3:$C$3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'harakteristika na deynostta'!$B$7:$C$7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shape val="pyramid"/>
        </c:ser>
        <c:ser>
          <c:idx val="4"/>
          <c:order val="4"/>
          <c:tx>
            <c:strRef>
              <c:f>'harakteristika na deynostta'!$A$8</c:f>
              <c:strCache>
                <c:ptCount val="1"/>
              </c:strCache>
            </c:strRef>
          </c:tx>
          <c:invertIfNegative val="0"/>
          <c:cat>
            <c:numRef>
              <c:f>'harakteristika na deynostta'!$B$3:$C$3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'harakteristika na deynostta'!$B$8:$C$8</c:f>
              <c:numCache>
                <c:formatCode>General</c:formatCode>
                <c:ptCount val="2"/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420416"/>
        <c:axId val="117421952"/>
        <c:axId val="0"/>
      </c:bar3DChart>
      <c:catAx>
        <c:axId val="11742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17421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42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17420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810475864429985"/>
          <c:y val="0.18126922347634303"/>
          <c:w val="0.17197352504849936"/>
          <c:h val="0.38670778320010379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50800" dir="5400000" algn="ctr" rotWithShape="0">
        <a:schemeClr val="accent6">
          <a:lumMod val="20000"/>
          <a:lumOff val="80000"/>
        </a:schemeClr>
      </a:outerShdw>
    </a:effectLst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Стойност на 1 акция</a:t>
            </a:r>
          </a:p>
        </c:rich>
      </c:tx>
      <c:layout>
        <c:manualLayout>
          <c:xMode val="edge"/>
          <c:yMode val="edge"/>
          <c:x val="0.37553292600135774"/>
          <c:y val="5.8181818181818182E-2"/>
        </c:manualLayout>
      </c:layout>
      <c:overlay val="0"/>
    </c:title>
    <c:autoTitleDeleted val="0"/>
    <c:view3D>
      <c:rotX val="9"/>
      <c:hPercent val="72"/>
      <c:rotY val="16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'imushestvena stoynost'!$A$11</c:f>
              <c:strCache>
                <c:ptCount val="1"/>
                <c:pt idx="0">
                  <c:v>Стойност на 1 дял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'imushestvena stoynost'!$B$10:$C$10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'imushestvena stoynost'!$B$11:$C$11</c:f>
              <c:numCache>
                <c:formatCode>#,##0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007872"/>
        <c:axId val="139009408"/>
        <c:axId val="0"/>
      </c:bar3DChart>
      <c:catAx>
        <c:axId val="13900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9009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00940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007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Разпределение на персонала по категории за първо</a:t>
            </a:r>
            <a:r>
              <a:rPr lang="bg-BG" sz="1050" baseline="0"/>
              <a:t> шестмесечие на </a:t>
            </a:r>
            <a:r>
              <a:rPr lang="bg-BG" sz="1050"/>
              <a:t> 2017г.</a:t>
            </a:r>
          </a:p>
        </c:rich>
      </c:tx>
      <c:layout>
        <c:manualLayout>
          <c:xMode val="edge"/>
          <c:yMode val="edge"/>
          <c:x val="0.14574896015093086"/>
          <c:y val="3.5598673374997183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45153534129909"/>
          <c:y val="0.18092691622103388"/>
          <c:w val="0.51327477986274528"/>
          <c:h val="0.30748663101604279"/>
        </c:manualLayout>
      </c:layout>
      <c:pie3DChart>
        <c:varyColors val="1"/>
        <c:ser>
          <c:idx val="0"/>
          <c:order val="0"/>
          <c:explosion val="17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cat>
            <c:strRef>
              <c:f>'personal kategorii'!$A$5:$A$13</c:f>
              <c:strCache>
                <c:ptCount val="9"/>
                <c:pt idx="0">
                  <c:v>Ръководители</c:v>
                </c:pt>
                <c:pt idx="1">
                  <c:v>Специалисти</c:v>
                </c:pt>
                <c:pt idx="2">
                  <c:v>Техници и приложни специалисти</c:v>
                </c:pt>
                <c:pt idx="3">
                  <c:v>Помощен административен персонал</c:v>
                </c:pt>
                <c:pt idx="4">
                  <c:v>Персонал, зает с услуги за населението, търговията и охраната</c:v>
                </c:pt>
                <c:pt idx="5">
                  <c:v>Квалифицирани работници в селското, горското, ловното и рибното стопанство</c:v>
                </c:pt>
                <c:pt idx="6">
                  <c:v>Квалифицирани работници и сродни на тях занаятчии</c:v>
                </c:pt>
                <c:pt idx="7">
                  <c:v>Машинни оператори и монтажници</c:v>
                </c:pt>
                <c:pt idx="8">
                  <c:v>Професии, неизискващи специална квалификация</c:v>
                </c:pt>
              </c:strCache>
            </c:strRef>
          </c:cat>
          <c:val>
            <c:numRef>
              <c:f>'personal kategorii'!$B$5:$B$13</c:f>
              <c:numCache>
                <c:formatCode>General</c:formatCode>
                <c:ptCount val="9"/>
                <c:pt idx="0">
                  <c:v>3</c:v>
                </c:pt>
                <c:pt idx="1">
                  <c:v>38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769918425001344E-2"/>
          <c:y val="0.52673811189074149"/>
          <c:w val="0.96991236430641703"/>
          <c:h val="0.46524077040513201"/>
        </c:manualLayout>
      </c:layout>
      <c:overlay val="0"/>
    </c:legend>
    <c:plotVisOnly val="1"/>
    <c:dispBlanksAs val="zero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50800" dir="5400000" algn="ctr" rotWithShape="0">
        <a:schemeClr val="accent6">
          <a:lumMod val="20000"/>
          <a:lumOff val="80000"/>
        </a:schemeClr>
      </a:outerShdw>
    </a:effectLst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Производителност на труда
(нетни приходи</a:t>
            </a:r>
            <a:r>
              <a:rPr lang="bg-BG" sz="1050" baseline="0"/>
              <a:t> от продажби</a:t>
            </a:r>
            <a:r>
              <a:rPr lang="bg-BG" sz="1050"/>
              <a:t> спрямо 1 лице от средносписъчния състав на персонала)</a:t>
            </a:r>
          </a:p>
        </c:rich>
      </c:tx>
      <c:overlay val="0"/>
    </c:title>
    <c:autoTitleDeleted val="0"/>
    <c:view3D>
      <c:rotX val="15"/>
      <c:hPercent val="56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'proizvoditelnost na truda'!$J$5</c:f>
              <c:strCache>
                <c:ptCount val="1"/>
                <c:pt idx="0">
                  <c:v>Производителност на труда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'proizvoditelnost na truda'!$K$4:$L$4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'proizvoditelnost na truda'!$K$5:$L$5</c:f>
              <c:numCache>
                <c:formatCode>0</c:formatCode>
                <c:ptCount val="2"/>
                <c:pt idx="0">
                  <c:v>10.578947368421053</c:v>
                </c:pt>
                <c:pt idx="1">
                  <c:v>10.517241379310345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041024"/>
        <c:axId val="139042816"/>
        <c:axId val="0"/>
      </c:bar3DChart>
      <c:catAx>
        <c:axId val="13904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9042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042816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0410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Рентабилност на труда
(финансов резултат спрямо 1 лице от средносписъчния състав на персонала)</a:t>
            </a:r>
          </a:p>
        </c:rich>
      </c:tx>
      <c:overlay val="0"/>
    </c:title>
    <c:autoTitleDeleted val="0"/>
    <c:view3D>
      <c:rotX val="15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'proizvoditelnost na truda'!$J$10</c:f>
              <c:strCache>
                <c:ptCount val="1"/>
                <c:pt idx="0">
                  <c:v>Рентабилност на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'proizvoditelnost na truda'!$K$9:$L$9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'proizvoditelnost na truda'!$K$10:$L$10</c:f>
              <c:numCache>
                <c:formatCode>0</c:formatCode>
                <c:ptCount val="2"/>
                <c:pt idx="0">
                  <c:v>0.12280701754385964</c:v>
                </c:pt>
                <c:pt idx="1">
                  <c:v>0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055488"/>
        <c:axId val="139057024"/>
        <c:axId val="0"/>
      </c:bar3DChart>
      <c:catAx>
        <c:axId val="1390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905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05702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055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Издръжка на 1 лице от персонала (лв.)</a:t>
            </a:r>
          </a:p>
        </c:rich>
      </c:tx>
      <c:overlay val="0"/>
    </c:title>
    <c:autoTitleDeleted val="0"/>
    <c:view3D>
      <c:rotX val="15"/>
      <c:hPercent val="76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'proizvoditelnost na truda'!$J$39</c:f>
              <c:strCache>
                <c:ptCount val="1"/>
                <c:pt idx="0">
                  <c:v>Издръжка на 1 лице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'proizvoditelnost na truda'!$K$38:$L$38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'proizvoditelnost na truda'!$K$39:$L$39</c:f>
              <c:numCache>
                <c:formatCode>General</c:formatCode>
                <c:ptCount val="2"/>
                <c:pt idx="0">
                  <c:v>8387.5438596491222</c:v>
                </c:pt>
                <c:pt idx="1">
                  <c:v>8219.7758620689656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143424"/>
        <c:axId val="139173888"/>
        <c:axId val="0"/>
      </c:bar3DChart>
      <c:catAx>
        <c:axId val="13914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917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173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143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Издръжка на едно лице от персонала спрямо производителност на труда и рентабилност на труда</a:t>
            </a:r>
          </a:p>
        </c:rich>
      </c:tx>
      <c:overlay val="0"/>
    </c:title>
    <c:autoTitleDeleted val="0"/>
    <c:view3D>
      <c:rotX val="15"/>
      <c:hPercent val="97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'proizvoditelnost na truda'!$O$10</c:f>
              <c:strCache>
                <c:ptCount val="1"/>
                <c:pt idx="0">
                  <c:v>Издръжка на едно лице от персонала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'proizvoditelnost na truda'!$P$9:$Q$9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'proizvoditelnost na truda'!$P$10:$Q$10</c:f>
              <c:numCache>
                <c:formatCode>0</c:formatCode>
                <c:ptCount val="2"/>
                <c:pt idx="0">
                  <c:v>8387.5438596491222</c:v>
                </c:pt>
                <c:pt idx="1">
                  <c:v>8219.7758620689656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'proizvoditelnost na truda'!$O$11</c:f>
              <c:strCache>
                <c:ptCount val="1"/>
                <c:pt idx="0">
                  <c:v>Производителност на труда (спрямо нетни приходи от продажби)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'proizvoditelnost na truda'!$P$9:$Q$9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'proizvoditelnost na truda'!$P$11:$Q$11</c:f>
              <c:numCache>
                <c:formatCode>0</c:formatCode>
                <c:ptCount val="2"/>
                <c:pt idx="0">
                  <c:v>10571.771929824561</c:v>
                </c:pt>
                <c:pt idx="1">
                  <c:v>10514.896551724138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'proizvoditelnost na truda'!$O$12</c:f>
              <c:strCache>
                <c:ptCount val="1"/>
                <c:pt idx="0">
                  <c:v>Рентабилност на труда (спрямо финансов резултат)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'proizvoditelnost na truda'!$P$9:$Q$9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'proizvoditelnost na truda'!$P$12:$Q$12</c:f>
              <c:numCache>
                <c:formatCode>0</c:formatCode>
                <c:ptCount val="2"/>
                <c:pt idx="0">
                  <c:v>113.7719298245614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446144"/>
        <c:axId val="139447680"/>
        <c:axId val="0"/>
      </c:bar3DChart>
      <c:catAx>
        <c:axId val="13944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944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447680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446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623155801177034"/>
          <c:y val="0.32883282793534302"/>
          <c:w val="0.34789542611521385"/>
          <c:h val="0.45190700676978485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Реализирани приходи от продажби на външни и вътрешни пазари</a:t>
            </a:r>
            <a:endParaRPr lang="en-US" sz="105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'harakteristika na deynostta'!$B$34:$B$35</c:f>
              <c:strCache>
                <c:ptCount val="1"/>
                <c:pt idx="0">
                  <c:v>2017 външни пазари</c:v>
                </c:pt>
              </c:strCache>
            </c:strRef>
          </c:tx>
          <c:invertIfNegative val="0"/>
          <c:cat>
            <c:strRef>
              <c:f>'harakteristika na deynostta'!$A$36:$A$40</c:f>
              <c:strCache>
                <c:ptCount val="4"/>
                <c:pt idx="0">
                  <c:v>приходи от РЗОК</c:v>
                </c:pt>
                <c:pt idx="1">
                  <c:v>приходи от профилактични прегледи</c:v>
                </c:pt>
                <c:pt idx="2">
                  <c:v>приходи от населението</c:v>
                </c:pt>
                <c:pt idx="3">
                  <c:v>приходи от здравни фондове</c:v>
                </c:pt>
              </c:strCache>
            </c:strRef>
          </c:cat>
          <c:val>
            <c:numRef>
              <c:f>'harakteristika na deynostta'!$B$36:$B$40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'harakteristika na deynostta'!$C$34:$C$35</c:f>
              <c:strCache>
                <c:ptCount val="1"/>
                <c:pt idx="0">
                  <c:v>2017 вътрешни пазари</c:v>
                </c:pt>
              </c:strCache>
            </c:strRef>
          </c:tx>
          <c:invertIfNegative val="0"/>
          <c:cat>
            <c:strRef>
              <c:f>'harakteristika na deynostta'!$A$36:$A$40</c:f>
              <c:strCache>
                <c:ptCount val="4"/>
                <c:pt idx="0">
                  <c:v>приходи от РЗОК</c:v>
                </c:pt>
                <c:pt idx="1">
                  <c:v>приходи от профилактични прегледи</c:v>
                </c:pt>
                <c:pt idx="2">
                  <c:v>приходи от населението</c:v>
                </c:pt>
                <c:pt idx="3">
                  <c:v>приходи от здравни фондове</c:v>
                </c:pt>
              </c:strCache>
            </c:strRef>
          </c:cat>
          <c:val>
            <c:numRef>
              <c:f>'harakteristika na deynostta'!$C$36:$C$40</c:f>
              <c:numCache>
                <c:formatCode>General</c:formatCode>
                <c:ptCount val="5"/>
                <c:pt idx="0">
                  <c:v>448</c:v>
                </c:pt>
                <c:pt idx="1">
                  <c:v>12</c:v>
                </c:pt>
                <c:pt idx="2">
                  <c:v>117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'harakteristika na deynostta'!$D$34:$D$35</c:f>
              <c:strCache>
                <c:ptCount val="1"/>
                <c:pt idx="0">
                  <c:v>2016 външни пазари</c:v>
                </c:pt>
              </c:strCache>
            </c:strRef>
          </c:tx>
          <c:invertIfNegative val="0"/>
          <c:cat>
            <c:strRef>
              <c:f>'harakteristika na deynostta'!$A$36:$A$40</c:f>
              <c:strCache>
                <c:ptCount val="4"/>
                <c:pt idx="0">
                  <c:v>приходи от РЗОК</c:v>
                </c:pt>
                <c:pt idx="1">
                  <c:v>приходи от профилактични прегледи</c:v>
                </c:pt>
                <c:pt idx="2">
                  <c:v>приходи от населението</c:v>
                </c:pt>
                <c:pt idx="3">
                  <c:v>приходи от здравни фондове</c:v>
                </c:pt>
              </c:strCache>
            </c:strRef>
          </c:cat>
          <c:val>
            <c:numRef>
              <c:f>'harakteristika na deynostta'!$D$36:$D$40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'harakteristika na deynostta'!$E$34:$E$35</c:f>
              <c:strCache>
                <c:ptCount val="1"/>
                <c:pt idx="0">
                  <c:v>2016 вътрешни пазари</c:v>
                </c:pt>
              </c:strCache>
            </c:strRef>
          </c:tx>
          <c:invertIfNegative val="0"/>
          <c:cat>
            <c:strRef>
              <c:f>'harakteristika na deynostta'!$A$36:$A$40</c:f>
              <c:strCache>
                <c:ptCount val="4"/>
                <c:pt idx="0">
                  <c:v>приходи от РЗОК</c:v>
                </c:pt>
                <c:pt idx="1">
                  <c:v>приходи от профилактични прегледи</c:v>
                </c:pt>
                <c:pt idx="2">
                  <c:v>приходи от населението</c:v>
                </c:pt>
                <c:pt idx="3">
                  <c:v>приходи от здравни фондове</c:v>
                </c:pt>
              </c:strCache>
            </c:strRef>
          </c:cat>
          <c:val>
            <c:numRef>
              <c:f>'harakteristika na deynostta'!$E$36:$E$40</c:f>
              <c:numCache>
                <c:formatCode>General</c:formatCode>
                <c:ptCount val="5"/>
                <c:pt idx="0">
                  <c:v>448</c:v>
                </c:pt>
                <c:pt idx="1">
                  <c:v>25</c:v>
                </c:pt>
                <c:pt idx="2">
                  <c:v>111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6770304"/>
        <c:axId val="136771840"/>
        <c:axId val="0"/>
      </c:bar3DChart>
      <c:catAx>
        <c:axId val="13677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771840"/>
        <c:crosses val="autoZero"/>
        <c:auto val="1"/>
        <c:lblAlgn val="ctr"/>
        <c:lblOffset val="100"/>
        <c:noMultiLvlLbl val="0"/>
      </c:catAx>
      <c:valAx>
        <c:axId val="136771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6770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50800" dir="5400000" algn="ctr" rotWithShape="0">
        <a:schemeClr val="accent6">
          <a:lumMod val="20000"/>
          <a:lumOff val="80000"/>
        </a:schemeClr>
      </a:outerShdw>
    </a:effectLst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Приходи и</a:t>
            </a:r>
            <a:r>
              <a:rPr lang="bg-BG" sz="1050" baseline="0"/>
              <a:t> разходи от оперативна дейност</a:t>
            </a:r>
          </a:p>
        </c:rich>
      </c:tx>
      <c:overlay val="0"/>
    </c:title>
    <c:autoTitleDeleted val="0"/>
    <c:view3D>
      <c:rotX val="10"/>
      <c:hPercent val="84"/>
      <c:rotY val="15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'finansovi pokazateli'!$I$14</c:f>
              <c:strCache>
                <c:ptCount val="1"/>
                <c:pt idx="0">
                  <c:v>Общо приходи от оперативна дейност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'finansovi pokazateli'!$J$13:$K$13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pokazateli'!$J$14:$K$14</c:f>
              <c:numCache>
                <c:formatCode>0.00</c:formatCode>
                <c:ptCount val="2"/>
                <c:pt idx="0">
                  <c:v>602</c:v>
                </c:pt>
                <c:pt idx="1">
                  <c:v>619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'finansovi pokazateli'!$I$15</c:f>
              <c:strCache>
                <c:ptCount val="1"/>
                <c:pt idx="0">
                  <c:v>Общо разходи за оперативна дейност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'finansovi pokazateli'!$J$13:$K$13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pokazateli'!$J$15:$K$15</c:f>
              <c:numCache>
                <c:formatCode>0.00</c:formatCode>
                <c:ptCount val="2"/>
                <c:pt idx="0">
                  <c:v>595</c:v>
                </c:pt>
                <c:pt idx="1">
                  <c:v>619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904064"/>
        <c:axId val="137122944"/>
        <c:axId val="0"/>
      </c:bar3DChart>
      <c:catAx>
        <c:axId val="13690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712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122944"/>
        <c:scaling>
          <c:orientation val="minMax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6904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000"/>
          </a:pPr>
          <a:endParaRPr lang="bg-BG"/>
        </a:p>
      </c:txPr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txPr>
    <a:bodyPr/>
    <a:lstStyle/>
    <a:p>
      <a:pPr>
        <a:defRPr sz="1050"/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Приходи, разходи и финансов резултат</a:t>
            </a:r>
          </a:p>
        </c:rich>
      </c:tx>
      <c:overlay val="0"/>
    </c:title>
    <c:autoTitleDeleted val="0"/>
    <c:view3D>
      <c:rotX val="15"/>
      <c:hPercent val="7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'finansovi pokazateli'!$I$37</c:f>
              <c:strCache>
                <c:ptCount val="1"/>
                <c:pt idx="0">
                  <c:v>Общо приходи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'finansovi pokazateli'!$J$36:$K$36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pokazateli'!$J$37:$K$37</c:f>
              <c:numCache>
                <c:formatCode>0</c:formatCode>
                <c:ptCount val="2"/>
                <c:pt idx="0">
                  <c:v>602</c:v>
                </c:pt>
                <c:pt idx="1">
                  <c:v>619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'finansovi pokazateli'!$I$38</c:f>
              <c:strCache>
                <c:ptCount val="1"/>
                <c:pt idx="0">
                  <c:v>Общо разходи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'finansovi pokazateli'!$J$36:$K$36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pokazateli'!$J$38:$K$38</c:f>
              <c:numCache>
                <c:formatCode>0</c:formatCode>
                <c:ptCount val="2"/>
                <c:pt idx="0">
                  <c:v>595</c:v>
                </c:pt>
                <c:pt idx="1">
                  <c:v>619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'finansovi pokazateli'!$I$39</c:f>
              <c:strCache>
                <c:ptCount val="1"/>
                <c:pt idx="0">
                  <c:v>Финансов резултат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'finansovi pokazateli'!$J$36:$K$36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pokazateli'!$J$39:$K$39</c:f>
              <c:numCache>
                <c:formatCode>0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296896"/>
        <c:axId val="137745152"/>
        <c:axId val="0"/>
      </c:bar3DChart>
      <c:catAx>
        <c:axId val="13729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7745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745152"/>
        <c:scaling>
          <c:orientation val="minMax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7296896"/>
        <c:crosses val="autoZero"/>
        <c:crossBetween val="between"/>
        <c:minorUnit val="2.56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Финансова автономност</a:t>
            </a:r>
          </a:p>
        </c:rich>
      </c:tx>
      <c:overlay val="0"/>
    </c:title>
    <c:autoTitleDeleted val="0"/>
    <c:view3D>
      <c:rotX val="10"/>
      <c:hPercent val="84"/>
      <c:rotY val="15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'finansovi pokazateli'!$I$64</c:f>
              <c:strCache>
                <c:ptCount val="1"/>
                <c:pt idx="0">
                  <c:v>Коеф. на финансова автономност (7/8)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'finansovi pokazateli'!$J$63:$K$63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pokazateli'!$J$64:$K$64</c:f>
              <c:numCache>
                <c:formatCode>0.00</c:formatCode>
                <c:ptCount val="2"/>
                <c:pt idx="0">
                  <c:v>2.5865921787709496</c:v>
                </c:pt>
                <c:pt idx="1">
                  <c:v>2.4123711340206184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'finansovi pokazateli'!$I$65</c:f>
              <c:strCache>
                <c:ptCount val="1"/>
                <c:pt idx="0">
                  <c:v>Коеф. на платежоспособност (9/8)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'finansovi pokazateli'!$J$63:$K$63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pokazateli'!$J$65:$K$65</c:f>
              <c:numCache>
                <c:formatCode>0.00</c:formatCode>
                <c:ptCount val="2"/>
                <c:pt idx="0">
                  <c:v>1.8100558659217878</c:v>
                </c:pt>
                <c:pt idx="1">
                  <c:v>1.7783505154639174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787264"/>
        <c:axId val="137788800"/>
        <c:axId val="0"/>
      </c:bar3DChart>
      <c:catAx>
        <c:axId val="1377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7788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788800"/>
        <c:scaling>
          <c:orientation val="minMax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7787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000"/>
          </a:pPr>
          <a:endParaRPr lang="bg-BG"/>
        </a:p>
      </c:txPr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txPr>
    <a:bodyPr/>
    <a:lstStyle/>
    <a:p>
      <a:pPr>
        <a:defRPr sz="1050"/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Рентабилност</a:t>
            </a:r>
          </a:p>
        </c:rich>
      </c:tx>
      <c:overlay val="0"/>
    </c:title>
    <c:autoTitleDeleted val="0"/>
    <c:view3D>
      <c:rotX val="10"/>
      <c:hPercent val="82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'finansovi pokazateli'!$I$87</c:f>
              <c:strCache>
                <c:ptCount val="1"/>
                <c:pt idx="0">
                  <c:v>Коеф. на рентабилност на приходите от продажби (1/2)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'finansovi pokazateli'!$J$86:$K$86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pokazateli'!$J$87:$K$87</c:f>
              <c:numCache>
                <c:formatCode>0.000</c:formatCode>
                <c:ptCount val="2"/>
                <c:pt idx="0">
                  <c:v>1.0380622837370242E-2</c:v>
                </c:pt>
                <c:pt idx="1">
                  <c:v>0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'finansovi pokazateli'!$I$88</c:f>
              <c:strCache>
                <c:ptCount val="1"/>
                <c:pt idx="0">
                  <c:v> Коеф. на рентабилност на собствения капитал (1/7)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'finansovi pokazateli'!$J$86:$K$86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pokazateli'!$J$88:$K$88</c:f>
              <c:numCache>
                <c:formatCode>0.000</c:formatCode>
                <c:ptCount val="2"/>
                <c:pt idx="0">
                  <c:v>1.2958963282937365E-2</c:v>
                </c:pt>
                <c:pt idx="1">
                  <c:v>0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'finansovi pokazateli'!$I$89</c:f>
              <c:strCache>
                <c:ptCount val="1"/>
                <c:pt idx="0">
                  <c:v>Коеф. на рентабилност на пасивите (1/8)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'finansovi pokazateli'!$J$86:$K$86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pokazateli'!$J$89:$K$89</c:f>
              <c:numCache>
                <c:formatCode>0.000</c:formatCode>
                <c:ptCount val="2"/>
                <c:pt idx="0">
                  <c:v>3.3519553072625698E-2</c:v>
                </c:pt>
                <c:pt idx="1">
                  <c:v>0</c:v>
                </c:pt>
              </c:numCache>
            </c:numRef>
          </c:val>
          <c:shape val="pyramid"/>
        </c:ser>
        <c:ser>
          <c:idx val="3"/>
          <c:order val="3"/>
          <c:tx>
            <c:strRef>
              <c:f>'finansovi pokazateli'!$I$90</c:f>
              <c:strCache>
                <c:ptCount val="1"/>
                <c:pt idx="0">
                  <c:v>Коеф. на капитализация на активите (1/9)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cat>
            <c:numRef>
              <c:f>'finansovi pokazateli'!$J$86:$K$86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pokazateli'!$J$90:$K$90</c:f>
              <c:numCache>
                <c:formatCode>0.000</c:formatCode>
                <c:ptCount val="2"/>
                <c:pt idx="0">
                  <c:v>1.8518518518518517E-2</c:v>
                </c:pt>
                <c:pt idx="1">
                  <c:v>0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180864"/>
        <c:axId val="138194944"/>
        <c:axId val="0"/>
      </c:bar3DChart>
      <c:catAx>
        <c:axId val="13818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8194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194944"/>
        <c:scaling>
          <c:orientation val="minMax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81808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Ефективност</a:t>
            </a:r>
          </a:p>
        </c:rich>
      </c:tx>
      <c:overlay val="0"/>
    </c:title>
    <c:autoTitleDeleted val="0"/>
    <c:view3D>
      <c:rotX val="12"/>
      <c:hPercent val="84"/>
      <c:rotY val="23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'finansovi pokazateli'!$I$113</c:f>
              <c:strCache>
                <c:ptCount val="1"/>
                <c:pt idx="0">
                  <c:v>Коеф. на ефективност на разходите (4/6)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'finansovi pokazateli'!$J$112:$K$112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pokazateli'!$J$113:$K$113</c:f>
              <c:numCache>
                <c:formatCode>0.000</c:formatCode>
                <c:ptCount val="2"/>
                <c:pt idx="0">
                  <c:v>1.0117647058823529</c:v>
                </c:pt>
                <c:pt idx="1">
                  <c:v>1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'finansovi pokazateli'!$I$114</c:f>
              <c:strCache>
                <c:ptCount val="1"/>
                <c:pt idx="0">
                  <c:v>Коефициент на ефективност на разходите от оперативна дейност (3/5)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'finansovi pokazateli'!$J$112:$K$112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pokazateli'!$J$114:$K$114</c:f>
              <c:numCache>
                <c:formatCode>0.000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208384"/>
        <c:axId val="138209920"/>
        <c:axId val="0"/>
      </c:bar3DChart>
      <c:catAx>
        <c:axId val="13820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820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209920"/>
        <c:scaling>
          <c:orientation val="minMax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8208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Ликвидност</a:t>
            </a:r>
          </a:p>
        </c:rich>
      </c:tx>
      <c:overlay val="0"/>
    </c:title>
    <c:autoTitleDeleted val="0"/>
    <c:view3D>
      <c:rotX val="15"/>
      <c:hPercent val="83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'finansovi pokazateli'!$I$137</c:f>
              <c:strCache>
                <c:ptCount val="1"/>
                <c:pt idx="0">
                  <c:v>Коеф. на обща ликвидност (10/11)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'finansovi pokazateli'!$J$136:$K$136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pokazateli'!$J$137:$K$137</c:f>
              <c:numCache>
                <c:formatCode>0.000</c:formatCode>
                <c:ptCount val="2"/>
                <c:pt idx="0">
                  <c:v>2.1578947368421053</c:v>
                </c:pt>
                <c:pt idx="1">
                  <c:v>2.0694444444444446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'finansovi pokazateli'!$I$138</c:f>
              <c:strCache>
                <c:ptCount val="1"/>
                <c:pt idx="0">
                  <c:v>Коеф. на бърза ликвидност  (12+13+14)/11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'finansovi pokazateli'!$J$136:$K$136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pokazateli'!$J$138:$K$138</c:f>
              <c:numCache>
                <c:formatCode>0.000</c:formatCode>
                <c:ptCount val="2"/>
                <c:pt idx="0">
                  <c:v>2.2030075187969924</c:v>
                </c:pt>
                <c:pt idx="1">
                  <c:v>2.0347222222222223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'finansovi pokazateli'!$I$139</c:f>
              <c:strCache>
                <c:ptCount val="1"/>
                <c:pt idx="0">
                  <c:v>Коеф. на незабавна ликвидност (13+14)/11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'finansovi pokazateli'!$J$136:$K$136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pokazateli'!$J$139:$K$139</c:f>
              <c:numCache>
                <c:formatCode>0.000</c:formatCode>
                <c:ptCount val="2"/>
                <c:pt idx="0">
                  <c:v>1.0075187969924813</c:v>
                </c:pt>
                <c:pt idx="1">
                  <c:v>1</c:v>
                </c:pt>
              </c:numCache>
            </c:numRef>
          </c:val>
          <c:shape val="pyramid"/>
        </c:ser>
        <c:ser>
          <c:idx val="3"/>
          <c:order val="3"/>
          <c:tx>
            <c:strRef>
              <c:f>'finansovi pokazateli'!$I$140</c:f>
              <c:strCache>
                <c:ptCount val="1"/>
                <c:pt idx="0">
                  <c:v>Коеф. на абсолютна ликвидност (14/11)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cat>
            <c:numRef>
              <c:f>'finansovi pokazateli'!$J$136:$K$136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'finansovi pokazateli'!$J$140:$K$140</c:f>
              <c:numCache>
                <c:formatCode>0.000</c:formatCode>
                <c:ptCount val="2"/>
                <c:pt idx="0">
                  <c:v>1.0075187969924813</c:v>
                </c:pt>
                <c:pt idx="1">
                  <c:v>1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380800"/>
        <c:axId val="138382336"/>
        <c:axId val="0"/>
      </c:bar3DChart>
      <c:catAx>
        <c:axId val="13838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8382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382336"/>
        <c:scaling>
          <c:orientation val="minMax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8380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bg-BG" sz="1050"/>
              <a:t>Стойност на 100% от собствения капитал</a:t>
            </a:r>
          </a:p>
        </c:rich>
      </c:tx>
      <c:overlay val="0"/>
    </c:title>
    <c:autoTitleDeleted val="0"/>
    <c:view3D>
      <c:rotX val="10"/>
      <c:hPercent val="60"/>
      <c:rotY val="18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'imushestvena stoynost'!$A$4</c:f>
              <c:strCache>
                <c:ptCount val="1"/>
                <c:pt idx="0">
                  <c:v>Стойност на 100% от собствения капитал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numRef>
              <c:f>'imushestvena stoynost'!$B$3:$C$3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'imushestvena stoynost'!$B$4:$C$4</c:f>
              <c:numCache>
                <c:formatCode>#,##0</c:formatCode>
                <c:ptCount val="2"/>
                <c:pt idx="0">
                  <c:v>347800</c:v>
                </c:pt>
                <c:pt idx="1">
                  <c:v>347800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919296"/>
        <c:axId val="138937472"/>
        <c:axId val="0"/>
      </c:bar3DChart>
      <c:catAx>
        <c:axId val="13891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8937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937472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89192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solidFill>
        <a:schemeClr val="accent6">
          <a:lumMod val="75000"/>
        </a:schemeClr>
      </a:solidFill>
    </a:ln>
    <a:effectLst>
      <a:outerShdw blurRad="50800" dist="38100" dir="5400000" algn="t" rotWithShape="0">
        <a:schemeClr val="accent6">
          <a:lumMod val="20000"/>
          <a:lumOff val="80000"/>
          <a:alpha val="40000"/>
        </a:schemeClr>
      </a:outerShd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91F64-993E-4F6F-9679-273143BF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5136</Words>
  <Characters>29276</Characters>
  <Application>Microsoft Office Word</Application>
  <DocSecurity>0</DocSecurity>
  <Lines>243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ГОДИШЕН ДОКЛАД          ЗА ДЕЙНОСТТА</vt:lpstr>
      <vt:lpstr/>
    </vt:vector>
  </TitlesOfParts>
  <Company/>
  <LinksUpToDate>false</LinksUpToDate>
  <CharactersWithSpaces>34344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ДОКЛАД          ЗА ДЕЙНОСТТА</dc:title>
  <dc:subject>НА ДКЦ V ВАРНА „СВЕТА ЕКАТЕРИНА“ ЕООД</dc:subject>
  <dc:creator>ДКЦ V ВАРНА“СВЕТА ЕКАТЕРИНА“ ЕООД</dc:creator>
  <cp:lastModifiedBy>User</cp:lastModifiedBy>
  <cp:revision>10</cp:revision>
  <cp:lastPrinted>2017-03-21T10:00:00Z</cp:lastPrinted>
  <dcterms:created xsi:type="dcterms:W3CDTF">2017-07-25T13:05:00Z</dcterms:created>
  <dcterms:modified xsi:type="dcterms:W3CDTF">2017-07-26T08:37:00Z</dcterms:modified>
</cp:coreProperties>
</file>