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526A7" w14:textId="77777777" w:rsidR="00456C65" w:rsidRPr="00721663" w:rsidRDefault="00456C65" w:rsidP="00BB0380">
      <w:pPr>
        <w:pStyle w:val="Heading1"/>
      </w:pPr>
      <w:bookmarkStart w:id="0" w:name="_Toc156219580"/>
      <w:bookmarkStart w:id="1" w:name="_Toc490647383"/>
      <w:r w:rsidRPr="00721663">
        <w:rPr>
          <w:szCs w:val="28"/>
        </w:rPr>
        <w:t xml:space="preserve">1. </w:t>
      </w:r>
      <w:bookmarkEnd w:id="0"/>
      <w:r w:rsidR="005D35DD" w:rsidRPr="00721663">
        <w:t>Корпоративна информация</w:t>
      </w:r>
      <w:bookmarkEnd w:id="1"/>
    </w:p>
    <w:p w14:paraId="1788B661" w14:textId="470FA068" w:rsidR="008B56ED" w:rsidRPr="00721663" w:rsidRDefault="005D35DD" w:rsidP="00A25320">
      <w:pPr>
        <w:pStyle w:val="ordinarytext"/>
        <w:spacing w:after="120" w:line="240" w:lineRule="atLeast"/>
        <w:contextualSpacing w:val="0"/>
        <w:jc w:val="left"/>
        <w:rPr>
          <w:lang w:val="bg-BG"/>
        </w:rPr>
      </w:pPr>
      <w:r w:rsidRPr="00721663">
        <w:rPr>
          <w:lang w:val="bg-BG"/>
        </w:rPr>
        <w:t xml:space="preserve">Консолидираният </w:t>
      </w:r>
      <w:r w:rsidR="00291054" w:rsidRPr="00721663">
        <w:rPr>
          <w:lang w:val="bg-BG"/>
        </w:rPr>
        <w:t xml:space="preserve"> междинен </w:t>
      </w:r>
      <w:r w:rsidRPr="00721663">
        <w:rPr>
          <w:lang w:val="bg-BG"/>
        </w:rPr>
        <w:t xml:space="preserve">финансов отчет на ВГЕ-1 ЕООД </w:t>
      </w:r>
      <w:r w:rsidR="000E1ACD" w:rsidRPr="00721663">
        <w:rPr>
          <w:lang w:val="bg-BG"/>
        </w:rPr>
        <w:t xml:space="preserve"> и неговите дъщерни дружества </w:t>
      </w:r>
      <w:r w:rsidRPr="00721663">
        <w:rPr>
          <w:lang w:val="bg-BG"/>
        </w:rPr>
        <w:t xml:space="preserve">(Групата) </w:t>
      </w:r>
      <w:r w:rsidR="00D54DF4" w:rsidRPr="00721663">
        <w:rPr>
          <w:lang w:val="bg-BG"/>
        </w:rPr>
        <w:t xml:space="preserve">за </w:t>
      </w:r>
      <w:r w:rsidR="001F3A8B" w:rsidRPr="00721663">
        <w:rPr>
          <w:lang w:val="bg-BG"/>
        </w:rPr>
        <w:t>шестмесечния период</w:t>
      </w:r>
      <w:r w:rsidR="00D54DF4" w:rsidRPr="00721663">
        <w:rPr>
          <w:lang w:val="bg-BG"/>
        </w:rPr>
        <w:t xml:space="preserve">, приключващ на </w:t>
      </w:r>
      <w:r w:rsidR="00144930">
        <w:rPr>
          <w:lang w:val="bg-BG"/>
        </w:rPr>
        <w:t>30 юни 2017</w:t>
      </w:r>
      <w:r w:rsidRPr="00721663">
        <w:rPr>
          <w:lang w:val="bg-BG"/>
        </w:rPr>
        <w:t> г.</w:t>
      </w:r>
      <w:r w:rsidR="003267A5" w:rsidRPr="00721663">
        <w:rPr>
          <w:lang w:val="bg-BG"/>
        </w:rPr>
        <w:t>,</w:t>
      </w:r>
      <w:r w:rsidRPr="00721663">
        <w:rPr>
          <w:lang w:val="bg-BG"/>
        </w:rPr>
        <w:t xml:space="preserve"> е одобрен за издаване от Управителите на</w:t>
      </w:r>
      <w:r w:rsidR="000F2416" w:rsidRPr="00721663">
        <w:rPr>
          <w:lang w:val="bg-BG"/>
        </w:rPr>
        <w:t xml:space="preserve"> </w:t>
      </w:r>
      <w:r w:rsidR="00E82DA6">
        <w:t>2</w:t>
      </w:r>
      <w:r w:rsidR="0052564C">
        <w:rPr>
          <w:lang w:val="bg-BG"/>
        </w:rPr>
        <w:t>6</w:t>
      </w:r>
      <w:r w:rsidR="005F1741" w:rsidRPr="00721663">
        <w:rPr>
          <w:lang w:val="bg-BG"/>
        </w:rPr>
        <w:t xml:space="preserve"> </w:t>
      </w:r>
      <w:r w:rsidR="00291054" w:rsidRPr="00721663">
        <w:rPr>
          <w:lang w:val="bg-BG"/>
        </w:rPr>
        <w:t xml:space="preserve">юли </w:t>
      </w:r>
      <w:r w:rsidR="002763F9" w:rsidRPr="00721663">
        <w:rPr>
          <w:lang w:val="bg-BG"/>
        </w:rPr>
        <w:t xml:space="preserve"> </w:t>
      </w:r>
      <w:r w:rsidRPr="00721663">
        <w:rPr>
          <w:lang w:val="bg-BG"/>
        </w:rPr>
        <w:t>201</w:t>
      </w:r>
      <w:r w:rsidR="0052564C">
        <w:rPr>
          <w:lang w:val="bg-BG"/>
        </w:rPr>
        <w:t>7</w:t>
      </w:r>
      <w:r w:rsidRPr="00721663">
        <w:rPr>
          <w:lang w:val="bg-BG"/>
        </w:rPr>
        <w:t xml:space="preserve"> г. </w:t>
      </w:r>
    </w:p>
    <w:p w14:paraId="72C95551" w14:textId="77777777" w:rsidR="005F5E9C" w:rsidRPr="00721663" w:rsidRDefault="005F5E9C" w:rsidP="00855DB9">
      <w:pPr>
        <w:spacing w:after="120"/>
        <w:jc w:val="left"/>
        <w:rPr>
          <w:rFonts w:ascii="Arial" w:hAnsi="Arial"/>
          <w:sz w:val="18"/>
          <w:szCs w:val="18"/>
          <w:lang w:val="bg-BG"/>
        </w:rPr>
      </w:pPr>
      <w:r w:rsidRPr="00721663">
        <w:rPr>
          <w:rFonts w:ascii="Arial" w:hAnsi="Arial"/>
          <w:sz w:val="18"/>
          <w:szCs w:val="18"/>
          <w:lang w:val="bg-BG"/>
        </w:rPr>
        <w:t xml:space="preserve">ВГЕ-1 ЕООД </w:t>
      </w:r>
      <w:r w:rsidR="008E6C18" w:rsidRPr="00721663">
        <w:rPr>
          <w:rFonts w:ascii="Arial" w:hAnsi="Arial"/>
          <w:sz w:val="18"/>
          <w:szCs w:val="18"/>
          <w:lang w:val="bg-BG"/>
        </w:rPr>
        <w:t>(</w:t>
      </w:r>
      <w:r w:rsidRPr="00721663">
        <w:rPr>
          <w:rFonts w:ascii="Arial" w:hAnsi="Arial"/>
          <w:sz w:val="18"/>
          <w:szCs w:val="18"/>
          <w:lang w:val="bg-BG"/>
        </w:rPr>
        <w:t>ВГЕ или Дружеството)</w:t>
      </w:r>
      <w:r w:rsidR="008E6C18" w:rsidRPr="00721663">
        <w:rPr>
          <w:rFonts w:ascii="Arial" w:hAnsi="Arial"/>
          <w:sz w:val="18"/>
          <w:szCs w:val="18"/>
          <w:lang w:val="bg-BG"/>
        </w:rPr>
        <w:t xml:space="preserve"> </w:t>
      </w:r>
      <w:r w:rsidRPr="00721663">
        <w:rPr>
          <w:rFonts w:ascii="Arial" w:hAnsi="Arial"/>
          <w:sz w:val="18"/>
          <w:szCs w:val="18"/>
          <w:lang w:val="bg-BG"/>
        </w:rPr>
        <w:t>е българско еднолично дружество с ограничена отговорност, регистрирано и установено в България, със седалище и адрес на управление бул.</w:t>
      </w:r>
      <w:r w:rsidR="000F2416" w:rsidRPr="00721663">
        <w:rPr>
          <w:rFonts w:ascii="Arial" w:hAnsi="Arial"/>
          <w:sz w:val="18"/>
          <w:szCs w:val="18"/>
          <w:lang w:val="bg-BG"/>
        </w:rPr>
        <w:t xml:space="preserve"> </w:t>
      </w:r>
      <w:r w:rsidRPr="00721663">
        <w:rPr>
          <w:rFonts w:ascii="Arial" w:hAnsi="Arial"/>
          <w:sz w:val="18"/>
          <w:szCs w:val="18"/>
          <w:lang w:val="bg-BG"/>
        </w:rPr>
        <w:t>Патриарх Евтимий 19</w:t>
      </w:r>
      <w:r w:rsidR="00A25320" w:rsidRPr="00721663">
        <w:rPr>
          <w:rFonts w:ascii="Arial" w:hAnsi="Arial"/>
          <w:sz w:val="18"/>
          <w:szCs w:val="18"/>
          <w:lang w:val="bg-BG"/>
        </w:rPr>
        <w:t xml:space="preserve"> </w:t>
      </w:r>
      <w:r w:rsidRPr="00721663">
        <w:rPr>
          <w:rFonts w:ascii="Arial" w:hAnsi="Arial"/>
          <w:sz w:val="18"/>
          <w:szCs w:val="18"/>
          <w:lang w:val="bg-BG"/>
        </w:rPr>
        <w:t>Б, София</w:t>
      </w:r>
      <w:r w:rsidR="000F2416" w:rsidRPr="00721663">
        <w:rPr>
          <w:rFonts w:ascii="Arial" w:hAnsi="Arial"/>
          <w:sz w:val="18"/>
          <w:szCs w:val="18"/>
          <w:lang w:val="bg-BG"/>
        </w:rPr>
        <w:t xml:space="preserve"> 1142</w:t>
      </w:r>
      <w:r w:rsidRPr="00721663">
        <w:rPr>
          <w:rFonts w:ascii="Arial" w:hAnsi="Arial"/>
          <w:sz w:val="18"/>
          <w:szCs w:val="18"/>
          <w:lang w:val="bg-BG"/>
        </w:rPr>
        <w:t>, България. Записаният основен капитал на Дружеството е 10 лева, изцяло платен и разпределен в 10 дяла с номинална стойност 1 лев всеки.</w:t>
      </w:r>
    </w:p>
    <w:p w14:paraId="30DAF977" w14:textId="5F1E720A" w:rsidR="008D6DCA" w:rsidRPr="00721663" w:rsidRDefault="005F5E9C" w:rsidP="00855DB9">
      <w:pPr>
        <w:pStyle w:val="ordinarytext"/>
        <w:spacing w:after="120" w:line="240" w:lineRule="atLeast"/>
        <w:contextualSpacing w:val="0"/>
        <w:jc w:val="left"/>
        <w:rPr>
          <w:lang w:val="bg-BG"/>
        </w:rPr>
      </w:pPr>
      <w:r w:rsidRPr="00721663">
        <w:rPr>
          <w:lang w:val="bg-BG"/>
        </w:rPr>
        <w:t>Дружеството е основано на 6 април 2010 г. във Варна, България. На 7 юни 2010 г.</w:t>
      </w:r>
      <w:r w:rsidR="000F2416" w:rsidRPr="00721663">
        <w:rPr>
          <w:lang w:val="bg-BG"/>
        </w:rPr>
        <w:t xml:space="preserve"> </w:t>
      </w:r>
      <w:r w:rsidRPr="00721663">
        <w:rPr>
          <w:lang w:val="bg-BG"/>
        </w:rPr>
        <w:t>Дружеството е преобразувано от дружество с ограничена отговорност (ООД) в еднолично дружество с ограничена отговорност (ЕООД). На същата дата Дружеството става едноличен собственик на капитала на две български дружества със седалище във Варна – Шабла Енерджи ЕООД (Шаб</w:t>
      </w:r>
      <w:r w:rsidR="006336E9" w:rsidRPr="00721663">
        <w:rPr>
          <w:lang w:val="bg-BG"/>
        </w:rPr>
        <w:t>ла) и Еко Ветро Енерджи ЕООД (</w:t>
      </w:r>
      <w:r w:rsidRPr="00721663">
        <w:rPr>
          <w:lang w:val="bg-BG"/>
        </w:rPr>
        <w:t xml:space="preserve">ЕВЕ). На 2 август 2010 г. Дружеството </w:t>
      </w:r>
      <w:r w:rsidR="000F2416" w:rsidRPr="00721663">
        <w:rPr>
          <w:lang w:val="bg-BG"/>
        </w:rPr>
        <w:t>е придобито от</w:t>
      </w:r>
      <w:r w:rsidRPr="00721663">
        <w:rPr>
          <w:lang w:val="bg-BG"/>
        </w:rPr>
        <w:t xml:space="preserve"> Юнит. През октомври 2010 г., Дружеството и неговите дъщерни дружества преместват седалището си и адреса на управление в София, бул.</w:t>
      </w:r>
      <w:r w:rsidR="000F2416" w:rsidRPr="00721663">
        <w:rPr>
          <w:lang w:val="bg-BG"/>
        </w:rPr>
        <w:t xml:space="preserve"> </w:t>
      </w:r>
      <w:r w:rsidRPr="00721663">
        <w:rPr>
          <w:lang w:val="bg-BG"/>
        </w:rPr>
        <w:t>Патриарх Евтимий 19</w:t>
      </w:r>
      <w:r w:rsidR="00F235F2" w:rsidRPr="00721663">
        <w:rPr>
          <w:lang w:val="bg-BG"/>
        </w:rPr>
        <w:t xml:space="preserve"> </w:t>
      </w:r>
      <w:r w:rsidRPr="00721663">
        <w:rPr>
          <w:lang w:val="bg-BG"/>
        </w:rPr>
        <w:t xml:space="preserve">Б. </w:t>
      </w:r>
      <w:r w:rsidR="00390C28" w:rsidRPr="00721663">
        <w:rPr>
          <w:lang w:val="bg-BG"/>
        </w:rPr>
        <w:t>През август 2011 г.</w:t>
      </w:r>
      <w:r w:rsidR="00170D36" w:rsidRPr="00721663">
        <w:rPr>
          <w:lang w:val="bg-BG"/>
        </w:rPr>
        <w:t xml:space="preserve"> </w:t>
      </w:r>
      <w:r w:rsidR="008C243E" w:rsidRPr="00721663">
        <w:rPr>
          <w:lang w:val="bg-BG"/>
        </w:rPr>
        <w:t>Дружеството придобива дяловете на друго местно дружество – ВГЕ</w:t>
      </w:r>
      <w:r w:rsidR="00170D36" w:rsidRPr="00721663">
        <w:rPr>
          <w:lang w:val="bg-BG"/>
        </w:rPr>
        <w:noBreakHyphen/>
      </w:r>
      <w:r w:rsidR="008C243E" w:rsidRPr="00721663">
        <w:rPr>
          <w:lang w:val="bg-BG"/>
        </w:rPr>
        <w:t>2</w:t>
      </w:r>
      <w:r w:rsidR="00250E9F" w:rsidRPr="00721663">
        <w:rPr>
          <w:lang w:val="bg-BG"/>
        </w:rPr>
        <w:t xml:space="preserve"> </w:t>
      </w:r>
      <w:r w:rsidR="00170D36" w:rsidRPr="00721663">
        <w:rPr>
          <w:lang w:val="bg-BG"/>
        </w:rPr>
        <w:t> </w:t>
      </w:r>
      <w:r w:rsidR="008C243E" w:rsidRPr="00721663">
        <w:rPr>
          <w:lang w:val="bg-BG"/>
        </w:rPr>
        <w:t xml:space="preserve">ЕООД. </w:t>
      </w:r>
      <w:r w:rsidR="00043464" w:rsidRPr="00721663">
        <w:rPr>
          <w:lang w:val="bg-BG"/>
        </w:rPr>
        <w:t xml:space="preserve">Към </w:t>
      </w:r>
      <w:r w:rsidR="00144930">
        <w:rPr>
          <w:lang w:val="bg-BG"/>
        </w:rPr>
        <w:t>30 юни 201</w:t>
      </w:r>
      <w:r w:rsidR="0052564C">
        <w:rPr>
          <w:lang w:val="bg-BG"/>
        </w:rPr>
        <w:t>7</w:t>
      </w:r>
      <w:r w:rsidRPr="00721663">
        <w:rPr>
          <w:lang w:val="bg-BG"/>
        </w:rPr>
        <w:t xml:space="preserve"> г.</w:t>
      </w:r>
      <w:r w:rsidR="00170D36" w:rsidRPr="00721663">
        <w:rPr>
          <w:lang w:val="bg-BG"/>
        </w:rPr>
        <w:t>,</w:t>
      </w:r>
      <w:r w:rsidRPr="00721663">
        <w:rPr>
          <w:lang w:val="bg-BG"/>
        </w:rPr>
        <w:t xml:space="preserve"> </w:t>
      </w:r>
      <w:r w:rsidR="008C243E" w:rsidRPr="00721663">
        <w:rPr>
          <w:lang w:val="bg-BG"/>
        </w:rPr>
        <w:t xml:space="preserve">крайното дружество майка е </w:t>
      </w:r>
      <w:r w:rsidRPr="00721663">
        <w:rPr>
          <w:lang w:val="bg-BG"/>
        </w:rPr>
        <w:t xml:space="preserve">Юнит </w:t>
      </w:r>
      <w:r w:rsidR="008C243E" w:rsidRPr="00721663">
        <w:rPr>
          <w:lang w:val="bg-BG"/>
        </w:rPr>
        <w:t xml:space="preserve">Инвестмънтс С.А. Спф - </w:t>
      </w:r>
      <w:r w:rsidRPr="00721663">
        <w:rPr>
          <w:lang w:val="bg-BG"/>
        </w:rPr>
        <w:t xml:space="preserve">акционерно дружество, регистрирано и съществуващо съгласно законите на </w:t>
      </w:r>
      <w:r w:rsidR="008C243E" w:rsidRPr="00721663">
        <w:rPr>
          <w:lang w:val="bg-BG"/>
        </w:rPr>
        <w:t>Люксембург</w:t>
      </w:r>
      <w:r w:rsidRPr="00721663">
        <w:rPr>
          <w:lang w:val="bg-BG"/>
        </w:rPr>
        <w:t xml:space="preserve">, с адрес на </w:t>
      </w:r>
      <w:r w:rsidR="000158EC">
        <w:rPr>
          <w:lang w:val="bg-BG"/>
        </w:rPr>
        <w:t xml:space="preserve">управление ул. </w:t>
      </w:r>
      <w:r w:rsidR="000158EC">
        <w:t>Дж</w:t>
      </w:r>
      <w:bookmarkStart w:id="2" w:name="_GoBack"/>
      <w:bookmarkEnd w:id="2"/>
      <w:r w:rsidR="000158EC">
        <w:t xml:space="preserve">ей Еф </w:t>
      </w:r>
      <w:r w:rsidR="000158EC">
        <w:rPr>
          <w:lang w:val="bg-BG"/>
        </w:rPr>
        <w:t>Кенеди 44, Л-1855, Люксембург</w:t>
      </w:r>
      <w:r w:rsidR="00874F77" w:rsidRPr="00721663">
        <w:rPr>
          <w:lang w:val="bg-BG"/>
        </w:rPr>
        <w:t>.</w:t>
      </w:r>
    </w:p>
    <w:p w14:paraId="5BA11994" w14:textId="58E7B0FA" w:rsidR="00793B68" w:rsidRPr="00721663" w:rsidRDefault="00793B68" w:rsidP="00855DB9">
      <w:pPr>
        <w:spacing w:after="120"/>
        <w:jc w:val="left"/>
        <w:rPr>
          <w:rFonts w:ascii="Arial" w:hAnsi="Arial" w:cs="Arial"/>
          <w:sz w:val="18"/>
          <w:szCs w:val="18"/>
          <w:lang w:val="bg-BG"/>
        </w:rPr>
      </w:pPr>
      <w:r w:rsidRPr="00721663">
        <w:rPr>
          <w:rFonts w:ascii="Arial" w:hAnsi="Arial"/>
          <w:sz w:val="18"/>
          <w:szCs w:val="18"/>
          <w:lang w:val="bg-BG"/>
        </w:rPr>
        <w:t xml:space="preserve">Групата се представлява и управлява от управителите Джем Ширин, Ерхан Озил и Ахмет Синан Калпакчьолу и </w:t>
      </w:r>
      <w:r w:rsidR="00394E45" w:rsidRPr="00721663">
        <w:rPr>
          <w:rFonts w:ascii="Arial" w:hAnsi="Arial"/>
          <w:sz w:val="18"/>
          <w:szCs w:val="18"/>
          <w:lang w:val="bg-BG"/>
        </w:rPr>
        <w:t>упълномощени</w:t>
      </w:r>
      <w:r w:rsidR="00394E45">
        <w:rPr>
          <w:rFonts w:ascii="Arial" w:hAnsi="Arial"/>
          <w:sz w:val="18"/>
          <w:szCs w:val="18"/>
          <w:lang w:val="bg-BG"/>
        </w:rPr>
        <w:t>те</w:t>
      </w:r>
      <w:r w:rsidR="00394E45" w:rsidRPr="00721663">
        <w:rPr>
          <w:rFonts w:ascii="Arial" w:hAnsi="Arial"/>
          <w:sz w:val="18"/>
          <w:szCs w:val="18"/>
          <w:lang w:val="bg-BG"/>
        </w:rPr>
        <w:t xml:space="preserve"> </w:t>
      </w:r>
      <w:r w:rsidR="00A25320" w:rsidRPr="00721663">
        <w:rPr>
          <w:rFonts w:ascii="Arial" w:hAnsi="Arial"/>
          <w:sz w:val="18"/>
          <w:szCs w:val="18"/>
          <w:lang w:val="bg-BG"/>
        </w:rPr>
        <w:t>представител</w:t>
      </w:r>
      <w:r w:rsidR="00394E45">
        <w:rPr>
          <w:rFonts w:ascii="Arial" w:hAnsi="Arial"/>
          <w:sz w:val="18"/>
          <w:szCs w:val="18"/>
          <w:lang w:val="bg-BG"/>
        </w:rPr>
        <w:t>и</w:t>
      </w:r>
      <w:r w:rsidR="00A25320" w:rsidRPr="00721663">
        <w:rPr>
          <w:rFonts w:ascii="Arial" w:hAnsi="Arial"/>
          <w:sz w:val="18"/>
          <w:szCs w:val="18"/>
          <w:lang w:val="bg-BG"/>
        </w:rPr>
        <w:t xml:space="preserve"> Озгюр Дундар</w:t>
      </w:r>
      <w:r w:rsidR="00394E45">
        <w:rPr>
          <w:rFonts w:ascii="Arial" w:hAnsi="Arial"/>
          <w:sz w:val="18"/>
          <w:szCs w:val="18"/>
          <w:lang w:val="bg-BG"/>
        </w:rPr>
        <w:t xml:space="preserve"> и Алкин Яман</w:t>
      </w:r>
      <w:r w:rsidRPr="00721663">
        <w:rPr>
          <w:rFonts w:ascii="Arial" w:hAnsi="Arial"/>
          <w:sz w:val="18"/>
          <w:szCs w:val="18"/>
          <w:lang w:val="bg-BG"/>
        </w:rPr>
        <w:t>.</w:t>
      </w:r>
    </w:p>
    <w:p w14:paraId="4E5F2A51" w14:textId="77777777" w:rsidR="00874F77" w:rsidRPr="00721663" w:rsidRDefault="005F5E9C" w:rsidP="00855DB9">
      <w:pPr>
        <w:pStyle w:val="ordinarytext"/>
        <w:spacing w:after="120" w:line="240" w:lineRule="atLeast"/>
        <w:contextualSpacing w:val="0"/>
        <w:jc w:val="left"/>
        <w:rPr>
          <w:lang w:val="bg-BG"/>
        </w:rPr>
      </w:pPr>
      <w:r w:rsidRPr="00721663">
        <w:rPr>
          <w:lang w:val="bg-BG"/>
        </w:rPr>
        <w:t xml:space="preserve">Основната дейност на Групата е </w:t>
      </w:r>
      <w:r w:rsidRPr="00721663">
        <w:rPr>
          <w:color w:val="000000"/>
          <w:lang w:val="bg-BG"/>
        </w:rPr>
        <w:t>организация, управление и експлоатация на вятърни електроцентрали и проекти за алтернативна енергия от възобновяеми енергийни източници</w:t>
      </w:r>
      <w:r w:rsidR="00874F77" w:rsidRPr="00721663">
        <w:rPr>
          <w:lang w:val="bg-BG"/>
        </w:rPr>
        <w:t>.</w:t>
      </w:r>
    </w:p>
    <w:p w14:paraId="33E74051" w14:textId="4918398F" w:rsidR="00D64980" w:rsidRPr="00721663" w:rsidRDefault="005F5E9C" w:rsidP="00855DB9">
      <w:pPr>
        <w:pStyle w:val="ordinarytext"/>
        <w:spacing w:after="120" w:line="240" w:lineRule="atLeast"/>
        <w:contextualSpacing w:val="0"/>
        <w:jc w:val="left"/>
        <w:rPr>
          <w:lang w:val="bg-BG"/>
        </w:rPr>
      </w:pPr>
      <w:r w:rsidRPr="00721663">
        <w:rPr>
          <w:color w:val="000000"/>
          <w:lang w:val="bg-BG"/>
        </w:rPr>
        <w:t xml:space="preserve">През 2010 г. </w:t>
      </w:r>
      <w:r w:rsidR="003B0DFA" w:rsidRPr="00721663">
        <w:rPr>
          <w:color w:val="000000"/>
          <w:lang w:val="bg-BG"/>
        </w:rPr>
        <w:t>ВГЕ-1, ЕВЕ и Шабла</w:t>
      </w:r>
      <w:r w:rsidRPr="00721663">
        <w:rPr>
          <w:color w:val="000000"/>
          <w:lang w:val="bg-BG"/>
        </w:rPr>
        <w:t xml:space="preserve"> сключва</w:t>
      </w:r>
      <w:r w:rsidR="00334D53" w:rsidRPr="00721663">
        <w:rPr>
          <w:color w:val="000000"/>
          <w:lang w:val="bg-BG"/>
        </w:rPr>
        <w:t>т</w:t>
      </w:r>
      <w:r w:rsidRPr="00721663">
        <w:rPr>
          <w:color w:val="000000"/>
          <w:lang w:val="bg-BG"/>
        </w:rPr>
        <w:t xml:space="preserve"> договор</w:t>
      </w:r>
      <w:r w:rsidR="002B4019" w:rsidRPr="00721663">
        <w:rPr>
          <w:color w:val="000000"/>
          <w:lang w:val="bg-BG"/>
        </w:rPr>
        <w:t>и</w:t>
      </w:r>
      <w:r w:rsidRPr="00721663">
        <w:rPr>
          <w:color w:val="000000"/>
          <w:lang w:val="bg-BG"/>
        </w:rPr>
        <w:t xml:space="preserve"> с </w:t>
      </w:r>
      <w:r w:rsidR="000F2416" w:rsidRPr="00721663">
        <w:rPr>
          <w:color w:val="000000"/>
          <w:lang w:val="bg-BG"/>
        </w:rPr>
        <w:t>Енерго-Про</w:t>
      </w:r>
      <w:r w:rsidRPr="00721663">
        <w:rPr>
          <w:color w:val="000000"/>
          <w:lang w:val="bg-BG"/>
        </w:rPr>
        <w:t xml:space="preserve"> Продажби АД за снабдяване с електрическа енергия</w:t>
      </w:r>
      <w:r w:rsidR="00874F77" w:rsidRPr="00721663">
        <w:rPr>
          <w:lang w:val="bg-BG"/>
        </w:rPr>
        <w:t>.</w:t>
      </w:r>
      <w:r w:rsidR="00713AFF" w:rsidRPr="00721663">
        <w:rPr>
          <w:lang w:val="bg-BG"/>
        </w:rPr>
        <w:t xml:space="preserve"> </w:t>
      </w:r>
      <w:r w:rsidR="00A25320" w:rsidRPr="00721663">
        <w:rPr>
          <w:lang w:val="bg-BG"/>
        </w:rPr>
        <w:t xml:space="preserve">През </w:t>
      </w:r>
      <w:r w:rsidR="00144930">
        <w:t>201</w:t>
      </w:r>
      <w:r w:rsidR="0052564C">
        <w:rPr>
          <w:lang w:val="bg-BG"/>
        </w:rPr>
        <w:t>7</w:t>
      </w:r>
      <w:r w:rsidR="003B0DFA" w:rsidRPr="00721663">
        <w:rPr>
          <w:lang w:val="bg-BG"/>
        </w:rPr>
        <w:t xml:space="preserve"> г. и </w:t>
      </w:r>
      <w:r w:rsidR="00E82DA6">
        <w:t>2016</w:t>
      </w:r>
      <w:r w:rsidRPr="00721663">
        <w:rPr>
          <w:lang w:val="bg-BG"/>
        </w:rPr>
        <w:t xml:space="preserve"> г</w:t>
      </w:r>
      <w:r w:rsidR="00A25320" w:rsidRPr="00721663">
        <w:rPr>
          <w:lang w:val="bg-BG"/>
        </w:rPr>
        <w:t>.</w:t>
      </w:r>
      <w:r w:rsidRPr="00721663">
        <w:rPr>
          <w:lang w:val="bg-BG"/>
        </w:rPr>
        <w:t xml:space="preserve"> Групата продължава да продава еле</w:t>
      </w:r>
      <w:r w:rsidR="003267A5" w:rsidRPr="00721663">
        <w:rPr>
          <w:lang w:val="bg-BG"/>
        </w:rPr>
        <w:t>ктроенергия на база на сключените</w:t>
      </w:r>
      <w:r w:rsidRPr="00721663">
        <w:rPr>
          <w:lang w:val="bg-BG"/>
        </w:rPr>
        <w:t xml:space="preserve"> договор</w:t>
      </w:r>
      <w:r w:rsidR="003267A5" w:rsidRPr="00721663">
        <w:rPr>
          <w:lang w:val="bg-BG"/>
        </w:rPr>
        <w:t>и</w:t>
      </w:r>
      <w:r w:rsidR="00713AFF" w:rsidRPr="00721663">
        <w:rPr>
          <w:lang w:val="bg-BG"/>
        </w:rPr>
        <w:t>.</w:t>
      </w:r>
    </w:p>
    <w:p w14:paraId="499B2390" w14:textId="4164F572" w:rsidR="00452818" w:rsidRPr="00721663" w:rsidRDefault="005F5E9C" w:rsidP="00855DB9">
      <w:pPr>
        <w:pStyle w:val="ordinarytext"/>
        <w:spacing w:after="120" w:line="240" w:lineRule="atLeast"/>
        <w:contextualSpacing w:val="0"/>
        <w:jc w:val="left"/>
        <w:rPr>
          <w:lang w:val="bg-BG"/>
        </w:rPr>
      </w:pPr>
      <w:r w:rsidRPr="00721663">
        <w:rPr>
          <w:lang w:val="bg-BG"/>
        </w:rPr>
        <w:t>Към</w:t>
      </w:r>
      <w:r w:rsidR="00D54DF4" w:rsidRPr="00721663">
        <w:rPr>
          <w:lang w:val="bg-BG"/>
        </w:rPr>
        <w:t xml:space="preserve"> </w:t>
      </w:r>
      <w:r w:rsidR="00144930">
        <w:rPr>
          <w:lang w:val="bg-BG"/>
        </w:rPr>
        <w:t>30 юни 2017</w:t>
      </w:r>
      <w:r w:rsidR="00A25320" w:rsidRPr="00721663">
        <w:rPr>
          <w:lang w:val="bg-BG"/>
        </w:rPr>
        <w:t xml:space="preserve"> г. Групата има </w:t>
      </w:r>
      <w:r w:rsidR="00D54DF4" w:rsidRPr="00721663">
        <w:rPr>
          <w:lang w:val="bg-BG"/>
        </w:rPr>
        <w:t>един служител (</w:t>
      </w:r>
      <w:r w:rsidR="0052564C">
        <w:rPr>
          <w:lang w:val="bg-BG"/>
        </w:rPr>
        <w:t xml:space="preserve">31 декември </w:t>
      </w:r>
      <w:r w:rsidR="00144930">
        <w:rPr>
          <w:lang w:val="bg-BG"/>
        </w:rPr>
        <w:t>2016</w:t>
      </w:r>
      <w:r w:rsidR="00A25320" w:rsidRPr="00721663">
        <w:rPr>
          <w:lang w:val="bg-BG"/>
        </w:rPr>
        <w:t xml:space="preserve"> г.: </w:t>
      </w:r>
      <w:r w:rsidR="00D54DF4" w:rsidRPr="00721663">
        <w:rPr>
          <w:lang w:val="bg-BG"/>
        </w:rPr>
        <w:t>един служител</w:t>
      </w:r>
      <w:r w:rsidR="00A25320" w:rsidRPr="00721663">
        <w:rPr>
          <w:lang w:val="bg-BG"/>
        </w:rPr>
        <w:t>)</w:t>
      </w:r>
      <w:r w:rsidR="007E5BD8" w:rsidRPr="00721663">
        <w:rPr>
          <w:lang w:val="bg-BG"/>
        </w:rPr>
        <w:t>.</w:t>
      </w:r>
    </w:p>
    <w:p w14:paraId="5FB037BB" w14:textId="77777777" w:rsidR="00F0559A" w:rsidRPr="00721663" w:rsidRDefault="00F0559A" w:rsidP="00855DB9">
      <w:pPr>
        <w:pStyle w:val="ordinarytext"/>
        <w:spacing w:after="120" w:line="240" w:lineRule="atLeast"/>
        <w:contextualSpacing w:val="0"/>
        <w:jc w:val="left"/>
        <w:rPr>
          <w:b/>
          <w:lang w:val="bg-BG"/>
        </w:rPr>
      </w:pPr>
      <w:r w:rsidRPr="00721663">
        <w:rPr>
          <w:b/>
          <w:lang w:val="bg-BG"/>
        </w:rPr>
        <w:t>Дъщерни дружества на ВГЕ-1 ЕООД</w:t>
      </w:r>
    </w:p>
    <w:p w14:paraId="0656FAC5" w14:textId="77777777" w:rsidR="00F0559A" w:rsidRPr="00721663" w:rsidRDefault="00F0559A" w:rsidP="00855DB9">
      <w:pPr>
        <w:pStyle w:val="ordinarytext"/>
        <w:spacing w:after="120" w:line="240" w:lineRule="atLeast"/>
        <w:contextualSpacing w:val="0"/>
        <w:jc w:val="left"/>
        <w:rPr>
          <w:b/>
          <w:lang w:val="bg-BG"/>
        </w:rPr>
      </w:pPr>
      <w:r w:rsidRPr="00721663">
        <w:rPr>
          <w:b/>
          <w:lang w:val="bg-BG"/>
        </w:rPr>
        <w:t>Шабла Енерджи ЕООД</w:t>
      </w:r>
    </w:p>
    <w:p w14:paraId="51DF1861" w14:textId="77777777" w:rsidR="00BE6D1B" w:rsidRPr="00721663" w:rsidRDefault="00F0559A" w:rsidP="00855DB9">
      <w:pPr>
        <w:spacing w:after="120"/>
        <w:jc w:val="left"/>
        <w:rPr>
          <w:rFonts w:ascii="Arial" w:hAnsi="Arial"/>
          <w:sz w:val="18"/>
          <w:szCs w:val="18"/>
          <w:lang w:val="bg-BG"/>
        </w:rPr>
      </w:pPr>
      <w:r w:rsidRPr="00721663">
        <w:rPr>
          <w:rFonts w:ascii="Arial" w:hAnsi="Arial"/>
          <w:sz w:val="18"/>
          <w:szCs w:val="18"/>
          <w:lang w:val="bg-BG"/>
        </w:rPr>
        <w:t>Шабла Енерджи ЕООД</w:t>
      </w:r>
      <w:r w:rsidR="006336E9" w:rsidRPr="00721663">
        <w:rPr>
          <w:rFonts w:ascii="Arial" w:hAnsi="Arial"/>
          <w:sz w:val="18"/>
          <w:szCs w:val="18"/>
          <w:lang w:val="bg-BG"/>
        </w:rPr>
        <w:t xml:space="preserve"> (Шабла</w:t>
      </w:r>
      <w:r w:rsidRPr="00721663">
        <w:rPr>
          <w:rFonts w:ascii="Arial" w:hAnsi="Arial"/>
          <w:sz w:val="18"/>
          <w:szCs w:val="18"/>
          <w:lang w:val="bg-BG"/>
        </w:rPr>
        <w:t>) е българско еднолично дружество с ограничена отговорност, регистрирано и установено в България, със седалище и адрес на управление бул. Патриарх Евтимий 19</w:t>
      </w:r>
      <w:r w:rsidR="003D2D50" w:rsidRPr="00721663">
        <w:rPr>
          <w:rFonts w:ascii="Arial" w:hAnsi="Arial"/>
          <w:sz w:val="18"/>
          <w:szCs w:val="18"/>
          <w:lang w:val="bg-BG"/>
        </w:rPr>
        <w:t xml:space="preserve"> </w:t>
      </w:r>
      <w:r w:rsidRPr="00721663">
        <w:rPr>
          <w:rFonts w:ascii="Arial" w:hAnsi="Arial"/>
          <w:sz w:val="18"/>
          <w:szCs w:val="18"/>
          <w:lang w:val="bg-BG"/>
        </w:rPr>
        <w:t>Б, София</w:t>
      </w:r>
      <w:r w:rsidR="008C1638" w:rsidRPr="00721663">
        <w:rPr>
          <w:rFonts w:ascii="Arial" w:hAnsi="Arial"/>
          <w:sz w:val="18"/>
          <w:szCs w:val="18"/>
          <w:lang w:val="bg-BG"/>
        </w:rPr>
        <w:t xml:space="preserve"> 1142</w:t>
      </w:r>
      <w:r w:rsidRPr="00721663">
        <w:rPr>
          <w:rFonts w:ascii="Arial" w:hAnsi="Arial"/>
          <w:sz w:val="18"/>
          <w:szCs w:val="18"/>
          <w:lang w:val="bg-BG"/>
        </w:rPr>
        <w:t>, България. Записаният основен капитал на Дружеството е 5 хиляди лева, изцяло платен и разпределен в 500 дяла с номинална стойност 10 лева всеки</w:t>
      </w:r>
      <w:r w:rsidR="00BE6D1B" w:rsidRPr="00721663">
        <w:rPr>
          <w:rFonts w:ascii="Arial" w:hAnsi="Arial"/>
          <w:sz w:val="18"/>
          <w:szCs w:val="18"/>
          <w:lang w:val="bg-BG"/>
        </w:rPr>
        <w:t>.</w:t>
      </w:r>
    </w:p>
    <w:p w14:paraId="76B71FA5" w14:textId="77777777" w:rsidR="00F0559A" w:rsidRPr="00721663" w:rsidRDefault="00F0559A" w:rsidP="00855DB9">
      <w:pPr>
        <w:pStyle w:val="ordinarytext"/>
        <w:spacing w:before="120" w:after="120" w:line="240" w:lineRule="atLeast"/>
        <w:contextualSpacing w:val="0"/>
        <w:jc w:val="left"/>
        <w:rPr>
          <w:lang w:val="bg-BG"/>
        </w:rPr>
      </w:pPr>
      <w:r w:rsidRPr="00721663">
        <w:rPr>
          <w:lang w:val="bg-BG"/>
        </w:rPr>
        <w:t xml:space="preserve">Шабла е основано на 27 октомври 2008 г. във Варна, България. На 7 юни 2010 г. Дружеството е </w:t>
      </w:r>
      <w:r w:rsidR="008C1638" w:rsidRPr="00721663">
        <w:rPr>
          <w:lang w:val="bg-BG"/>
        </w:rPr>
        <w:t xml:space="preserve">придобито от ВГЕ-1 и на същата дата е </w:t>
      </w:r>
      <w:r w:rsidRPr="00721663">
        <w:rPr>
          <w:lang w:val="bg-BG"/>
        </w:rPr>
        <w:t>преобразувано от дружество с ограничена отговорност (ООД) в еднолично дружество с</w:t>
      </w:r>
      <w:r w:rsidR="00115E3B" w:rsidRPr="00721663">
        <w:rPr>
          <w:lang w:val="bg-BG"/>
        </w:rPr>
        <w:t xml:space="preserve"> ограничена отговорност (ЕООД).</w:t>
      </w:r>
    </w:p>
    <w:p w14:paraId="6A45F80C" w14:textId="320E7666" w:rsidR="00F0559A" w:rsidRPr="00721663" w:rsidRDefault="00F0559A" w:rsidP="00855DB9">
      <w:pPr>
        <w:pStyle w:val="Notesbodytext"/>
        <w:spacing w:before="120" w:line="240" w:lineRule="atLeast"/>
        <w:rPr>
          <w:rFonts w:ascii="Arial" w:hAnsi="Arial"/>
          <w:szCs w:val="18"/>
          <w:lang w:val="bg-BG"/>
        </w:rPr>
      </w:pPr>
      <w:r w:rsidRPr="00721663">
        <w:rPr>
          <w:rFonts w:ascii="Arial" w:hAnsi="Arial"/>
          <w:szCs w:val="18"/>
          <w:lang w:val="bg-BG"/>
        </w:rPr>
        <w:t xml:space="preserve">Шабла се </w:t>
      </w:r>
      <w:r w:rsidR="00E22FC5" w:rsidRPr="00721663">
        <w:rPr>
          <w:rFonts w:ascii="Arial" w:hAnsi="Arial"/>
          <w:szCs w:val="18"/>
          <w:lang w:val="bg-BG"/>
        </w:rPr>
        <w:t>представлява и управлява от управителите Джем Ширин, Ерхан Озил</w:t>
      </w:r>
      <w:r w:rsidR="0052564C">
        <w:rPr>
          <w:rFonts w:ascii="Arial" w:hAnsi="Arial"/>
          <w:szCs w:val="18"/>
          <w:lang w:val="bg-BG"/>
        </w:rPr>
        <w:t>,</w:t>
      </w:r>
      <w:r w:rsidR="00E22FC5" w:rsidRPr="00721663">
        <w:rPr>
          <w:rFonts w:ascii="Arial" w:hAnsi="Arial"/>
          <w:szCs w:val="18"/>
          <w:lang w:val="bg-BG"/>
        </w:rPr>
        <w:t xml:space="preserve"> Ахмет Синан Калпакчьо</w:t>
      </w:r>
      <w:r w:rsidR="00115E3B" w:rsidRPr="00721663">
        <w:rPr>
          <w:rFonts w:ascii="Arial" w:hAnsi="Arial"/>
          <w:szCs w:val="18"/>
          <w:lang w:val="bg-BG"/>
        </w:rPr>
        <w:t>лу</w:t>
      </w:r>
      <w:r w:rsidR="0052564C">
        <w:rPr>
          <w:rFonts w:ascii="Arial" w:hAnsi="Arial"/>
          <w:szCs w:val="18"/>
          <w:lang w:val="bg-BG"/>
        </w:rPr>
        <w:t xml:space="preserve"> и упълномощените представители Озгюн Дундар и </w:t>
      </w:r>
      <w:r w:rsidR="0052564C" w:rsidRPr="0052564C">
        <w:rPr>
          <w:rFonts w:ascii="Arial" w:hAnsi="Arial"/>
          <w:szCs w:val="18"/>
          <w:lang w:val="bg-BG"/>
        </w:rPr>
        <w:t>Алк</w:t>
      </w:r>
      <w:r w:rsidR="0052564C">
        <w:rPr>
          <w:rFonts w:ascii="Arial" w:hAnsi="Arial"/>
          <w:szCs w:val="18"/>
          <w:lang w:val="bg-BG"/>
        </w:rPr>
        <w:t>ъ</w:t>
      </w:r>
      <w:r w:rsidR="0052564C" w:rsidRPr="0052564C">
        <w:rPr>
          <w:rFonts w:ascii="Arial" w:hAnsi="Arial"/>
          <w:szCs w:val="18"/>
          <w:lang w:val="bg-BG"/>
        </w:rPr>
        <w:t>н Яман</w:t>
      </w:r>
      <w:r w:rsidRPr="00721663">
        <w:rPr>
          <w:rFonts w:ascii="Arial" w:hAnsi="Arial"/>
          <w:szCs w:val="18"/>
          <w:lang w:val="bg-BG"/>
        </w:rPr>
        <w:t>.</w:t>
      </w:r>
    </w:p>
    <w:p w14:paraId="1949CEFC" w14:textId="77777777" w:rsidR="00F0559A" w:rsidRPr="00721663" w:rsidRDefault="00F0559A" w:rsidP="00855DB9">
      <w:pPr>
        <w:pStyle w:val="ordinarytext"/>
        <w:spacing w:before="120" w:after="120" w:line="240" w:lineRule="atLeast"/>
        <w:contextualSpacing w:val="0"/>
        <w:jc w:val="left"/>
        <w:rPr>
          <w:color w:val="000000"/>
          <w:lang w:val="bg-BG"/>
        </w:rPr>
      </w:pPr>
      <w:r w:rsidRPr="00721663">
        <w:rPr>
          <w:lang w:val="bg-BG"/>
        </w:rPr>
        <w:t xml:space="preserve">Основната дейност на Дружеството е </w:t>
      </w:r>
      <w:r w:rsidRPr="00721663">
        <w:rPr>
          <w:color w:val="000000"/>
          <w:lang w:val="bg-BG"/>
        </w:rPr>
        <w:t>организация, управление и експлоатация на вятърни електроцентрали и проекти за алтернативна енергия от въ</w:t>
      </w:r>
      <w:r w:rsidR="006336E9" w:rsidRPr="00721663">
        <w:rPr>
          <w:color w:val="000000"/>
          <w:lang w:val="bg-BG"/>
        </w:rPr>
        <w:t>зобновяеми енергийни източници</w:t>
      </w:r>
      <w:r w:rsidRPr="00721663">
        <w:rPr>
          <w:color w:val="000000"/>
          <w:lang w:val="bg-BG"/>
        </w:rPr>
        <w:t>.</w:t>
      </w:r>
    </w:p>
    <w:p w14:paraId="3F965F3B" w14:textId="5608EB40" w:rsidR="009B4215" w:rsidRPr="00721663" w:rsidRDefault="00F0559A" w:rsidP="00A25320">
      <w:pPr>
        <w:spacing w:before="120" w:after="120"/>
        <w:jc w:val="left"/>
        <w:rPr>
          <w:rFonts w:ascii="Arial" w:hAnsi="Arial" w:cs="Arial"/>
          <w:sz w:val="18"/>
          <w:szCs w:val="18"/>
          <w:lang w:val="bg-BG"/>
        </w:rPr>
      </w:pPr>
      <w:r w:rsidRPr="00721663">
        <w:rPr>
          <w:rFonts w:ascii="Arial" w:hAnsi="Arial" w:cs="Arial"/>
          <w:sz w:val="18"/>
          <w:szCs w:val="18"/>
          <w:lang w:val="bg-BG"/>
        </w:rPr>
        <w:t>Към</w:t>
      </w:r>
      <w:r w:rsidR="003C56E3" w:rsidRPr="00721663">
        <w:rPr>
          <w:rFonts w:ascii="Arial" w:hAnsi="Arial" w:cs="Arial"/>
          <w:sz w:val="18"/>
          <w:szCs w:val="18"/>
          <w:lang w:val="bg-BG"/>
        </w:rPr>
        <w:t xml:space="preserve"> </w:t>
      </w:r>
      <w:r w:rsidR="00144930">
        <w:rPr>
          <w:rFonts w:ascii="Arial" w:hAnsi="Arial" w:cs="Arial"/>
          <w:sz w:val="18"/>
          <w:szCs w:val="18"/>
          <w:lang w:val="bg-BG"/>
        </w:rPr>
        <w:t>30 юни 2017</w:t>
      </w:r>
      <w:r w:rsidR="00A25320" w:rsidRPr="00721663">
        <w:rPr>
          <w:rFonts w:ascii="Arial" w:hAnsi="Arial" w:cs="Arial"/>
          <w:sz w:val="18"/>
          <w:szCs w:val="18"/>
          <w:lang w:val="bg-BG"/>
        </w:rPr>
        <w:t xml:space="preserve"> г.</w:t>
      </w:r>
      <w:r w:rsidR="009A5193" w:rsidRPr="00721663">
        <w:rPr>
          <w:rFonts w:ascii="Arial" w:hAnsi="Arial" w:cs="Arial"/>
          <w:sz w:val="18"/>
          <w:szCs w:val="18"/>
          <w:lang w:val="bg-BG"/>
        </w:rPr>
        <w:t xml:space="preserve"> и </w:t>
      </w:r>
      <w:r w:rsidR="00144930">
        <w:rPr>
          <w:rFonts w:ascii="Arial" w:hAnsi="Arial" w:cs="Arial"/>
          <w:sz w:val="18"/>
          <w:szCs w:val="18"/>
        </w:rPr>
        <w:t>2016</w:t>
      </w:r>
      <w:r w:rsidRPr="00721663">
        <w:rPr>
          <w:rFonts w:ascii="Arial" w:hAnsi="Arial" w:cs="Arial"/>
          <w:sz w:val="18"/>
          <w:szCs w:val="18"/>
          <w:lang w:val="bg-BG"/>
        </w:rPr>
        <w:t xml:space="preserve"> г. Шабла няма служители</w:t>
      </w:r>
      <w:r w:rsidR="00A25320" w:rsidRPr="00721663">
        <w:rPr>
          <w:rFonts w:ascii="Arial" w:hAnsi="Arial" w:cs="Arial"/>
          <w:sz w:val="18"/>
          <w:szCs w:val="18"/>
          <w:lang w:val="bg-BG"/>
        </w:rPr>
        <w:t>.</w:t>
      </w:r>
    </w:p>
    <w:p w14:paraId="06D0316E" w14:textId="77777777" w:rsidR="00A25320" w:rsidRPr="00721663" w:rsidRDefault="00A25320" w:rsidP="00A25320">
      <w:pPr>
        <w:pStyle w:val="ordinarytext"/>
        <w:spacing w:after="120" w:line="240" w:lineRule="atLeast"/>
        <w:contextualSpacing w:val="0"/>
        <w:jc w:val="left"/>
        <w:rPr>
          <w:b/>
          <w:lang w:val="bg-BG"/>
        </w:rPr>
      </w:pPr>
      <w:r w:rsidRPr="00721663">
        <w:rPr>
          <w:b/>
          <w:lang w:val="bg-BG"/>
        </w:rPr>
        <w:t>Еко Ветро Енерджи ЕООД</w:t>
      </w:r>
    </w:p>
    <w:p w14:paraId="7C04F803" w14:textId="77777777" w:rsidR="00A25320" w:rsidRPr="00721663" w:rsidRDefault="00A25320" w:rsidP="00A25320">
      <w:pPr>
        <w:spacing w:after="120"/>
        <w:jc w:val="left"/>
        <w:rPr>
          <w:rFonts w:ascii="Arial" w:hAnsi="Arial"/>
          <w:sz w:val="18"/>
          <w:szCs w:val="18"/>
          <w:lang w:val="bg-BG"/>
        </w:rPr>
      </w:pPr>
      <w:r w:rsidRPr="00721663">
        <w:rPr>
          <w:rFonts w:ascii="Arial" w:hAnsi="Arial"/>
          <w:sz w:val="18"/>
          <w:szCs w:val="18"/>
          <w:lang w:val="bg-BG"/>
        </w:rPr>
        <w:t>Еко Ветро Енерджи ЕООД (ЕВЕ) е българско еднолично дружество с ограничена отговорност, регистрирано и установено в България, със седалище и адрес на управление бул. Патриарх Евтимий 19 Б, София 1142, България. Записаният основен капитал на Дружеството е 5 хиляди лева, изцяло платен и разпределен в 500 дяла с номинална стойност 10 лева всеки.</w:t>
      </w:r>
    </w:p>
    <w:p w14:paraId="2EE6F891" w14:textId="77777777" w:rsidR="00680E2F" w:rsidRDefault="00A25320" w:rsidP="00680E2F">
      <w:pPr>
        <w:pStyle w:val="ordinarytext"/>
        <w:spacing w:after="120" w:line="240" w:lineRule="atLeast"/>
        <w:contextualSpacing w:val="0"/>
        <w:jc w:val="left"/>
        <w:rPr>
          <w:lang w:val="bg-BG"/>
        </w:rPr>
      </w:pPr>
      <w:r w:rsidRPr="00721663">
        <w:rPr>
          <w:lang w:val="bg-BG"/>
        </w:rPr>
        <w:t>Дружеството е основано на 24 октомври 2008 г. във Варна, България като дружество с ограничена отговорност (ООД). На 7 юни 2010 г. Дружеството е придобито от ВГЕ-1. На същата дата ЕВЕ е преобразувано от дружество с ограничена отговорност (ООД) в еднолично дружество с ограничена отговорност (ЕООД).</w:t>
      </w:r>
      <w:bookmarkStart w:id="3" w:name="_Toc156219581"/>
    </w:p>
    <w:p w14:paraId="788F1BD4" w14:textId="77777777" w:rsidR="00680E2F" w:rsidRDefault="00680E2F">
      <w:pPr>
        <w:spacing w:line="240" w:lineRule="auto"/>
        <w:jc w:val="left"/>
        <w:rPr>
          <w:rFonts w:ascii="Arial" w:eastAsia="Calibri" w:hAnsi="Arial" w:cs="Arial"/>
          <w:sz w:val="18"/>
          <w:szCs w:val="18"/>
          <w:lang w:val="bg-BG"/>
        </w:rPr>
      </w:pPr>
      <w:r>
        <w:rPr>
          <w:lang w:val="bg-BG"/>
        </w:rPr>
        <w:br w:type="page"/>
      </w:r>
    </w:p>
    <w:p w14:paraId="353A0DB2" w14:textId="6DDAA8EA" w:rsidR="00F0559A" w:rsidRPr="00680E2F" w:rsidRDefault="00F0559A" w:rsidP="00680E2F">
      <w:pPr>
        <w:pStyle w:val="ordinarytext"/>
        <w:spacing w:after="120" w:line="240" w:lineRule="atLeast"/>
        <w:contextualSpacing w:val="0"/>
        <w:jc w:val="left"/>
        <w:rPr>
          <w:b/>
          <w:sz w:val="20"/>
          <w:szCs w:val="20"/>
          <w:lang w:val="bg-BG"/>
        </w:rPr>
      </w:pPr>
      <w:r w:rsidRPr="00680E2F">
        <w:rPr>
          <w:b/>
          <w:sz w:val="20"/>
          <w:szCs w:val="20"/>
          <w:lang w:val="bg-BG"/>
        </w:rPr>
        <w:lastRenderedPageBreak/>
        <w:t xml:space="preserve">1. Корпоративна информация </w:t>
      </w:r>
      <w:r w:rsidRPr="00680E2F">
        <w:rPr>
          <w:b/>
          <w:i/>
          <w:sz w:val="20"/>
          <w:szCs w:val="20"/>
          <w:lang w:val="bg-BG"/>
        </w:rPr>
        <w:t>(продължение)</w:t>
      </w:r>
    </w:p>
    <w:p w14:paraId="0F2C3D42" w14:textId="77777777" w:rsidR="00F70E38" w:rsidRPr="00721663" w:rsidRDefault="00F0559A" w:rsidP="00855DB9">
      <w:pPr>
        <w:pStyle w:val="ordinarytext"/>
        <w:spacing w:before="120" w:after="120" w:line="240" w:lineRule="atLeast"/>
        <w:contextualSpacing w:val="0"/>
        <w:jc w:val="left"/>
        <w:rPr>
          <w:b/>
          <w:lang w:val="bg-BG"/>
        </w:rPr>
      </w:pPr>
      <w:r w:rsidRPr="00721663">
        <w:rPr>
          <w:b/>
          <w:lang w:val="bg-BG"/>
        </w:rPr>
        <w:t xml:space="preserve">Дъщерни дружества на ВГЕ-1 ЕООД </w:t>
      </w:r>
      <w:r w:rsidRPr="00721663">
        <w:rPr>
          <w:b/>
          <w:i/>
          <w:lang w:val="bg-BG"/>
        </w:rPr>
        <w:t>(продължение)</w:t>
      </w:r>
    </w:p>
    <w:p w14:paraId="2F36D8EB" w14:textId="77777777" w:rsidR="00F0559A" w:rsidRPr="00721663" w:rsidRDefault="00F0559A" w:rsidP="00855DB9">
      <w:pPr>
        <w:pStyle w:val="ordinarytext"/>
        <w:spacing w:after="120" w:line="240" w:lineRule="atLeast"/>
        <w:contextualSpacing w:val="0"/>
        <w:jc w:val="left"/>
        <w:rPr>
          <w:b/>
          <w:i/>
          <w:lang w:val="bg-BG"/>
        </w:rPr>
      </w:pPr>
      <w:r w:rsidRPr="00721663">
        <w:rPr>
          <w:b/>
          <w:lang w:val="bg-BG"/>
        </w:rPr>
        <w:t>Еко Ветро Енерджи ЕООД</w:t>
      </w:r>
      <w:r w:rsidR="00A25320" w:rsidRPr="00721663">
        <w:rPr>
          <w:b/>
          <w:lang w:val="bg-BG"/>
        </w:rPr>
        <w:t xml:space="preserve"> </w:t>
      </w:r>
      <w:r w:rsidR="00A25320" w:rsidRPr="00721663">
        <w:rPr>
          <w:b/>
          <w:i/>
          <w:lang w:val="bg-BG"/>
        </w:rPr>
        <w:t>(продължение)</w:t>
      </w:r>
    </w:p>
    <w:p w14:paraId="662C7996" w14:textId="51919A74" w:rsidR="00E575B4" w:rsidRPr="00721663" w:rsidRDefault="00E575B4" w:rsidP="00855DB9">
      <w:pPr>
        <w:pStyle w:val="Notesbodytext"/>
        <w:spacing w:line="240" w:lineRule="atLeast"/>
        <w:rPr>
          <w:rFonts w:ascii="Arial" w:hAnsi="Arial"/>
          <w:szCs w:val="18"/>
          <w:lang w:val="bg-BG"/>
        </w:rPr>
      </w:pPr>
      <w:r w:rsidRPr="00721663">
        <w:rPr>
          <w:rFonts w:ascii="Arial" w:hAnsi="Arial"/>
          <w:szCs w:val="18"/>
          <w:lang w:val="bg-BG"/>
        </w:rPr>
        <w:t xml:space="preserve">ЕВЕ </w:t>
      </w:r>
      <w:r w:rsidR="00D076A7" w:rsidRPr="00721663">
        <w:rPr>
          <w:rFonts w:ascii="Arial" w:hAnsi="Arial"/>
          <w:szCs w:val="18"/>
          <w:lang w:val="bg-BG"/>
        </w:rPr>
        <w:t>се представлява и управлява от упра</w:t>
      </w:r>
      <w:r w:rsidR="003D2D50" w:rsidRPr="00721663">
        <w:rPr>
          <w:rFonts w:ascii="Arial" w:hAnsi="Arial"/>
          <w:szCs w:val="18"/>
          <w:lang w:val="bg-BG"/>
        </w:rPr>
        <w:t>вителите Джем Ширин, Ерхан Озил и</w:t>
      </w:r>
      <w:r w:rsidR="00D076A7" w:rsidRPr="00721663">
        <w:rPr>
          <w:rFonts w:ascii="Arial" w:hAnsi="Arial"/>
          <w:szCs w:val="18"/>
          <w:lang w:val="bg-BG"/>
        </w:rPr>
        <w:t xml:space="preserve"> Ахмет Синан Калпакчьолу</w:t>
      </w:r>
      <w:r w:rsidR="0052564C" w:rsidRPr="0052564C">
        <w:rPr>
          <w:rFonts w:ascii="Arial" w:hAnsi="Arial"/>
          <w:szCs w:val="18"/>
          <w:lang w:val="bg-BG"/>
        </w:rPr>
        <w:t xml:space="preserve"> </w:t>
      </w:r>
      <w:r w:rsidR="0052564C">
        <w:rPr>
          <w:rFonts w:ascii="Arial" w:hAnsi="Arial"/>
          <w:szCs w:val="18"/>
          <w:lang w:val="bg-BG"/>
        </w:rPr>
        <w:t xml:space="preserve">и упълномощените представители Озгюн Дундар и </w:t>
      </w:r>
      <w:r w:rsidR="0052564C" w:rsidRPr="0052564C">
        <w:rPr>
          <w:rFonts w:ascii="Arial" w:hAnsi="Arial"/>
          <w:szCs w:val="18"/>
          <w:lang w:val="bg-BG"/>
        </w:rPr>
        <w:t>Алк</w:t>
      </w:r>
      <w:r w:rsidR="0052564C">
        <w:rPr>
          <w:rFonts w:ascii="Arial" w:hAnsi="Arial"/>
          <w:szCs w:val="18"/>
          <w:lang w:val="bg-BG"/>
        </w:rPr>
        <w:t>ъ</w:t>
      </w:r>
      <w:r w:rsidR="0052564C" w:rsidRPr="0052564C">
        <w:rPr>
          <w:rFonts w:ascii="Arial" w:hAnsi="Arial"/>
          <w:szCs w:val="18"/>
          <w:lang w:val="bg-BG"/>
        </w:rPr>
        <w:t>н Яман</w:t>
      </w:r>
      <w:r w:rsidRPr="00721663">
        <w:rPr>
          <w:rFonts w:ascii="Arial" w:hAnsi="Arial"/>
          <w:szCs w:val="18"/>
          <w:lang w:val="bg-BG"/>
        </w:rPr>
        <w:t>.</w:t>
      </w:r>
    </w:p>
    <w:p w14:paraId="53415941" w14:textId="77777777" w:rsidR="00E575B4" w:rsidRPr="00721663" w:rsidRDefault="00E575B4" w:rsidP="00855DB9">
      <w:pPr>
        <w:pStyle w:val="ordinarytext"/>
        <w:spacing w:before="120" w:after="120" w:line="240" w:lineRule="atLeast"/>
        <w:contextualSpacing w:val="0"/>
        <w:jc w:val="left"/>
        <w:rPr>
          <w:color w:val="000000"/>
          <w:lang w:val="bg-BG"/>
        </w:rPr>
      </w:pPr>
      <w:r w:rsidRPr="00721663">
        <w:rPr>
          <w:lang w:val="bg-BG"/>
        </w:rPr>
        <w:t xml:space="preserve">Основната дейност на ЕВЕ е </w:t>
      </w:r>
      <w:r w:rsidRPr="00721663">
        <w:rPr>
          <w:color w:val="000000"/>
          <w:lang w:val="bg-BG"/>
        </w:rPr>
        <w:t>организация, управление и експлоатация на вятърни електроцентрали и проекти за алтернативна енергия от възобновяеми енергийни източници.</w:t>
      </w:r>
    </w:p>
    <w:p w14:paraId="0D09E809" w14:textId="3D54C159" w:rsidR="003A6FD7" w:rsidRPr="00721663" w:rsidRDefault="00E575B4" w:rsidP="00855DB9">
      <w:pPr>
        <w:pStyle w:val="ordinarytext"/>
        <w:spacing w:after="120" w:line="240" w:lineRule="atLeast"/>
        <w:contextualSpacing w:val="0"/>
        <w:jc w:val="left"/>
        <w:rPr>
          <w:lang w:val="bg-BG"/>
        </w:rPr>
      </w:pPr>
      <w:r w:rsidRPr="00721663">
        <w:rPr>
          <w:lang w:val="bg-BG"/>
        </w:rPr>
        <w:t>Към</w:t>
      </w:r>
      <w:r w:rsidR="003C56E3" w:rsidRPr="00721663">
        <w:rPr>
          <w:lang w:val="bg-BG"/>
        </w:rPr>
        <w:t xml:space="preserve"> </w:t>
      </w:r>
      <w:r w:rsidR="00144930">
        <w:rPr>
          <w:lang w:val="bg-BG"/>
        </w:rPr>
        <w:t>30 юни 2017</w:t>
      </w:r>
      <w:r w:rsidR="00A25320" w:rsidRPr="00721663">
        <w:rPr>
          <w:lang w:val="bg-BG"/>
        </w:rPr>
        <w:t xml:space="preserve"> г.</w:t>
      </w:r>
      <w:r w:rsidR="009A5193" w:rsidRPr="00721663">
        <w:rPr>
          <w:lang w:val="bg-BG"/>
        </w:rPr>
        <w:t xml:space="preserve"> и </w:t>
      </w:r>
      <w:r w:rsidR="00144930">
        <w:rPr>
          <w:lang w:val="bg-BG"/>
        </w:rPr>
        <w:t>2016</w:t>
      </w:r>
      <w:r w:rsidRPr="00721663">
        <w:rPr>
          <w:lang w:val="bg-BG"/>
        </w:rPr>
        <w:t xml:space="preserve"> г. ЕВЕ няма служители</w:t>
      </w:r>
      <w:r w:rsidR="00000658" w:rsidRPr="00721663">
        <w:rPr>
          <w:lang w:val="bg-BG"/>
        </w:rPr>
        <w:t>.</w:t>
      </w:r>
    </w:p>
    <w:p w14:paraId="50175771" w14:textId="77777777" w:rsidR="00F3721F" w:rsidRPr="00721663" w:rsidRDefault="00E575B4" w:rsidP="00855DB9">
      <w:pPr>
        <w:pStyle w:val="ordinarytext"/>
        <w:spacing w:after="120" w:line="240" w:lineRule="atLeast"/>
        <w:contextualSpacing w:val="0"/>
        <w:jc w:val="left"/>
        <w:rPr>
          <w:b/>
          <w:lang w:val="bg-BG"/>
        </w:rPr>
      </w:pPr>
      <w:r w:rsidRPr="00721663">
        <w:rPr>
          <w:b/>
          <w:lang w:val="bg-BG"/>
        </w:rPr>
        <w:t>ВГЕ-2 ЕООД</w:t>
      </w:r>
    </w:p>
    <w:p w14:paraId="2A827068" w14:textId="77777777" w:rsidR="00F3721F" w:rsidRPr="00721663" w:rsidRDefault="00E575B4" w:rsidP="00855DB9">
      <w:pPr>
        <w:spacing w:after="120"/>
        <w:jc w:val="left"/>
        <w:rPr>
          <w:rFonts w:ascii="Arial" w:hAnsi="Arial" w:cs="Arial"/>
          <w:sz w:val="18"/>
          <w:szCs w:val="18"/>
          <w:lang w:val="bg-BG"/>
        </w:rPr>
      </w:pPr>
      <w:r w:rsidRPr="00721663">
        <w:rPr>
          <w:rFonts w:ascii="Arial" w:hAnsi="Arial"/>
          <w:sz w:val="18"/>
          <w:szCs w:val="18"/>
          <w:lang w:val="bg-BG"/>
        </w:rPr>
        <w:t xml:space="preserve">ВГЕ-2 ЕООД </w:t>
      </w:r>
      <w:r w:rsidR="007F15F4" w:rsidRPr="00721663">
        <w:rPr>
          <w:rFonts w:ascii="Arial" w:hAnsi="Arial"/>
          <w:sz w:val="18"/>
          <w:szCs w:val="18"/>
          <w:lang w:val="bg-BG"/>
        </w:rPr>
        <w:t>(</w:t>
      </w:r>
      <w:r w:rsidRPr="00721663">
        <w:rPr>
          <w:rFonts w:ascii="Arial" w:hAnsi="Arial"/>
          <w:sz w:val="18"/>
          <w:szCs w:val="18"/>
          <w:lang w:val="bg-BG"/>
        </w:rPr>
        <w:t>ВГЕ-2 или Дружеството)</w:t>
      </w:r>
      <w:r w:rsidR="00D52958" w:rsidRPr="00721663">
        <w:rPr>
          <w:rFonts w:ascii="Arial" w:hAnsi="Arial"/>
          <w:sz w:val="18"/>
          <w:szCs w:val="18"/>
          <w:lang w:val="bg-BG"/>
        </w:rPr>
        <w:t xml:space="preserve"> </w:t>
      </w:r>
      <w:r w:rsidRPr="00721663">
        <w:rPr>
          <w:rFonts w:ascii="Arial" w:hAnsi="Arial"/>
          <w:sz w:val="18"/>
          <w:szCs w:val="18"/>
          <w:lang w:val="bg-BG"/>
        </w:rPr>
        <w:t>е българско еднолично дружество с ограничена отговорност, регистрирано и установено в България, със седалище и адрес на управление бул.</w:t>
      </w:r>
      <w:r w:rsidR="00B45F1F" w:rsidRPr="00721663">
        <w:rPr>
          <w:rFonts w:ascii="Arial" w:hAnsi="Arial"/>
          <w:sz w:val="18"/>
          <w:szCs w:val="18"/>
          <w:lang w:val="bg-BG"/>
        </w:rPr>
        <w:t xml:space="preserve"> </w:t>
      </w:r>
      <w:r w:rsidRPr="00721663">
        <w:rPr>
          <w:rFonts w:ascii="Arial" w:hAnsi="Arial"/>
          <w:sz w:val="18"/>
          <w:szCs w:val="18"/>
          <w:lang w:val="bg-BG"/>
        </w:rPr>
        <w:t>Патриарх Евтимий 19</w:t>
      </w:r>
      <w:r w:rsidR="003D2D50" w:rsidRPr="00721663">
        <w:rPr>
          <w:rFonts w:ascii="Arial" w:hAnsi="Arial"/>
          <w:sz w:val="18"/>
          <w:szCs w:val="18"/>
          <w:lang w:val="bg-BG"/>
        </w:rPr>
        <w:t xml:space="preserve"> </w:t>
      </w:r>
      <w:r w:rsidRPr="00721663">
        <w:rPr>
          <w:rFonts w:ascii="Arial" w:hAnsi="Arial"/>
          <w:sz w:val="18"/>
          <w:szCs w:val="18"/>
          <w:lang w:val="bg-BG"/>
        </w:rPr>
        <w:t>Б, София 1000, България. Записаният основен капитал на Дружеството е 10 лева, изцяло платен и разпределен в 10 дяла с номинална стойност 1 лев всеки</w:t>
      </w:r>
      <w:r w:rsidR="00F3721F" w:rsidRPr="00721663">
        <w:rPr>
          <w:rFonts w:ascii="Arial" w:hAnsi="Arial" w:cs="Arial"/>
          <w:sz w:val="18"/>
          <w:szCs w:val="18"/>
          <w:lang w:val="bg-BG"/>
        </w:rPr>
        <w:t>.</w:t>
      </w:r>
    </w:p>
    <w:p w14:paraId="691EFDE6" w14:textId="77777777" w:rsidR="00F3721F" w:rsidRPr="00721663" w:rsidRDefault="00E575B4" w:rsidP="00855DB9">
      <w:pPr>
        <w:pStyle w:val="ordinarytext"/>
        <w:spacing w:after="120" w:line="240" w:lineRule="atLeast"/>
        <w:contextualSpacing w:val="0"/>
        <w:jc w:val="left"/>
        <w:rPr>
          <w:lang w:val="bg-BG"/>
        </w:rPr>
      </w:pPr>
      <w:r w:rsidRPr="00721663">
        <w:rPr>
          <w:lang w:val="bg-BG"/>
        </w:rPr>
        <w:t>Дружеството е основано на 10 май 2010 г. във Варна, България от двама партньори, Ивайло Димитров и Станислав Гочев като дружество</w:t>
      </w:r>
      <w:r w:rsidR="00D52958" w:rsidRPr="00721663">
        <w:rPr>
          <w:lang w:val="bg-BG"/>
        </w:rPr>
        <w:t xml:space="preserve"> с ограничена отговорност (ООД)</w:t>
      </w:r>
      <w:r w:rsidR="00F3721F" w:rsidRPr="00721663">
        <w:rPr>
          <w:lang w:val="bg-BG"/>
        </w:rPr>
        <w:t xml:space="preserve">. </w:t>
      </w:r>
      <w:r w:rsidR="00C20A83" w:rsidRPr="00721663">
        <w:rPr>
          <w:lang w:val="bg-BG"/>
        </w:rPr>
        <w:t xml:space="preserve">На 5 август 2011 г. те сключват </w:t>
      </w:r>
      <w:r w:rsidR="00D52958" w:rsidRPr="00721663">
        <w:rPr>
          <w:lang w:val="bg-BG"/>
        </w:rPr>
        <w:t xml:space="preserve">Рамково споразумение за покупко-продажба на дялове с </w:t>
      </w:r>
      <w:r w:rsidR="00C20A83" w:rsidRPr="00721663">
        <w:rPr>
          <w:lang w:val="bg-BG"/>
        </w:rPr>
        <w:t>ВГЕ-1 ЕООД</w:t>
      </w:r>
      <w:r w:rsidR="00F3721F" w:rsidRPr="00721663">
        <w:rPr>
          <w:lang w:val="bg-BG"/>
        </w:rPr>
        <w:t xml:space="preserve">. </w:t>
      </w:r>
      <w:r w:rsidR="00D52958" w:rsidRPr="00721663">
        <w:rPr>
          <w:lang w:val="bg-BG"/>
        </w:rPr>
        <w:t>Крайното</w:t>
      </w:r>
      <w:r w:rsidR="00C20A83" w:rsidRPr="00721663">
        <w:rPr>
          <w:lang w:val="bg-BG"/>
        </w:rPr>
        <w:t xml:space="preserve"> споразумение е подписано на 11 август 2011 г. и </w:t>
      </w:r>
      <w:r w:rsidR="00B82B14" w:rsidRPr="00721663">
        <w:rPr>
          <w:lang w:val="bg-BG"/>
        </w:rPr>
        <w:t>Дружеството е преобразувано от дружество с ограничена отговорност (ООД) в еднолично дружество</w:t>
      </w:r>
      <w:r w:rsidR="00397AC3" w:rsidRPr="00721663">
        <w:rPr>
          <w:lang w:val="bg-BG"/>
        </w:rPr>
        <w:t xml:space="preserve"> с ограничена отговорност (ЕООД</w:t>
      </w:r>
      <w:r w:rsidR="00F3721F" w:rsidRPr="00721663">
        <w:rPr>
          <w:lang w:val="bg-BG"/>
        </w:rPr>
        <w:t xml:space="preserve">). </w:t>
      </w:r>
      <w:r w:rsidR="003B6D6A" w:rsidRPr="00721663">
        <w:rPr>
          <w:lang w:val="bg-BG"/>
        </w:rPr>
        <w:t>През август 2011 г. ВГЕ-2 премества седалището и адреса си на управление на бул. Патриарх Евтимий 19</w:t>
      </w:r>
      <w:r w:rsidR="003D2D50" w:rsidRPr="00721663">
        <w:rPr>
          <w:lang w:val="bg-BG"/>
        </w:rPr>
        <w:t xml:space="preserve"> </w:t>
      </w:r>
      <w:r w:rsidR="003B6D6A" w:rsidRPr="00721663">
        <w:rPr>
          <w:lang w:val="bg-BG"/>
        </w:rPr>
        <w:t>Б, София.</w:t>
      </w:r>
    </w:p>
    <w:p w14:paraId="64FF62A1" w14:textId="60A936BA" w:rsidR="005315D9" w:rsidRPr="0052564C" w:rsidRDefault="003B6D6A" w:rsidP="00855DB9">
      <w:pPr>
        <w:spacing w:before="120" w:after="120"/>
        <w:jc w:val="left"/>
        <w:rPr>
          <w:rFonts w:ascii="Arial" w:eastAsia="Calibri" w:hAnsi="Arial" w:cs="Arial"/>
          <w:sz w:val="18"/>
          <w:szCs w:val="18"/>
          <w:lang w:val="bg-BG"/>
        </w:rPr>
      </w:pPr>
      <w:r w:rsidRPr="0052564C">
        <w:rPr>
          <w:rFonts w:ascii="Arial" w:eastAsia="Calibri" w:hAnsi="Arial" w:cs="Arial"/>
          <w:sz w:val="18"/>
          <w:szCs w:val="18"/>
          <w:lang w:val="bg-BG"/>
        </w:rPr>
        <w:t>ВГЕ-2 се представлява и управлява от управителите Джем Ширин, Ерхан О</w:t>
      </w:r>
      <w:r w:rsidR="00C27D24" w:rsidRPr="0052564C">
        <w:rPr>
          <w:rFonts w:ascii="Arial" w:eastAsia="Calibri" w:hAnsi="Arial" w:cs="Arial"/>
          <w:sz w:val="18"/>
          <w:szCs w:val="18"/>
          <w:lang w:val="bg-BG"/>
        </w:rPr>
        <w:t>зил и Ахмет Синан Калпакчьолу</w:t>
      </w:r>
      <w:r w:rsidR="0052564C" w:rsidRPr="0052564C">
        <w:rPr>
          <w:rFonts w:ascii="Arial" w:eastAsia="Calibri" w:hAnsi="Arial" w:cs="Arial"/>
          <w:sz w:val="18"/>
          <w:szCs w:val="18"/>
          <w:lang w:val="bg-BG"/>
        </w:rPr>
        <w:t xml:space="preserve"> и упълномощените представители Озгюн Дундар и Алкън Яман</w:t>
      </w:r>
      <w:r w:rsidR="00C27D24" w:rsidRPr="0052564C">
        <w:rPr>
          <w:rFonts w:ascii="Arial" w:eastAsia="Calibri" w:hAnsi="Arial" w:cs="Arial"/>
          <w:sz w:val="18"/>
          <w:szCs w:val="18"/>
          <w:lang w:val="bg-BG"/>
        </w:rPr>
        <w:t>.</w:t>
      </w:r>
    </w:p>
    <w:p w14:paraId="3477A0EB" w14:textId="100CFF2B" w:rsidR="005315D9" w:rsidRPr="00721663" w:rsidRDefault="00A25320" w:rsidP="00855DB9">
      <w:pPr>
        <w:spacing w:after="120"/>
        <w:jc w:val="left"/>
        <w:rPr>
          <w:rFonts w:ascii="Arial" w:hAnsi="Arial" w:cs="Arial"/>
          <w:sz w:val="18"/>
          <w:szCs w:val="18"/>
          <w:lang w:val="bg-BG"/>
        </w:rPr>
      </w:pPr>
      <w:r w:rsidRPr="00721663">
        <w:rPr>
          <w:rFonts w:ascii="Arial" w:hAnsi="Arial" w:cs="Arial"/>
          <w:sz w:val="18"/>
          <w:szCs w:val="18"/>
          <w:lang w:val="bg-BG"/>
        </w:rPr>
        <w:t xml:space="preserve">През </w:t>
      </w:r>
      <w:r w:rsidR="00E82DA6">
        <w:rPr>
          <w:rFonts w:ascii="Arial" w:hAnsi="Arial" w:cs="Arial"/>
          <w:sz w:val="18"/>
          <w:szCs w:val="18"/>
          <w:lang w:val="bg-BG"/>
        </w:rPr>
        <w:t>2016</w:t>
      </w:r>
      <w:r w:rsidRPr="00721663">
        <w:rPr>
          <w:rFonts w:ascii="Arial" w:hAnsi="Arial" w:cs="Arial"/>
          <w:sz w:val="18"/>
          <w:szCs w:val="18"/>
          <w:lang w:val="bg-BG"/>
        </w:rPr>
        <w:t xml:space="preserve"> г.</w:t>
      </w:r>
      <w:r w:rsidR="003C56E3" w:rsidRPr="00721663">
        <w:rPr>
          <w:rFonts w:ascii="Arial" w:hAnsi="Arial" w:cs="Arial"/>
          <w:sz w:val="18"/>
          <w:szCs w:val="18"/>
          <w:lang w:val="bg-BG"/>
        </w:rPr>
        <w:t xml:space="preserve"> и </w:t>
      </w:r>
      <w:r w:rsidR="00144930">
        <w:rPr>
          <w:rFonts w:ascii="Arial" w:hAnsi="Arial" w:cs="Arial"/>
          <w:sz w:val="18"/>
          <w:szCs w:val="18"/>
          <w:lang w:val="bg-BG"/>
        </w:rPr>
        <w:t>2016</w:t>
      </w:r>
      <w:r w:rsidR="007D127A" w:rsidRPr="00721663">
        <w:rPr>
          <w:rFonts w:ascii="Arial" w:hAnsi="Arial" w:cs="Arial"/>
          <w:sz w:val="18"/>
          <w:szCs w:val="18"/>
          <w:lang w:val="bg-BG"/>
        </w:rPr>
        <w:t xml:space="preserve"> г.</w:t>
      </w:r>
      <w:r w:rsidR="00C27D24" w:rsidRPr="00721663">
        <w:rPr>
          <w:rFonts w:ascii="Arial" w:hAnsi="Arial" w:cs="Arial"/>
          <w:sz w:val="18"/>
          <w:szCs w:val="18"/>
          <w:lang w:val="bg-BG"/>
        </w:rPr>
        <w:t xml:space="preserve"> ВГЕ-2 няма дейност</w:t>
      </w:r>
      <w:r w:rsidR="003B6D6A" w:rsidRPr="00721663">
        <w:rPr>
          <w:rFonts w:ascii="Arial" w:hAnsi="Arial" w:cs="Arial"/>
          <w:sz w:val="18"/>
          <w:szCs w:val="18"/>
          <w:lang w:val="bg-BG"/>
        </w:rPr>
        <w:t>.</w:t>
      </w:r>
    </w:p>
    <w:p w14:paraId="6C651675" w14:textId="3C7E72CE" w:rsidR="005315D9" w:rsidRPr="00721663" w:rsidRDefault="003C56E3" w:rsidP="00855DB9">
      <w:pPr>
        <w:pStyle w:val="ordinarytext"/>
        <w:spacing w:after="120" w:line="240" w:lineRule="atLeast"/>
        <w:contextualSpacing w:val="0"/>
        <w:jc w:val="left"/>
        <w:rPr>
          <w:lang w:val="bg-BG"/>
        </w:rPr>
      </w:pPr>
      <w:r w:rsidRPr="00721663">
        <w:rPr>
          <w:lang w:val="bg-BG"/>
        </w:rPr>
        <w:t xml:space="preserve">Към </w:t>
      </w:r>
      <w:r w:rsidR="00144930">
        <w:rPr>
          <w:lang w:val="bg-BG"/>
        </w:rPr>
        <w:t>30 юни 2017</w:t>
      </w:r>
      <w:r w:rsidR="00A25320" w:rsidRPr="00721663">
        <w:rPr>
          <w:lang w:val="bg-BG"/>
        </w:rPr>
        <w:t xml:space="preserve"> г.</w:t>
      </w:r>
      <w:r w:rsidR="005315D9" w:rsidRPr="00721663">
        <w:rPr>
          <w:lang w:val="bg-BG"/>
        </w:rPr>
        <w:t xml:space="preserve"> </w:t>
      </w:r>
      <w:r w:rsidR="00CB2836" w:rsidRPr="00721663">
        <w:rPr>
          <w:lang w:val="bg-BG"/>
        </w:rPr>
        <w:t>и</w:t>
      </w:r>
      <w:r w:rsidR="00C27D24" w:rsidRPr="00721663">
        <w:rPr>
          <w:lang w:val="bg-BG"/>
        </w:rPr>
        <w:t xml:space="preserve"> </w:t>
      </w:r>
      <w:r w:rsidR="00144930">
        <w:rPr>
          <w:lang w:val="bg-BG"/>
        </w:rPr>
        <w:t>2016</w:t>
      </w:r>
      <w:r w:rsidR="005315D9" w:rsidRPr="00721663">
        <w:rPr>
          <w:lang w:val="bg-BG"/>
        </w:rPr>
        <w:t xml:space="preserve"> </w:t>
      </w:r>
      <w:r w:rsidR="007D127A" w:rsidRPr="00721663">
        <w:rPr>
          <w:lang w:val="bg-BG"/>
        </w:rPr>
        <w:t>г. ВГЕ-2</w:t>
      </w:r>
      <w:r w:rsidR="00CB2836" w:rsidRPr="00721663">
        <w:rPr>
          <w:lang w:val="bg-BG"/>
        </w:rPr>
        <w:t xml:space="preserve"> няма наети служители</w:t>
      </w:r>
      <w:r w:rsidR="005315D9" w:rsidRPr="00721663">
        <w:rPr>
          <w:lang w:val="bg-BG"/>
        </w:rPr>
        <w:t>.</w:t>
      </w:r>
    </w:p>
    <w:p w14:paraId="7D1B8474" w14:textId="77777777" w:rsidR="00456C65" w:rsidRPr="00721663" w:rsidRDefault="00456C65" w:rsidP="00BB0380">
      <w:pPr>
        <w:pStyle w:val="Heading1"/>
      </w:pPr>
      <w:bookmarkStart w:id="4" w:name="_Toc490647384"/>
      <w:r w:rsidRPr="00721663">
        <w:t>2.1</w:t>
      </w:r>
      <w:r w:rsidR="00936142" w:rsidRPr="00721663">
        <w:t>.</w:t>
      </w:r>
      <w:r w:rsidRPr="00721663">
        <w:t xml:space="preserve"> </w:t>
      </w:r>
      <w:bookmarkEnd w:id="3"/>
      <w:r w:rsidR="00CB2836" w:rsidRPr="00721663">
        <w:t>База за изготвяне</w:t>
      </w:r>
      <w:bookmarkEnd w:id="4"/>
    </w:p>
    <w:p w14:paraId="23B56362" w14:textId="77777777" w:rsidR="00CB2836" w:rsidRPr="00721663" w:rsidRDefault="00CB2836" w:rsidP="007D127A">
      <w:pPr>
        <w:pStyle w:val="Notesbodytext"/>
        <w:spacing w:before="120" w:line="240" w:lineRule="atLeast"/>
        <w:rPr>
          <w:rFonts w:ascii="Arial" w:hAnsi="Arial"/>
          <w:szCs w:val="18"/>
          <w:lang w:val="bg-BG"/>
        </w:rPr>
      </w:pPr>
      <w:r w:rsidRPr="00721663">
        <w:rPr>
          <w:rFonts w:ascii="Arial" w:hAnsi="Arial"/>
          <w:szCs w:val="18"/>
          <w:lang w:val="bg-BG"/>
        </w:rPr>
        <w:t xml:space="preserve">Консолидираният </w:t>
      </w:r>
      <w:r w:rsidR="00B93CDB" w:rsidRPr="00721663">
        <w:rPr>
          <w:rFonts w:ascii="Arial" w:hAnsi="Arial"/>
          <w:szCs w:val="18"/>
          <w:lang w:val="bg-BG"/>
        </w:rPr>
        <w:t xml:space="preserve">междинен </w:t>
      </w:r>
      <w:r w:rsidRPr="00721663">
        <w:rPr>
          <w:rFonts w:ascii="Arial" w:hAnsi="Arial"/>
          <w:szCs w:val="18"/>
          <w:lang w:val="bg-BG"/>
        </w:rPr>
        <w:t xml:space="preserve">финансов отчет е изготвен на база историческа цена. Консолидираният </w:t>
      </w:r>
      <w:r w:rsidR="00ED4D4E" w:rsidRPr="00721663">
        <w:rPr>
          <w:rFonts w:ascii="Arial" w:hAnsi="Arial"/>
          <w:szCs w:val="18"/>
          <w:lang w:val="bg-BG"/>
        </w:rPr>
        <w:t xml:space="preserve">междинен </w:t>
      </w:r>
      <w:r w:rsidRPr="00721663">
        <w:rPr>
          <w:rFonts w:ascii="Arial" w:hAnsi="Arial"/>
          <w:szCs w:val="18"/>
          <w:lang w:val="bg-BG"/>
        </w:rPr>
        <w:t xml:space="preserve">финансов </w:t>
      </w:r>
      <w:r w:rsidR="00397AC3" w:rsidRPr="00721663">
        <w:rPr>
          <w:rFonts w:ascii="Arial" w:hAnsi="Arial"/>
          <w:szCs w:val="18"/>
          <w:lang w:val="bg-BG"/>
        </w:rPr>
        <w:t>отчет е представен</w:t>
      </w:r>
      <w:r w:rsidRPr="00721663">
        <w:rPr>
          <w:rFonts w:ascii="Arial" w:hAnsi="Arial"/>
          <w:szCs w:val="18"/>
          <w:lang w:val="bg-BG"/>
        </w:rPr>
        <w:t xml:space="preserve"> в български лева (лв.) и всички показатели са закръглени до най-близките хиляда български лева (хил. лв.), освен ако е упоменато друго.</w:t>
      </w:r>
    </w:p>
    <w:p w14:paraId="00B26938" w14:textId="77777777" w:rsidR="00095FF4" w:rsidRPr="00721663" w:rsidRDefault="00CB2836" w:rsidP="00855DB9">
      <w:pPr>
        <w:pStyle w:val="Heading4"/>
        <w:keepNext w:val="0"/>
        <w:overflowPunct w:val="0"/>
        <w:autoSpaceDE w:val="0"/>
        <w:autoSpaceDN w:val="0"/>
        <w:adjustRightInd w:val="0"/>
        <w:spacing w:after="120"/>
        <w:jc w:val="left"/>
        <w:textAlignment w:val="baseline"/>
        <w:rPr>
          <w:rFonts w:ascii="Arial" w:hAnsi="Arial" w:cs="Arial"/>
          <w:b/>
          <w:bCs/>
          <w:color w:val="000000"/>
          <w:sz w:val="18"/>
          <w:szCs w:val="18"/>
          <w:lang w:val="bg-BG"/>
        </w:rPr>
      </w:pPr>
      <w:r w:rsidRPr="00721663">
        <w:rPr>
          <w:rFonts w:ascii="Arial" w:hAnsi="Arial" w:cs="Arial"/>
          <w:b/>
          <w:bCs/>
          <w:color w:val="000000"/>
          <w:sz w:val="18"/>
          <w:szCs w:val="18"/>
          <w:lang w:val="bg-BG"/>
        </w:rPr>
        <w:t>Изявление за съответствие</w:t>
      </w:r>
    </w:p>
    <w:p w14:paraId="577B28D0" w14:textId="562CF060" w:rsidR="008D26BB" w:rsidRPr="00721663" w:rsidRDefault="00B93CDB" w:rsidP="00855DB9">
      <w:pPr>
        <w:pStyle w:val="Notesbodytext"/>
        <w:overflowPunct/>
        <w:autoSpaceDE/>
        <w:autoSpaceDN/>
        <w:adjustRightInd/>
        <w:spacing w:line="240" w:lineRule="atLeast"/>
        <w:textAlignment w:val="auto"/>
        <w:rPr>
          <w:rFonts w:ascii="Arial" w:hAnsi="Arial"/>
          <w:szCs w:val="18"/>
          <w:lang w:val="bg-BG"/>
        </w:rPr>
      </w:pPr>
      <w:r w:rsidRPr="00721663">
        <w:rPr>
          <w:rFonts w:ascii="Arial" w:hAnsi="Arial"/>
          <w:szCs w:val="18"/>
          <w:lang w:val="bg-BG"/>
        </w:rPr>
        <w:t>Консолидираният междинен финансов</w:t>
      </w:r>
      <w:r w:rsidR="007D127A" w:rsidRPr="00721663">
        <w:rPr>
          <w:rFonts w:ascii="Arial" w:hAnsi="Arial"/>
          <w:szCs w:val="18"/>
          <w:lang w:val="bg-BG"/>
        </w:rPr>
        <w:t xml:space="preserve"> отчет е изготвен в съответствие с </w:t>
      </w:r>
      <w:r w:rsidR="00D6723A" w:rsidRPr="00721663">
        <w:rPr>
          <w:rFonts w:ascii="Arial" w:hAnsi="Arial"/>
          <w:szCs w:val="18"/>
          <w:lang w:val="bg-BG"/>
        </w:rPr>
        <w:t>МСС 34 Междинно финансово отчитане,</w:t>
      </w:r>
      <w:r w:rsidR="007D127A" w:rsidRPr="00721663">
        <w:rPr>
          <w:rFonts w:ascii="Arial" w:hAnsi="Arial"/>
          <w:szCs w:val="18"/>
          <w:lang w:val="bg-BG"/>
        </w:rPr>
        <w:t xml:space="preserve">, приет от Европейския съюз (ЕС). </w:t>
      </w:r>
      <w:r w:rsidR="00CB2836" w:rsidRPr="00721663">
        <w:rPr>
          <w:rFonts w:ascii="Arial" w:hAnsi="Arial"/>
          <w:lang w:val="bg-BG"/>
        </w:rPr>
        <w:t xml:space="preserve">Консолидираният </w:t>
      </w:r>
      <w:r w:rsidR="00DB2CEA" w:rsidRPr="00721663">
        <w:rPr>
          <w:rFonts w:ascii="Arial" w:hAnsi="Arial"/>
          <w:lang w:val="bg-BG"/>
        </w:rPr>
        <w:t xml:space="preserve">междинен </w:t>
      </w:r>
      <w:r w:rsidR="00CB2836" w:rsidRPr="00721663">
        <w:rPr>
          <w:rFonts w:ascii="Arial" w:hAnsi="Arial"/>
          <w:lang w:val="bg-BG"/>
        </w:rPr>
        <w:t xml:space="preserve">финансов отчет включва индивидуалните </w:t>
      </w:r>
      <w:r w:rsidR="00DB2CEA" w:rsidRPr="00721663">
        <w:rPr>
          <w:rFonts w:ascii="Arial" w:hAnsi="Arial"/>
          <w:lang w:val="bg-BG"/>
        </w:rPr>
        <w:t xml:space="preserve">междинни </w:t>
      </w:r>
      <w:r w:rsidR="00CB2836" w:rsidRPr="00721663">
        <w:rPr>
          <w:rFonts w:ascii="Arial" w:hAnsi="Arial"/>
          <w:lang w:val="bg-BG"/>
        </w:rPr>
        <w:t>финансови отчети на ВГЕ</w:t>
      </w:r>
      <w:r w:rsidR="00DB2CEA" w:rsidRPr="00721663">
        <w:rPr>
          <w:rFonts w:ascii="Arial" w:hAnsi="Arial"/>
          <w:lang w:val="bg-BG"/>
        </w:rPr>
        <w:t xml:space="preserve"> и дъщерните му дружества към </w:t>
      </w:r>
      <w:r w:rsidR="00144930">
        <w:rPr>
          <w:rFonts w:ascii="Arial" w:hAnsi="Arial"/>
          <w:lang w:val="bg-BG"/>
        </w:rPr>
        <w:t>30 юни 2017</w:t>
      </w:r>
      <w:r w:rsidR="002D0792" w:rsidRPr="00721663">
        <w:rPr>
          <w:rFonts w:ascii="Arial" w:hAnsi="Arial"/>
          <w:lang w:val="bg-BG"/>
        </w:rPr>
        <w:t xml:space="preserve"> г</w:t>
      </w:r>
      <w:r w:rsidR="00B5608E">
        <w:rPr>
          <w:rFonts w:ascii="Arial" w:hAnsi="Arial"/>
          <w:lang w:val="bg-BG"/>
        </w:rPr>
        <w:t xml:space="preserve"> и за шестте месеца, приключващи на тази дата</w:t>
      </w:r>
      <w:r w:rsidR="00DB2CEA" w:rsidRPr="00721663">
        <w:rPr>
          <w:rFonts w:ascii="Arial" w:hAnsi="Arial"/>
          <w:lang w:val="bg-BG"/>
        </w:rPr>
        <w:t>.</w:t>
      </w:r>
    </w:p>
    <w:p w14:paraId="2AD9987E" w14:textId="77777777" w:rsidR="00A25320" w:rsidRPr="00721663" w:rsidRDefault="002D0792" w:rsidP="00855DB9">
      <w:pPr>
        <w:pStyle w:val="NormalNotLatin"/>
        <w:spacing w:after="120" w:line="240" w:lineRule="atLeast"/>
        <w:jc w:val="left"/>
        <w:rPr>
          <w:rFonts w:ascii="Arial" w:hAnsi="Arial" w:cs="Arial"/>
          <w:sz w:val="18"/>
          <w:lang w:val="bg-BG"/>
        </w:rPr>
      </w:pPr>
      <w:r w:rsidRPr="00721663">
        <w:rPr>
          <w:rFonts w:ascii="Arial" w:hAnsi="Arial" w:cs="Arial"/>
          <w:sz w:val="18"/>
          <w:lang w:val="bg-BG"/>
        </w:rPr>
        <w:t xml:space="preserve">Консолидираната </w:t>
      </w:r>
      <w:r w:rsidR="00E825B1" w:rsidRPr="00721663">
        <w:rPr>
          <w:rFonts w:ascii="Arial" w:hAnsi="Arial" w:cs="Arial"/>
          <w:sz w:val="18"/>
          <w:lang w:val="bg-BG"/>
        </w:rPr>
        <w:t xml:space="preserve">междинна </w:t>
      </w:r>
      <w:r w:rsidRPr="00721663">
        <w:rPr>
          <w:rFonts w:ascii="Arial" w:hAnsi="Arial" w:cs="Arial"/>
          <w:sz w:val="18"/>
          <w:lang w:val="bg-BG"/>
        </w:rPr>
        <w:t>финансова информация, включително и тази за дъщерните дружества, е изготвена чрез прилагане на еднакви счетоводни политики за сходни сделки и други събития при сходни обстоятелства.</w:t>
      </w:r>
    </w:p>
    <w:p w14:paraId="78BBF269" w14:textId="77777777" w:rsidR="00A25320" w:rsidRPr="00721663" w:rsidRDefault="00A25320" w:rsidP="00A25320">
      <w:pPr>
        <w:pStyle w:val="Heading4"/>
        <w:overflowPunct w:val="0"/>
        <w:autoSpaceDE w:val="0"/>
        <w:autoSpaceDN w:val="0"/>
        <w:adjustRightInd w:val="0"/>
        <w:spacing w:before="40" w:after="120"/>
        <w:jc w:val="left"/>
        <w:textAlignment w:val="baseline"/>
        <w:rPr>
          <w:rFonts w:ascii="Arial" w:hAnsi="Arial" w:cs="Arial"/>
          <w:b/>
          <w:bCs/>
          <w:color w:val="000000"/>
          <w:sz w:val="18"/>
          <w:szCs w:val="18"/>
          <w:lang w:val="bg-BG"/>
        </w:rPr>
      </w:pPr>
      <w:r w:rsidRPr="00721663">
        <w:rPr>
          <w:rFonts w:ascii="Arial" w:hAnsi="Arial" w:cs="Arial"/>
          <w:b/>
          <w:bCs/>
          <w:color w:val="000000"/>
          <w:sz w:val="18"/>
          <w:szCs w:val="18"/>
          <w:lang w:val="bg-BG"/>
        </w:rPr>
        <w:t>Действащо предприятие</w:t>
      </w:r>
    </w:p>
    <w:p w14:paraId="5D4FA1C6" w14:textId="77777777" w:rsidR="00A25320" w:rsidRPr="00721663" w:rsidRDefault="00A25320" w:rsidP="00A25320">
      <w:pPr>
        <w:spacing w:after="120"/>
        <w:jc w:val="left"/>
        <w:rPr>
          <w:rFonts w:ascii="Arial" w:hAnsi="Arial" w:cs="Arial"/>
          <w:sz w:val="18"/>
          <w:szCs w:val="18"/>
          <w:lang w:val="bg-BG"/>
        </w:rPr>
      </w:pPr>
      <w:r w:rsidRPr="00721663">
        <w:rPr>
          <w:rFonts w:ascii="Arial" w:hAnsi="Arial" w:cs="Arial"/>
          <w:sz w:val="18"/>
          <w:szCs w:val="18"/>
          <w:lang w:val="bg-BG"/>
        </w:rPr>
        <w:t>Ръководството е направило следното за да оцени способността на Групата да продължи да съществува като действащо предприятие: прогнози и анализи на очакваните бъдещи приходи и печалби; анализ на текущите и бъдещите парични потоци; оценка на заемите във връзка с финансовите споразумения и предвидените финансови ангажименти; оценка на способността на Групата да плаща лихви и когато е възможно погасяване на заеми с допълнителни средства. Въз основа на горепосочените оценки Ръководството счита, че Групата е в състояние да продължи да съществува като действащо предприятие.</w:t>
      </w:r>
    </w:p>
    <w:p w14:paraId="52FE1E0B" w14:textId="77777777" w:rsidR="00A45A95" w:rsidRPr="00721663" w:rsidRDefault="00A45A95" w:rsidP="00855DB9">
      <w:pPr>
        <w:pStyle w:val="NormalNotLatin"/>
        <w:spacing w:after="120" w:line="240" w:lineRule="atLeast"/>
        <w:jc w:val="left"/>
        <w:rPr>
          <w:rFonts w:ascii="Arial" w:hAnsi="Arial" w:cs="Arial"/>
          <w:sz w:val="18"/>
          <w:lang w:val="bg-BG"/>
        </w:rPr>
      </w:pPr>
      <w:r w:rsidRPr="00721663">
        <w:rPr>
          <w:rFonts w:ascii="Arial" w:hAnsi="Arial" w:cs="Arial"/>
          <w:sz w:val="18"/>
          <w:lang w:val="bg-BG"/>
        </w:rPr>
        <w:br w:type="page"/>
      </w:r>
    </w:p>
    <w:p w14:paraId="79D36229" w14:textId="77777777" w:rsidR="00C27D24" w:rsidRPr="00721663" w:rsidRDefault="00C27D24" w:rsidP="00855DB9">
      <w:pPr>
        <w:pStyle w:val="Notesbodytext"/>
        <w:spacing w:line="240" w:lineRule="atLeast"/>
        <w:rPr>
          <w:rFonts w:ascii="Arial" w:hAnsi="Arial"/>
          <w:b/>
          <w:sz w:val="20"/>
          <w:lang w:val="bg-BG"/>
        </w:rPr>
      </w:pPr>
      <w:r w:rsidRPr="00721663">
        <w:rPr>
          <w:rFonts w:ascii="Arial" w:hAnsi="Arial"/>
          <w:b/>
          <w:sz w:val="20"/>
          <w:lang w:val="bg-BG"/>
        </w:rPr>
        <w:lastRenderedPageBreak/>
        <w:t xml:space="preserve">2.1. База за изготвяне </w:t>
      </w:r>
      <w:r w:rsidRPr="00721663">
        <w:rPr>
          <w:rFonts w:ascii="Arial" w:hAnsi="Arial"/>
          <w:b/>
          <w:i/>
          <w:sz w:val="20"/>
          <w:lang w:val="bg-BG"/>
        </w:rPr>
        <w:t>(продължение)</w:t>
      </w:r>
    </w:p>
    <w:p w14:paraId="3D69BAC0" w14:textId="77777777" w:rsidR="00CD732A" w:rsidRPr="00721663" w:rsidRDefault="002D0792" w:rsidP="00855DB9">
      <w:pPr>
        <w:pStyle w:val="Heading4"/>
        <w:overflowPunct w:val="0"/>
        <w:autoSpaceDE w:val="0"/>
        <w:autoSpaceDN w:val="0"/>
        <w:adjustRightInd w:val="0"/>
        <w:spacing w:before="40" w:after="120"/>
        <w:jc w:val="left"/>
        <w:textAlignment w:val="baseline"/>
        <w:rPr>
          <w:rFonts w:ascii="Arial" w:hAnsi="Arial" w:cs="Arial"/>
          <w:b/>
          <w:bCs/>
          <w:i/>
          <w:color w:val="000000"/>
          <w:sz w:val="18"/>
          <w:szCs w:val="18"/>
          <w:lang w:val="bg-BG"/>
        </w:rPr>
      </w:pPr>
      <w:r w:rsidRPr="00721663">
        <w:rPr>
          <w:rFonts w:ascii="Arial" w:hAnsi="Arial" w:cs="Arial"/>
          <w:b/>
          <w:bCs/>
          <w:color w:val="000000"/>
          <w:sz w:val="18"/>
          <w:szCs w:val="18"/>
          <w:lang w:val="bg-BG"/>
        </w:rPr>
        <w:t>Действащо предприятие</w:t>
      </w:r>
      <w:r w:rsidR="00A25320" w:rsidRPr="00721663">
        <w:rPr>
          <w:rFonts w:ascii="Arial" w:hAnsi="Arial" w:cs="Arial"/>
          <w:b/>
          <w:bCs/>
          <w:color w:val="000000"/>
          <w:sz w:val="18"/>
          <w:szCs w:val="18"/>
          <w:lang w:val="bg-BG"/>
        </w:rPr>
        <w:t xml:space="preserve"> </w:t>
      </w:r>
      <w:r w:rsidR="00A25320" w:rsidRPr="00721663">
        <w:rPr>
          <w:rFonts w:ascii="Arial" w:hAnsi="Arial" w:cs="Arial"/>
          <w:b/>
          <w:bCs/>
          <w:i/>
          <w:color w:val="000000"/>
          <w:sz w:val="18"/>
          <w:szCs w:val="18"/>
          <w:lang w:val="bg-BG"/>
        </w:rPr>
        <w:t>(продължение)</w:t>
      </w:r>
    </w:p>
    <w:p w14:paraId="1C2E3B55" w14:textId="77777777" w:rsidR="001E020A" w:rsidRPr="00721663" w:rsidRDefault="004F206C" w:rsidP="00855DB9">
      <w:pPr>
        <w:spacing w:after="120"/>
        <w:jc w:val="left"/>
        <w:rPr>
          <w:rFonts w:ascii="Arial" w:hAnsi="Arial" w:cs="Arial"/>
          <w:sz w:val="18"/>
          <w:szCs w:val="18"/>
          <w:lang w:val="bg-BG"/>
        </w:rPr>
      </w:pPr>
      <w:r w:rsidRPr="00721663">
        <w:rPr>
          <w:rFonts w:ascii="Arial" w:hAnsi="Arial" w:cs="Arial"/>
          <w:sz w:val="18"/>
          <w:szCs w:val="18"/>
          <w:lang w:val="bg-BG"/>
        </w:rPr>
        <w:t xml:space="preserve">Бъдещата дейност на Групата </w:t>
      </w:r>
      <w:r w:rsidR="006D6ECD" w:rsidRPr="00721663">
        <w:rPr>
          <w:rFonts w:ascii="Arial" w:hAnsi="Arial" w:cs="Arial"/>
          <w:sz w:val="18"/>
          <w:szCs w:val="18"/>
          <w:lang w:val="bg-BG"/>
        </w:rPr>
        <w:t xml:space="preserve">е пряко зависима </w:t>
      </w:r>
      <w:r w:rsidRPr="00721663">
        <w:rPr>
          <w:rFonts w:ascii="Arial" w:hAnsi="Arial" w:cs="Arial"/>
          <w:sz w:val="18"/>
          <w:szCs w:val="18"/>
          <w:lang w:val="bg-BG"/>
        </w:rPr>
        <w:t xml:space="preserve">от бизнес средата, както и от осигуреното финансиране от </w:t>
      </w:r>
      <w:r w:rsidR="006D6ECD" w:rsidRPr="00721663">
        <w:rPr>
          <w:rFonts w:ascii="Arial" w:hAnsi="Arial" w:cs="Arial"/>
          <w:sz w:val="18"/>
          <w:szCs w:val="18"/>
          <w:lang w:val="bg-BG"/>
        </w:rPr>
        <w:t xml:space="preserve">вече съществуващи </w:t>
      </w:r>
      <w:r w:rsidR="008162F5" w:rsidRPr="00721663">
        <w:rPr>
          <w:rFonts w:ascii="Arial" w:hAnsi="Arial" w:cs="Arial"/>
          <w:sz w:val="18"/>
          <w:szCs w:val="18"/>
          <w:lang w:val="bg-BG"/>
        </w:rPr>
        <w:t>и бъдещи собственици</w:t>
      </w:r>
      <w:r w:rsidRPr="00721663">
        <w:rPr>
          <w:rFonts w:ascii="Arial" w:hAnsi="Arial" w:cs="Arial"/>
          <w:sz w:val="18"/>
          <w:szCs w:val="18"/>
          <w:lang w:val="bg-BG"/>
        </w:rPr>
        <w:t xml:space="preserve">. Ако </w:t>
      </w:r>
      <w:r w:rsidR="006D6ECD" w:rsidRPr="00721663">
        <w:rPr>
          <w:rFonts w:ascii="Arial" w:hAnsi="Arial" w:cs="Arial"/>
          <w:sz w:val="18"/>
          <w:szCs w:val="18"/>
          <w:lang w:val="bg-BG"/>
        </w:rPr>
        <w:t xml:space="preserve">бизнес </w:t>
      </w:r>
      <w:r w:rsidRPr="00721663">
        <w:rPr>
          <w:rFonts w:ascii="Arial" w:hAnsi="Arial" w:cs="Arial"/>
          <w:sz w:val="18"/>
          <w:szCs w:val="18"/>
          <w:lang w:val="bg-BG"/>
        </w:rPr>
        <w:t>рискът бъде подценен и</w:t>
      </w:r>
      <w:r w:rsidR="006D6ECD" w:rsidRPr="00721663">
        <w:rPr>
          <w:rFonts w:ascii="Arial" w:hAnsi="Arial" w:cs="Arial"/>
          <w:sz w:val="18"/>
          <w:szCs w:val="18"/>
          <w:lang w:val="bg-BG"/>
        </w:rPr>
        <w:t xml:space="preserve"> дейността </w:t>
      </w:r>
      <w:r w:rsidRPr="00721663">
        <w:rPr>
          <w:rFonts w:ascii="Arial" w:hAnsi="Arial" w:cs="Arial"/>
          <w:sz w:val="18"/>
          <w:szCs w:val="18"/>
          <w:lang w:val="bg-BG"/>
        </w:rPr>
        <w:t xml:space="preserve">на Групата </w:t>
      </w:r>
      <w:r w:rsidR="006D6ECD" w:rsidRPr="00721663">
        <w:rPr>
          <w:rFonts w:ascii="Arial" w:hAnsi="Arial" w:cs="Arial"/>
          <w:sz w:val="18"/>
          <w:szCs w:val="18"/>
          <w:lang w:val="bg-BG"/>
        </w:rPr>
        <w:t>бъде</w:t>
      </w:r>
      <w:r w:rsidR="008162F5" w:rsidRPr="00721663">
        <w:rPr>
          <w:rFonts w:ascii="Arial" w:hAnsi="Arial" w:cs="Arial"/>
          <w:sz w:val="18"/>
          <w:szCs w:val="18"/>
          <w:lang w:val="bg-BG"/>
        </w:rPr>
        <w:t xml:space="preserve"> затруднена или възпрепятствана</w:t>
      </w:r>
      <w:r w:rsidR="006D6ECD" w:rsidRPr="00721663">
        <w:rPr>
          <w:rFonts w:ascii="Arial" w:hAnsi="Arial" w:cs="Arial"/>
          <w:sz w:val="18"/>
          <w:szCs w:val="18"/>
          <w:lang w:val="bg-BG"/>
        </w:rPr>
        <w:t xml:space="preserve"> и активите бъдат продадени, следва да бъдат направени корекции: да се намали отчетната стойност на активите до тяхната ликвидационна стойност; да се начислят потенциални задължения; да се рекласифицират дългосрочните активи и пасиви в краткосрочни. Вземайки предвид очакваните парични потоци, </w:t>
      </w:r>
      <w:r w:rsidR="000874D1" w:rsidRPr="00721663">
        <w:rPr>
          <w:rFonts w:ascii="Arial" w:hAnsi="Arial" w:cs="Arial"/>
          <w:sz w:val="18"/>
          <w:szCs w:val="18"/>
          <w:lang w:val="bg-BG"/>
        </w:rPr>
        <w:t xml:space="preserve">Ръководството </w:t>
      </w:r>
      <w:r w:rsidR="006D6ECD" w:rsidRPr="00721663">
        <w:rPr>
          <w:rFonts w:ascii="Arial" w:hAnsi="Arial" w:cs="Arial"/>
          <w:sz w:val="18"/>
          <w:szCs w:val="18"/>
          <w:lang w:val="bg-BG"/>
        </w:rPr>
        <w:t xml:space="preserve"> на Групата счита, че финансовия отчет следва да бъде изготвен съгласно принципа на действащото предприятие</w:t>
      </w:r>
      <w:r w:rsidRPr="00721663">
        <w:rPr>
          <w:rFonts w:ascii="Arial" w:hAnsi="Arial" w:cs="Arial"/>
          <w:sz w:val="18"/>
          <w:szCs w:val="18"/>
          <w:lang w:val="bg-BG"/>
        </w:rPr>
        <w:t>.</w:t>
      </w:r>
    </w:p>
    <w:p w14:paraId="34A6EEB7" w14:textId="77777777" w:rsidR="00BE2F6B" w:rsidRPr="00721663" w:rsidRDefault="002468BB" w:rsidP="00855DB9">
      <w:pPr>
        <w:spacing w:after="120"/>
        <w:jc w:val="left"/>
        <w:rPr>
          <w:rFonts w:ascii="Arial" w:hAnsi="Arial" w:cs="Arial"/>
          <w:sz w:val="18"/>
          <w:szCs w:val="18"/>
          <w:lang w:val="bg-BG"/>
        </w:rPr>
      </w:pPr>
      <w:r w:rsidRPr="00721663">
        <w:rPr>
          <w:rFonts w:ascii="Arial" w:hAnsi="Arial" w:cs="Arial"/>
          <w:sz w:val="18"/>
          <w:szCs w:val="18"/>
          <w:lang w:val="bg-BG"/>
        </w:rPr>
        <w:t>Ръководството</w:t>
      </w:r>
      <w:r w:rsidR="002D0792" w:rsidRPr="00721663">
        <w:rPr>
          <w:rFonts w:ascii="Arial" w:hAnsi="Arial" w:cs="Arial"/>
          <w:sz w:val="18"/>
          <w:szCs w:val="18"/>
          <w:lang w:val="bg-BG"/>
        </w:rPr>
        <w:t xml:space="preserve"> отбелязва следните обстоятелства, които може да окажат ефект върху дейността /</w:t>
      </w:r>
      <w:r w:rsidR="008C7C1B" w:rsidRPr="00721663">
        <w:rPr>
          <w:rFonts w:ascii="Arial" w:hAnsi="Arial" w:cs="Arial"/>
          <w:sz w:val="18"/>
          <w:szCs w:val="18"/>
          <w:lang w:val="bg-BG"/>
        </w:rPr>
        <w:t xml:space="preserve"> </w:t>
      </w:r>
      <w:r w:rsidR="002D0792" w:rsidRPr="00721663">
        <w:rPr>
          <w:rFonts w:ascii="Arial" w:hAnsi="Arial" w:cs="Arial"/>
          <w:sz w:val="18"/>
          <w:szCs w:val="18"/>
          <w:lang w:val="bg-BG"/>
        </w:rPr>
        <w:t>финансовото състояние на Групата:</w:t>
      </w:r>
    </w:p>
    <w:p w14:paraId="0320BD39" w14:textId="77777777" w:rsidR="00BE2F6B" w:rsidRPr="00721663" w:rsidRDefault="002D0792" w:rsidP="00855DB9">
      <w:pPr>
        <w:pStyle w:val="Notesbodytext"/>
        <w:spacing w:before="60" w:line="240" w:lineRule="atLeast"/>
        <w:rPr>
          <w:rFonts w:ascii="Arial" w:hAnsi="Arial"/>
          <w:i/>
          <w:szCs w:val="18"/>
          <w:lang w:val="bg-BG"/>
        </w:rPr>
      </w:pPr>
      <w:r w:rsidRPr="00721663">
        <w:rPr>
          <w:rFonts w:ascii="Arial" w:hAnsi="Arial"/>
          <w:i/>
          <w:szCs w:val="18"/>
          <w:lang w:val="bg-BG"/>
        </w:rPr>
        <w:t>Търговско представяне</w:t>
      </w:r>
    </w:p>
    <w:p w14:paraId="1A07E5E9" w14:textId="6A85D0E1" w:rsidR="00A53378" w:rsidRPr="00721663" w:rsidRDefault="003C56E3" w:rsidP="00855DB9">
      <w:pPr>
        <w:pStyle w:val="Notesbodytext"/>
        <w:spacing w:line="240" w:lineRule="atLeast"/>
        <w:rPr>
          <w:rFonts w:ascii="Arial" w:hAnsi="Arial"/>
          <w:szCs w:val="18"/>
          <w:lang w:val="bg-BG"/>
        </w:rPr>
      </w:pPr>
      <w:r w:rsidRPr="00721663">
        <w:rPr>
          <w:rFonts w:ascii="Arial" w:hAnsi="Arial"/>
          <w:szCs w:val="18"/>
          <w:lang w:val="bg-BG"/>
        </w:rPr>
        <w:t xml:space="preserve">Към </w:t>
      </w:r>
      <w:r w:rsidR="00144930">
        <w:rPr>
          <w:rFonts w:ascii="Arial" w:hAnsi="Arial"/>
          <w:szCs w:val="18"/>
          <w:lang w:val="bg-BG"/>
        </w:rPr>
        <w:t>30 юни 2017</w:t>
      </w:r>
      <w:r w:rsidR="002D0792" w:rsidRPr="00721663">
        <w:rPr>
          <w:rFonts w:ascii="Arial" w:hAnsi="Arial"/>
          <w:szCs w:val="18"/>
          <w:lang w:val="bg-BG"/>
        </w:rPr>
        <w:t xml:space="preserve"> г., Групата отчита отрицателен собствен капитал в размер на</w:t>
      </w:r>
      <w:r w:rsidR="00BE2F6B" w:rsidRPr="00721663">
        <w:rPr>
          <w:rFonts w:ascii="Arial" w:hAnsi="Arial"/>
          <w:szCs w:val="18"/>
          <w:lang w:val="bg-BG"/>
        </w:rPr>
        <w:t xml:space="preserve"> </w:t>
      </w:r>
      <w:r w:rsidR="00E03C2E" w:rsidRPr="00721663">
        <w:rPr>
          <w:rFonts w:ascii="Arial" w:hAnsi="Arial"/>
          <w:szCs w:val="18"/>
          <w:lang w:val="bg-BG"/>
        </w:rPr>
        <w:t>2,</w:t>
      </w:r>
      <w:r w:rsidR="0052564C">
        <w:rPr>
          <w:rFonts w:ascii="Arial" w:hAnsi="Arial"/>
          <w:szCs w:val="18"/>
          <w:lang w:val="bg-BG"/>
        </w:rPr>
        <w:t>042</w:t>
      </w:r>
      <w:r w:rsidR="00BE2F6B" w:rsidRPr="00721663">
        <w:rPr>
          <w:rFonts w:ascii="Arial" w:hAnsi="Arial"/>
          <w:szCs w:val="18"/>
          <w:lang w:val="bg-BG"/>
        </w:rPr>
        <w:t xml:space="preserve"> </w:t>
      </w:r>
      <w:r w:rsidR="002D0792" w:rsidRPr="00721663">
        <w:rPr>
          <w:rFonts w:ascii="Arial" w:hAnsi="Arial"/>
          <w:szCs w:val="18"/>
          <w:lang w:val="bg-BG"/>
        </w:rPr>
        <w:t>хил. лв.</w:t>
      </w:r>
      <w:r w:rsidR="002468BB" w:rsidRPr="00721663">
        <w:rPr>
          <w:rFonts w:ascii="Arial" w:hAnsi="Arial"/>
          <w:szCs w:val="18"/>
          <w:lang w:val="bg-BG"/>
        </w:rPr>
        <w:t xml:space="preserve"> (</w:t>
      </w:r>
      <w:r w:rsidR="00144930">
        <w:rPr>
          <w:rFonts w:ascii="Arial" w:hAnsi="Arial"/>
          <w:szCs w:val="18"/>
          <w:lang w:val="bg-BG"/>
        </w:rPr>
        <w:t>31 декември 2016</w:t>
      </w:r>
      <w:r w:rsidR="008162F5" w:rsidRPr="00721663">
        <w:rPr>
          <w:rFonts w:ascii="Arial" w:hAnsi="Arial"/>
          <w:szCs w:val="18"/>
          <w:lang w:val="bg-BG"/>
        </w:rPr>
        <w:t> </w:t>
      </w:r>
      <w:r w:rsidR="002D0792" w:rsidRPr="00721663">
        <w:rPr>
          <w:rFonts w:ascii="Arial" w:hAnsi="Arial"/>
          <w:szCs w:val="18"/>
          <w:lang w:val="bg-BG"/>
        </w:rPr>
        <w:t>г.</w:t>
      </w:r>
      <w:r w:rsidR="0054272E" w:rsidRPr="00721663">
        <w:rPr>
          <w:rFonts w:ascii="Arial" w:hAnsi="Arial"/>
          <w:szCs w:val="18"/>
          <w:lang w:val="bg-BG"/>
        </w:rPr>
        <w:t xml:space="preserve">: </w:t>
      </w:r>
      <w:r w:rsidR="008C7C1B" w:rsidRPr="00721663">
        <w:rPr>
          <w:rFonts w:ascii="Arial" w:hAnsi="Arial"/>
          <w:szCs w:val="18"/>
          <w:lang w:val="bg-BG"/>
        </w:rPr>
        <w:t xml:space="preserve">отрицателен </w:t>
      </w:r>
      <w:r w:rsidR="002D0792" w:rsidRPr="00721663">
        <w:rPr>
          <w:rFonts w:ascii="Arial" w:hAnsi="Arial"/>
          <w:szCs w:val="18"/>
          <w:lang w:val="bg-BG"/>
        </w:rPr>
        <w:t xml:space="preserve">собствен капитал в размер на </w:t>
      </w:r>
      <w:r w:rsidR="00E03C2E" w:rsidRPr="00721663">
        <w:rPr>
          <w:rFonts w:ascii="Arial" w:hAnsi="Arial"/>
          <w:szCs w:val="18"/>
          <w:lang w:val="bg-BG"/>
        </w:rPr>
        <w:t>2,</w:t>
      </w:r>
      <w:r w:rsidR="0052564C">
        <w:rPr>
          <w:rFonts w:ascii="Arial" w:hAnsi="Arial"/>
          <w:szCs w:val="18"/>
          <w:lang w:val="bg-BG"/>
        </w:rPr>
        <w:t>394</w:t>
      </w:r>
      <w:r w:rsidR="0054272E" w:rsidRPr="00721663">
        <w:rPr>
          <w:rFonts w:ascii="Arial" w:hAnsi="Arial"/>
          <w:szCs w:val="18"/>
          <w:lang w:val="bg-BG"/>
        </w:rPr>
        <w:t xml:space="preserve"> </w:t>
      </w:r>
      <w:r w:rsidR="002D0792" w:rsidRPr="00721663">
        <w:rPr>
          <w:rFonts w:ascii="Arial" w:hAnsi="Arial"/>
          <w:szCs w:val="18"/>
          <w:lang w:val="bg-BG"/>
        </w:rPr>
        <w:t>хил. лв.</w:t>
      </w:r>
      <w:r w:rsidR="0054272E" w:rsidRPr="00721663">
        <w:rPr>
          <w:rFonts w:ascii="Arial" w:hAnsi="Arial"/>
          <w:szCs w:val="18"/>
          <w:lang w:val="bg-BG"/>
        </w:rPr>
        <w:t>)</w:t>
      </w:r>
      <w:r w:rsidR="00BE2F6B" w:rsidRPr="00721663">
        <w:rPr>
          <w:rFonts w:ascii="Arial" w:hAnsi="Arial"/>
          <w:szCs w:val="18"/>
          <w:lang w:val="bg-BG"/>
        </w:rPr>
        <w:t xml:space="preserve">. </w:t>
      </w:r>
      <w:r w:rsidRPr="00721663">
        <w:rPr>
          <w:rFonts w:ascii="Arial" w:hAnsi="Arial"/>
          <w:szCs w:val="18"/>
          <w:lang w:val="bg-BG"/>
        </w:rPr>
        <w:t>Нетната печалба</w:t>
      </w:r>
      <w:r w:rsidR="002D0792" w:rsidRPr="00721663">
        <w:rPr>
          <w:rFonts w:ascii="Arial" w:hAnsi="Arial"/>
          <w:szCs w:val="18"/>
          <w:lang w:val="bg-BG"/>
        </w:rPr>
        <w:t xml:space="preserve"> за </w:t>
      </w:r>
      <w:r w:rsidR="00E825B1" w:rsidRPr="00721663">
        <w:rPr>
          <w:rFonts w:ascii="Arial" w:hAnsi="Arial"/>
          <w:szCs w:val="18"/>
          <w:lang w:val="bg-BG"/>
        </w:rPr>
        <w:t xml:space="preserve">шестмесечния период, приключващ на </w:t>
      </w:r>
      <w:r w:rsidR="00144930">
        <w:rPr>
          <w:rFonts w:ascii="Arial" w:hAnsi="Arial"/>
          <w:szCs w:val="18"/>
          <w:lang w:val="bg-BG"/>
        </w:rPr>
        <w:t>30 юни 2017</w:t>
      </w:r>
      <w:r w:rsidR="00E825B1" w:rsidRPr="00721663">
        <w:rPr>
          <w:rFonts w:ascii="Arial" w:hAnsi="Arial"/>
          <w:szCs w:val="18"/>
          <w:lang w:val="bg-BG"/>
        </w:rPr>
        <w:t xml:space="preserve"> г.,</w:t>
      </w:r>
      <w:r w:rsidR="002D0792" w:rsidRPr="00721663">
        <w:rPr>
          <w:rFonts w:ascii="Arial" w:hAnsi="Arial"/>
          <w:szCs w:val="18"/>
          <w:lang w:val="bg-BG"/>
        </w:rPr>
        <w:t xml:space="preserve"> е</w:t>
      </w:r>
      <w:r w:rsidR="00BE2F6B" w:rsidRPr="00721663">
        <w:rPr>
          <w:rFonts w:ascii="Arial" w:hAnsi="Arial"/>
          <w:szCs w:val="18"/>
          <w:lang w:val="bg-BG"/>
        </w:rPr>
        <w:t xml:space="preserve"> </w:t>
      </w:r>
      <w:r w:rsidR="0052564C">
        <w:rPr>
          <w:rFonts w:ascii="Arial" w:hAnsi="Arial"/>
          <w:szCs w:val="18"/>
          <w:lang w:val="bg-BG"/>
        </w:rPr>
        <w:t>352</w:t>
      </w:r>
      <w:r w:rsidR="00F22A2F" w:rsidRPr="00721663">
        <w:rPr>
          <w:rFonts w:ascii="Arial" w:hAnsi="Arial"/>
          <w:szCs w:val="18"/>
          <w:lang w:val="bg-BG"/>
        </w:rPr>
        <w:t xml:space="preserve"> </w:t>
      </w:r>
      <w:r w:rsidR="002D0792" w:rsidRPr="00721663">
        <w:rPr>
          <w:rFonts w:ascii="Arial" w:hAnsi="Arial"/>
          <w:szCs w:val="18"/>
          <w:lang w:val="bg-BG"/>
        </w:rPr>
        <w:t>хил. лв.</w:t>
      </w:r>
      <w:r w:rsidR="00841D6A" w:rsidRPr="00721663">
        <w:rPr>
          <w:rFonts w:ascii="Arial" w:hAnsi="Arial"/>
          <w:szCs w:val="18"/>
          <w:lang w:val="bg-BG"/>
        </w:rPr>
        <w:t xml:space="preserve"> (</w:t>
      </w:r>
      <w:r w:rsidR="00144930">
        <w:rPr>
          <w:rFonts w:ascii="Arial" w:hAnsi="Arial"/>
          <w:szCs w:val="18"/>
          <w:lang w:val="bg-BG"/>
        </w:rPr>
        <w:t>30 юни 2016</w:t>
      </w:r>
      <w:r w:rsidR="00F01F21" w:rsidRPr="00721663">
        <w:rPr>
          <w:rFonts w:ascii="Arial" w:hAnsi="Arial"/>
          <w:szCs w:val="18"/>
          <w:lang w:val="bg-BG"/>
        </w:rPr>
        <w:t xml:space="preserve"> г.: </w:t>
      </w:r>
      <w:r w:rsidR="00D13428" w:rsidRPr="00721663">
        <w:rPr>
          <w:rFonts w:ascii="Arial" w:hAnsi="Arial"/>
          <w:szCs w:val="18"/>
          <w:lang w:val="bg-BG"/>
        </w:rPr>
        <w:t xml:space="preserve">нетна </w:t>
      </w:r>
      <w:r w:rsidR="000F43DB">
        <w:rPr>
          <w:rFonts w:ascii="Arial" w:hAnsi="Arial"/>
          <w:szCs w:val="18"/>
          <w:lang w:val="bg-BG"/>
        </w:rPr>
        <w:t>печалба</w:t>
      </w:r>
      <w:r w:rsidR="00D13428" w:rsidRPr="00721663">
        <w:rPr>
          <w:rFonts w:ascii="Arial" w:hAnsi="Arial"/>
          <w:szCs w:val="18"/>
          <w:lang w:val="bg-BG"/>
        </w:rPr>
        <w:t xml:space="preserve"> </w:t>
      </w:r>
      <w:r w:rsidR="0052564C">
        <w:rPr>
          <w:rFonts w:ascii="Arial" w:hAnsi="Arial"/>
          <w:szCs w:val="18"/>
          <w:lang w:val="bg-BG"/>
        </w:rPr>
        <w:t>99</w:t>
      </w:r>
      <w:r w:rsidR="007205F8" w:rsidRPr="00721663">
        <w:rPr>
          <w:rFonts w:ascii="Arial" w:hAnsi="Arial"/>
          <w:szCs w:val="18"/>
          <w:lang w:val="bg-BG"/>
        </w:rPr>
        <w:t xml:space="preserve"> хил.лв.</w:t>
      </w:r>
      <w:r w:rsidR="00F01F21" w:rsidRPr="00721663">
        <w:rPr>
          <w:rFonts w:ascii="Arial" w:hAnsi="Arial"/>
          <w:szCs w:val="18"/>
          <w:lang w:val="bg-BG"/>
        </w:rPr>
        <w:t>)</w:t>
      </w:r>
      <w:r w:rsidRPr="00721663">
        <w:rPr>
          <w:rFonts w:ascii="Arial" w:hAnsi="Arial"/>
          <w:szCs w:val="18"/>
          <w:lang w:val="bg-BG"/>
        </w:rPr>
        <w:t>.</w:t>
      </w:r>
    </w:p>
    <w:p w14:paraId="3C0BE9F3" w14:textId="77777777" w:rsidR="00A72077" w:rsidRPr="00721663" w:rsidRDefault="002468BB" w:rsidP="00855DB9">
      <w:pPr>
        <w:spacing w:before="80" w:after="120"/>
        <w:jc w:val="left"/>
        <w:rPr>
          <w:rFonts w:ascii="Arial" w:hAnsi="Arial" w:cs="Arial"/>
          <w:sz w:val="18"/>
          <w:szCs w:val="18"/>
          <w:lang w:val="bg-BG"/>
        </w:rPr>
      </w:pPr>
      <w:r w:rsidRPr="00721663">
        <w:rPr>
          <w:rFonts w:ascii="Arial" w:hAnsi="Arial" w:cs="Arial"/>
          <w:sz w:val="18"/>
          <w:szCs w:val="18"/>
          <w:lang w:val="bg-BG"/>
        </w:rPr>
        <w:t>Ръководството</w:t>
      </w:r>
      <w:r w:rsidR="00A72077" w:rsidRPr="00721663">
        <w:rPr>
          <w:rFonts w:ascii="Arial" w:hAnsi="Arial" w:cs="Arial"/>
          <w:sz w:val="18"/>
          <w:szCs w:val="18"/>
          <w:lang w:val="bg-BG"/>
        </w:rPr>
        <w:t xml:space="preserve"> има основателни очаквания, че Групата ще разполага с достатъчно средства да продължи да функционира като действащо предприятие </w:t>
      </w:r>
      <w:r w:rsidR="005311D9" w:rsidRPr="00721663">
        <w:rPr>
          <w:rFonts w:ascii="Arial" w:hAnsi="Arial" w:cs="Arial"/>
          <w:sz w:val="18"/>
          <w:szCs w:val="18"/>
          <w:lang w:val="bg-BG"/>
        </w:rPr>
        <w:t>и</w:t>
      </w:r>
      <w:r w:rsidR="00A72077" w:rsidRPr="00721663">
        <w:rPr>
          <w:rFonts w:ascii="Arial" w:hAnsi="Arial" w:cs="Arial"/>
          <w:sz w:val="18"/>
          <w:szCs w:val="18"/>
          <w:lang w:val="bg-BG"/>
        </w:rPr>
        <w:t xml:space="preserve"> ще разполага с достатъчно парични средства и капацитет за генериране на парични средства, за да обслужва дълговете си и да покрие задълженията си, ког</w:t>
      </w:r>
      <w:r w:rsidR="003C56E3" w:rsidRPr="00721663">
        <w:rPr>
          <w:rFonts w:ascii="Arial" w:hAnsi="Arial" w:cs="Arial"/>
          <w:sz w:val="18"/>
          <w:szCs w:val="18"/>
          <w:lang w:val="bg-BG"/>
        </w:rPr>
        <w:t>ато те станат изискуеми</w:t>
      </w:r>
      <w:r w:rsidR="00A72077" w:rsidRPr="00721663">
        <w:rPr>
          <w:rFonts w:ascii="Arial" w:hAnsi="Arial" w:cs="Arial"/>
          <w:sz w:val="18"/>
          <w:szCs w:val="18"/>
          <w:lang w:val="bg-BG"/>
        </w:rPr>
        <w:t>.</w:t>
      </w:r>
      <w:r w:rsidR="00D402FF" w:rsidRPr="00721663">
        <w:rPr>
          <w:rFonts w:ascii="Arial" w:hAnsi="Arial" w:cs="Arial"/>
          <w:sz w:val="18"/>
          <w:szCs w:val="18"/>
          <w:lang w:val="bg-BG"/>
        </w:rPr>
        <w:t xml:space="preserve"> Собственикът на </w:t>
      </w:r>
      <w:r w:rsidR="007E1018" w:rsidRPr="00721663">
        <w:rPr>
          <w:rFonts w:ascii="Arial" w:hAnsi="Arial" w:cs="Arial"/>
          <w:sz w:val="18"/>
          <w:szCs w:val="18"/>
          <w:lang w:val="bg-BG"/>
        </w:rPr>
        <w:t>Групата</w:t>
      </w:r>
      <w:r w:rsidR="00D402FF" w:rsidRPr="00721663">
        <w:rPr>
          <w:rFonts w:ascii="Arial" w:hAnsi="Arial" w:cs="Arial"/>
          <w:sz w:val="18"/>
          <w:szCs w:val="18"/>
          <w:lang w:val="bg-BG"/>
        </w:rPr>
        <w:t xml:space="preserve"> потвърждава, че ще</w:t>
      </w:r>
      <w:r w:rsidR="00B50DD6" w:rsidRPr="00721663">
        <w:rPr>
          <w:rFonts w:ascii="Arial" w:hAnsi="Arial" w:cs="Arial"/>
          <w:sz w:val="18"/>
          <w:szCs w:val="18"/>
          <w:lang w:val="bg-BG"/>
        </w:rPr>
        <w:t xml:space="preserve"> осигури подкрепа на Групата, така че тя</w:t>
      </w:r>
      <w:r w:rsidR="00D402FF" w:rsidRPr="00721663">
        <w:rPr>
          <w:rFonts w:ascii="Arial" w:hAnsi="Arial" w:cs="Arial"/>
          <w:sz w:val="18"/>
          <w:szCs w:val="18"/>
          <w:lang w:val="bg-BG"/>
        </w:rPr>
        <w:t xml:space="preserve"> да разполага с необходимите средства и да посреща  задължения си, когато те са дължими.</w:t>
      </w:r>
      <w:r w:rsidR="00E825B1" w:rsidRPr="00721663">
        <w:rPr>
          <w:rFonts w:ascii="Arial" w:hAnsi="Arial" w:cs="Arial"/>
          <w:sz w:val="18"/>
          <w:szCs w:val="18"/>
          <w:lang w:val="bg-BG"/>
        </w:rPr>
        <w:t xml:space="preserve"> </w:t>
      </w:r>
    </w:p>
    <w:p w14:paraId="301AD2A4" w14:textId="77777777" w:rsidR="00223384" w:rsidRPr="00721663" w:rsidRDefault="00223384" w:rsidP="00BB0380">
      <w:pPr>
        <w:pStyle w:val="Heading1"/>
      </w:pPr>
      <w:bookmarkStart w:id="5" w:name="_Toc490647385"/>
      <w:r w:rsidRPr="00721663">
        <w:t>2.2</w:t>
      </w:r>
      <w:r w:rsidR="000F13C2" w:rsidRPr="00721663">
        <w:t>.</w:t>
      </w:r>
      <w:r w:rsidRPr="00721663">
        <w:t xml:space="preserve"> </w:t>
      </w:r>
      <w:r w:rsidR="00BF1E3C" w:rsidRPr="00721663">
        <w:t>База за консолидация</w:t>
      </w:r>
      <w:bookmarkEnd w:id="5"/>
    </w:p>
    <w:p w14:paraId="100F9C5F" w14:textId="5F0F156A" w:rsidR="00223384" w:rsidRPr="00721663" w:rsidRDefault="0090231E" w:rsidP="00855DB9">
      <w:pPr>
        <w:spacing w:before="120" w:after="120"/>
        <w:jc w:val="left"/>
        <w:rPr>
          <w:rFonts w:ascii="Arial" w:hAnsi="Arial" w:cs="Arial"/>
          <w:sz w:val="18"/>
          <w:szCs w:val="18"/>
          <w:lang w:val="bg-BG"/>
        </w:rPr>
      </w:pPr>
      <w:r w:rsidRPr="00721663">
        <w:rPr>
          <w:rFonts w:ascii="Arial" w:hAnsi="Arial" w:cs="Arial"/>
          <w:sz w:val="18"/>
          <w:szCs w:val="18"/>
          <w:lang w:val="bg-BG"/>
        </w:rPr>
        <w:t xml:space="preserve">Консолидираният </w:t>
      </w:r>
      <w:r w:rsidR="00C74F4A" w:rsidRPr="00721663">
        <w:rPr>
          <w:rFonts w:ascii="Arial" w:hAnsi="Arial" w:cs="Arial"/>
          <w:sz w:val="18"/>
          <w:szCs w:val="18"/>
          <w:lang w:val="bg-BG"/>
        </w:rPr>
        <w:t xml:space="preserve">междинен </w:t>
      </w:r>
      <w:r w:rsidRPr="00721663">
        <w:rPr>
          <w:rFonts w:ascii="Arial" w:hAnsi="Arial" w:cs="Arial"/>
          <w:sz w:val="18"/>
          <w:szCs w:val="18"/>
          <w:lang w:val="bg-BG"/>
        </w:rPr>
        <w:t>финансов отчет включва финансовите отчети на ВГЕ и не</w:t>
      </w:r>
      <w:r w:rsidR="00903765" w:rsidRPr="00721663">
        <w:rPr>
          <w:rFonts w:ascii="Arial" w:hAnsi="Arial" w:cs="Arial"/>
          <w:sz w:val="18"/>
          <w:szCs w:val="18"/>
          <w:lang w:val="bg-BG"/>
        </w:rPr>
        <w:t>говите</w:t>
      </w:r>
      <w:r w:rsidRPr="00721663">
        <w:rPr>
          <w:rFonts w:ascii="Arial" w:hAnsi="Arial" w:cs="Arial"/>
          <w:sz w:val="18"/>
          <w:szCs w:val="18"/>
          <w:lang w:val="bg-BG"/>
        </w:rPr>
        <w:t xml:space="preserve"> дъщерни дружества, изготв</w:t>
      </w:r>
      <w:r w:rsidR="00086069" w:rsidRPr="00721663">
        <w:rPr>
          <w:rFonts w:ascii="Arial" w:hAnsi="Arial" w:cs="Arial"/>
          <w:sz w:val="18"/>
          <w:szCs w:val="18"/>
          <w:lang w:val="bg-BG"/>
        </w:rPr>
        <w:t xml:space="preserve">ени към </w:t>
      </w:r>
      <w:r w:rsidR="00144930">
        <w:rPr>
          <w:rFonts w:ascii="Arial" w:hAnsi="Arial" w:cs="Arial"/>
          <w:sz w:val="18"/>
          <w:szCs w:val="18"/>
          <w:lang w:val="bg-BG"/>
        </w:rPr>
        <w:t>30 юни 2017</w:t>
      </w:r>
      <w:r w:rsidRPr="00721663">
        <w:rPr>
          <w:rFonts w:ascii="Arial" w:hAnsi="Arial" w:cs="Arial"/>
          <w:sz w:val="18"/>
          <w:szCs w:val="18"/>
          <w:lang w:val="bg-BG"/>
        </w:rPr>
        <w:t xml:space="preserve"> и </w:t>
      </w:r>
      <w:r w:rsidR="00144930">
        <w:rPr>
          <w:rFonts w:ascii="Arial" w:hAnsi="Arial" w:cs="Arial"/>
          <w:sz w:val="18"/>
          <w:szCs w:val="18"/>
          <w:lang w:val="bg-BG"/>
        </w:rPr>
        <w:t>2016</w:t>
      </w:r>
      <w:r w:rsidRPr="00721663">
        <w:rPr>
          <w:rFonts w:ascii="Arial" w:hAnsi="Arial" w:cs="Arial"/>
          <w:sz w:val="18"/>
          <w:szCs w:val="18"/>
          <w:lang w:val="bg-BG"/>
        </w:rPr>
        <w:t xml:space="preserve"> г.</w:t>
      </w:r>
    </w:p>
    <w:p w14:paraId="41EEA43B" w14:textId="77777777" w:rsidR="00DC6BFF" w:rsidRPr="00721663" w:rsidRDefault="0090231E" w:rsidP="00855DB9">
      <w:pPr>
        <w:spacing w:after="120"/>
        <w:jc w:val="left"/>
        <w:rPr>
          <w:rFonts w:ascii="Arial" w:hAnsi="Arial" w:cs="Arial"/>
          <w:sz w:val="18"/>
          <w:szCs w:val="18"/>
          <w:lang w:val="bg-BG"/>
        </w:rPr>
      </w:pPr>
      <w:r w:rsidRPr="00721663">
        <w:rPr>
          <w:rFonts w:ascii="Arial" w:hAnsi="Arial" w:cs="Arial"/>
          <w:sz w:val="18"/>
          <w:szCs w:val="18"/>
          <w:lang w:val="bg-BG"/>
        </w:rPr>
        <w:t>Дъщерните дружества се консолидират напълно от датата на придобиване, представляваща датата, на която Групата п</w:t>
      </w:r>
      <w:r w:rsidR="00E0522B" w:rsidRPr="00721663">
        <w:rPr>
          <w:rFonts w:ascii="Arial" w:hAnsi="Arial" w:cs="Arial"/>
          <w:sz w:val="18"/>
          <w:szCs w:val="18"/>
          <w:lang w:val="bg-BG"/>
        </w:rPr>
        <w:t xml:space="preserve">ридобива </w:t>
      </w:r>
      <w:r w:rsidRPr="00721663">
        <w:rPr>
          <w:rFonts w:ascii="Arial" w:hAnsi="Arial" w:cs="Arial"/>
          <w:sz w:val="18"/>
          <w:szCs w:val="18"/>
          <w:lang w:val="bg-BG"/>
        </w:rPr>
        <w:t>контрол</w:t>
      </w:r>
      <w:r w:rsidR="00841D6A" w:rsidRPr="00721663">
        <w:rPr>
          <w:rFonts w:ascii="Arial" w:hAnsi="Arial" w:cs="Arial"/>
          <w:sz w:val="18"/>
          <w:szCs w:val="18"/>
          <w:lang w:val="bg-BG"/>
        </w:rPr>
        <w:t>,</w:t>
      </w:r>
      <w:r w:rsidRPr="00721663">
        <w:rPr>
          <w:rFonts w:ascii="Arial" w:hAnsi="Arial" w:cs="Arial"/>
          <w:sz w:val="18"/>
          <w:szCs w:val="18"/>
          <w:lang w:val="bg-BG"/>
        </w:rPr>
        <w:t xml:space="preserve"> и продължават да се консолидират до датата, когато този контрол престане да съществува. Финансовите отчети на дъщерните дружества се изготвят</w:t>
      </w:r>
      <w:r w:rsidR="00966C05" w:rsidRPr="00721663">
        <w:rPr>
          <w:rFonts w:ascii="Arial" w:hAnsi="Arial" w:cs="Arial"/>
          <w:sz w:val="18"/>
          <w:szCs w:val="18"/>
          <w:lang w:val="bg-BG"/>
        </w:rPr>
        <w:t>,</w:t>
      </w:r>
      <w:r w:rsidRPr="00721663">
        <w:rPr>
          <w:rFonts w:ascii="Arial" w:hAnsi="Arial" w:cs="Arial"/>
          <w:sz w:val="18"/>
          <w:szCs w:val="18"/>
          <w:lang w:val="bg-BG"/>
        </w:rPr>
        <w:t xml:space="preserve"> </w:t>
      </w:r>
      <w:r w:rsidR="00903765" w:rsidRPr="00721663">
        <w:rPr>
          <w:rFonts w:ascii="Arial" w:hAnsi="Arial" w:cs="Arial"/>
          <w:sz w:val="18"/>
          <w:szCs w:val="18"/>
          <w:lang w:val="bg-BG"/>
        </w:rPr>
        <w:t xml:space="preserve">като се прилагат последователни </w:t>
      </w:r>
      <w:r w:rsidRPr="00721663">
        <w:rPr>
          <w:rFonts w:ascii="Arial" w:hAnsi="Arial" w:cs="Arial"/>
          <w:sz w:val="18"/>
          <w:szCs w:val="18"/>
          <w:lang w:val="bg-BG"/>
        </w:rPr>
        <w:t>счетоводни политики. Всички вътрешногрупови салда, операции, както и нереализирани печалби и загуби, които са резултат от вътрешногрупови сделки се елиминират изцяло.</w:t>
      </w:r>
    </w:p>
    <w:p w14:paraId="7B1F3C5A" w14:textId="77777777" w:rsidR="0090231E" w:rsidRPr="00721663" w:rsidRDefault="0090231E" w:rsidP="00855DB9">
      <w:pPr>
        <w:spacing w:after="120"/>
        <w:jc w:val="left"/>
        <w:rPr>
          <w:rFonts w:ascii="Arial" w:hAnsi="Arial" w:cs="Arial"/>
          <w:sz w:val="18"/>
          <w:szCs w:val="18"/>
          <w:lang w:val="bg-BG"/>
        </w:rPr>
      </w:pPr>
      <w:r w:rsidRPr="00721663">
        <w:rPr>
          <w:rFonts w:ascii="Arial" w:hAnsi="Arial" w:cs="Arial"/>
          <w:sz w:val="18"/>
          <w:szCs w:val="18"/>
          <w:lang w:val="bg-BG"/>
        </w:rPr>
        <w:t xml:space="preserve">Промяната в участието в собствеността на дъщерно дружество, без загуба на контрол, се отчита счетоводно като </w:t>
      </w:r>
      <w:r w:rsidR="00903765" w:rsidRPr="00721663">
        <w:rPr>
          <w:rFonts w:ascii="Arial" w:hAnsi="Arial" w:cs="Arial"/>
          <w:sz w:val="18"/>
          <w:szCs w:val="18"/>
          <w:lang w:val="bg-BG"/>
        </w:rPr>
        <w:t>изменение в</w:t>
      </w:r>
      <w:r w:rsidRPr="00721663">
        <w:rPr>
          <w:rFonts w:ascii="Arial" w:hAnsi="Arial" w:cs="Arial"/>
          <w:sz w:val="18"/>
          <w:szCs w:val="18"/>
          <w:lang w:val="bg-BG"/>
        </w:rPr>
        <w:t xml:space="preserve"> собствен</w:t>
      </w:r>
      <w:r w:rsidR="00903765" w:rsidRPr="00721663">
        <w:rPr>
          <w:rFonts w:ascii="Arial" w:hAnsi="Arial" w:cs="Arial"/>
          <w:sz w:val="18"/>
          <w:szCs w:val="18"/>
          <w:lang w:val="bg-BG"/>
        </w:rPr>
        <w:t>ия</w:t>
      </w:r>
      <w:r w:rsidRPr="00721663">
        <w:rPr>
          <w:rFonts w:ascii="Arial" w:hAnsi="Arial" w:cs="Arial"/>
          <w:sz w:val="18"/>
          <w:szCs w:val="18"/>
          <w:lang w:val="bg-BG"/>
        </w:rPr>
        <w:t xml:space="preserve"> капитал. Ако Групата загуби контрол върху дадено дъщерно дружество, тя:</w:t>
      </w:r>
    </w:p>
    <w:p w14:paraId="785B4F7D" w14:textId="77777777" w:rsidR="00DD7AD4" w:rsidRPr="00721663" w:rsidRDefault="0090231E" w:rsidP="00462752">
      <w:pPr>
        <w:pStyle w:val="ListParagraph"/>
        <w:numPr>
          <w:ilvl w:val="0"/>
          <w:numId w:val="21"/>
        </w:numPr>
        <w:jc w:val="left"/>
        <w:rPr>
          <w:rFonts w:ascii="Arial" w:hAnsi="Arial" w:cs="Arial"/>
          <w:sz w:val="18"/>
          <w:szCs w:val="18"/>
          <w:lang w:val="bg-BG"/>
        </w:rPr>
      </w:pPr>
      <w:r w:rsidRPr="00721663">
        <w:rPr>
          <w:rFonts w:ascii="Arial" w:hAnsi="Arial" w:cs="Arial"/>
          <w:sz w:val="18"/>
          <w:szCs w:val="18"/>
          <w:lang w:val="bg-BG"/>
        </w:rPr>
        <w:t>Отписва активите (включително репутацията) и пасивите на дъщерното дружество</w:t>
      </w:r>
    </w:p>
    <w:p w14:paraId="620565EB" w14:textId="77777777" w:rsidR="007F743D" w:rsidRPr="00721663" w:rsidRDefault="0090231E" w:rsidP="00462752">
      <w:pPr>
        <w:pStyle w:val="ListParagraph"/>
        <w:numPr>
          <w:ilvl w:val="0"/>
          <w:numId w:val="21"/>
        </w:numPr>
        <w:jc w:val="left"/>
        <w:rPr>
          <w:rFonts w:ascii="Arial" w:hAnsi="Arial" w:cs="Arial"/>
          <w:sz w:val="18"/>
          <w:szCs w:val="18"/>
          <w:lang w:val="bg-BG"/>
        </w:rPr>
      </w:pPr>
      <w:r w:rsidRPr="00721663">
        <w:rPr>
          <w:rFonts w:ascii="Arial" w:hAnsi="Arial" w:cs="Arial"/>
          <w:sz w:val="18"/>
          <w:szCs w:val="18"/>
          <w:lang w:val="bg-BG"/>
        </w:rPr>
        <w:t>Отписва балансовата стойност на неконтролиращото участие</w:t>
      </w:r>
    </w:p>
    <w:p w14:paraId="0423DDCA" w14:textId="77777777" w:rsidR="007F743D" w:rsidRPr="00721663" w:rsidRDefault="0090231E" w:rsidP="00462752">
      <w:pPr>
        <w:pStyle w:val="ListParagraph"/>
        <w:numPr>
          <w:ilvl w:val="0"/>
          <w:numId w:val="21"/>
        </w:numPr>
        <w:jc w:val="left"/>
        <w:rPr>
          <w:rFonts w:ascii="Arial" w:hAnsi="Arial" w:cs="Arial"/>
          <w:sz w:val="18"/>
          <w:szCs w:val="18"/>
          <w:lang w:val="bg-BG"/>
        </w:rPr>
      </w:pPr>
      <w:r w:rsidRPr="00721663">
        <w:rPr>
          <w:rFonts w:ascii="Arial" w:hAnsi="Arial" w:cs="Arial"/>
          <w:sz w:val="18"/>
          <w:szCs w:val="18"/>
          <w:lang w:val="bg-BG"/>
        </w:rPr>
        <w:t>Отписва кумулативните разлики от превръщане в друга валута, отразени в собствения капитал</w:t>
      </w:r>
    </w:p>
    <w:p w14:paraId="6F0033B2" w14:textId="77777777" w:rsidR="007F743D" w:rsidRPr="00721663" w:rsidRDefault="0090231E" w:rsidP="00462752">
      <w:pPr>
        <w:pStyle w:val="ListParagraph"/>
        <w:numPr>
          <w:ilvl w:val="0"/>
          <w:numId w:val="21"/>
        </w:numPr>
        <w:jc w:val="left"/>
        <w:rPr>
          <w:rFonts w:ascii="Arial" w:hAnsi="Arial" w:cs="Arial"/>
          <w:sz w:val="18"/>
          <w:szCs w:val="18"/>
          <w:lang w:val="bg-BG"/>
        </w:rPr>
      </w:pPr>
      <w:r w:rsidRPr="00721663">
        <w:rPr>
          <w:rFonts w:ascii="Arial" w:hAnsi="Arial" w:cs="Arial"/>
          <w:sz w:val="18"/>
          <w:szCs w:val="18"/>
          <w:lang w:val="bg-BG"/>
        </w:rPr>
        <w:t>Признава справедливата стойност на полученото възнаграждение</w:t>
      </w:r>
    </w:p>
    <w:p w14:paraId="75CC1F09" w14:textId="77777777" w:rsidR="007F743D" w:rsidRPr="00721663" w:rsidRDefault="0090231E" w:rsidP="00462752">
      <w:pPr>
        <w:pStyle w:val="ListParagraph"/>
        <w:numPr>
          <w:ilvl w:val="0"/>
          <w:numId w:val="21"/>
        </w:numPr>
        <w:jc w:val="left"/>
        <w:rPr>
          <w:rFonts w:ascii="Arial" w:hAnsi="Arial" w:cs="Arial"/>
          <w:sz w:val="18"/>
          <w:szCs w:val="18"/>
          <w:lang w:val="bg-BG"/>
        </w:rPr>
      </w:pPr>
      <w:r w:rsidRPr="00721663">
        <w:rPr>
          <w:rFonts w:ascii="Arial" w:hAnsi="Arial" w:cs="Arial"/>
          <w:sz w:val="18"/>
          <w:szCs w:val="18"/>
          <w:lang w:val="bg-BG"/>
        </w:rPr>
        <w:t>Признава справедливата стойност на каквато и да било запазена инвестиция</w:t>
      </w:r>
    </w:p>
    <w:p w14:paraId="32CF8159" w14:textId="77777777" w:rsidR="005670C9" w:rsidRPr="00721663" w:rsidRDefault="0090231E" w:rsidP="00462752">
      <w:pPr>
        <w:pStyle w:val="ListParagraph"/>
        <w:numPr>
          <w:ilvl w:val="0"/>
          <w:numId w:val="21"/>
        </w:numPr>
        <w:jc w:val="left"/>
        <w:rPr>
          <w:rFonts w:ascii="Arial" w:hAnsi="Arial" w:cs="Arial"/>
          <w:sz w:val="18"/>
          <w:szCs w:val="18"/>
          <w:lang w:val="bg-BG"/>
        </w:rPr>
      </w:pPr>
      <w:r w:rsidRPr="00721663">
        <w:rPr>
          <w:rFonts w:ascii="Arial" w:hAnsi="Arial" w:cs="Arial"/>
          <w:sz w:val="18"/>
          <w:szCs w:val="18"/>
          <w:lang w:val="bg-BG"/>
        </w:rPr>
        <w:t>Признава всеки излишък или дефицит в печалбата или загубата</w:t>
      </w:r>
    </w:p>
    <w:p w14:paraId="5DA20E85" w14:textId="77777777" w:rsidR="00DD7AD4" w:rsidRPr="00721663" w:rsidRDefault="0052411C" w:rsidP="00462752">
      <w:pPr>
        <w:pStyle w:val="ListParagraph"/>
        <w:numPr>
          <w:ilvl w:val="0"/>
          <w:numId w:val="21"/>
        </w:numPr>
        <w:spacing w:after="120"/>
        <w:ind w:left="714" w:hanging="357"/>
        <w:jc w:val="left"/>
        <w:rPr>
          <w:rFonts w:ascii="Arial" w:hAnsi="Arial" w:cs="Arial"/>
          <w:sz w:val="18"/>
          <w:szCs w:val="18"/>
          <w:lang w:val="bg-BG"/>
        </w:rPr>
      </w:pPr>
      <w:r w:rsidRPr="00721663">
        <w:rPr>
          <w:rFonts w:ascii="Arial" w:hAnsi="Arial"/>
          <w:sz w:val="18"/>
          <w:szCs w:val="18"/>
          <w:lang w:val="bg-BG"/>
        </w:rPr>
        <w:t xml:space="preserve">Рекласифицира дела на </w:t>
      </w:r>
      <w:r w:rsidR="00983336" w:rsidRPr="00721663">
        <w:rPr>
          <w:rFonts w:ascii="Arial" w:hAnsi="Arial"/>
          <w:sz w:val="18"/>
          <w:szCs w:val="18"/>
          <w:lang w:val="bg-BG"/>
        </w:rPr>
        <w:t>компанията майка</w:t>
      </w:r>
      <w:r w:rsidRPr="00721663">
        <w:rPr>
          <w:rFonts w:ascii="Arial" w:hAnsi="Arial"/>
          <w:sz w:val="18"/>
          <w:szCs w:val="18"/>
          <w:lang w:val="bg-BG"/>
        </w:rPr>
        <w:t xml:space="preserve"> </w:t>
      </w:r>
      <w:r w:rsidR="00966C05" w:rsidRPr="00721663">
        <w:rPr>
          <w:rFonts w:ascii="Arial" w:hAnsi="Arial"/>
          <w:sz w:val="18"/>
          <w:szCs w:val="18"/>
          <w:lang w:val="bg-BG"/>
        </w:rPr>
        <w:t>в</w:t>
      </w:r>
      <w:r w:rsidRPr="00721663">
        <w:rPr>
          <w:rFonts w:ascii="Arial" w:hAnsi="Arial"/>
          <w:sz w:val="18"/>
          <w:szCs w:val="18"/>
          <w:lang w:val="bg-BG"/>
        </w:rPr>
        <w:t xml:space="preserve"> компоне</w:t>
      </w:r>
      <w:r w:rsidR="00966C05" w:rsidRPr="00721663">
        <w:rPr>
          <w:rFonts w:ascii="Arial" w:hAnsi="Arial"/>
          <w:sz w:val="18"/>
          <w:szCs w:val="18"/>
          <w:lang w:val="bg-BG"/>
        </w:rPr>
        <w:t xml:space="preserve">нтите, по-рано признати в друг </w:t>
      </w:r>
      <w:r w:rsidRPr="00721663">
        <w:rPr>
          <w:rFonts w:ascii="Arial" w:hAnsi="Arial"/>
          <w:sz w:val="18"/>
          <w:szCs w:val="18"/>
          <w:lang w:val="bg-BG"/>
        </w:rPr>
        <w:t>всеобхват</w:t>
      </w:r>
      <w:r w:rsidR="00966C05" w:rsidRPr="00721663">
        <w:rPr>
          <w:rFonts w:ascii="Arial" w:hAnsi="Arial"/>
          <w:sz w:val="18"/>
          <w:szCs w:val="18"/>
          <w:lang w:val="bg-BG"/>
        </w:rPr>
        <w:t>е</w:t>
      </w:r>
      <w:r w:rsidRPr="00721663">
        <w:rPr>
          <w:rFonts w:ascii="Arial" w:hAnsi="Arial"/>
          <w:sz w:val="18"/>
          <w:szCs w:val="18"/>
          <w:lang w:val="bg-BG"/>
        </w:rPr>
        <w:t>н доход, в печалбата или загубата, или натрупаната неразпределна печалба или загуба, както е по-подходящо.</w:t>
      </w:r>
    </w:p>
    <w:p w14:paraId="2D13E054" w14:textId="77777777" w:rsidR="003B2800" w:rsidRPr="00721663" w:rsidRDefault="00EB772F" w:rsidP="00BB0380">
      <w:pPr>
        <w:pStyle w:val="Heading1"/>
      </w:pPr>
      <w:bookmarkStart w:id="6" w:name="_Toc490647386"/>
      <w:bookmarkStart w:id="7" w:name="_Toc65923377"/>
      <w:r w:rsidRPr="00721663">
        <w:t>2.</w:t>
      </w:r>
      <w:r w:rsidR="00223384" w:rsidRPr="00721663">
        <w:t>3</w:t>
      </w:r>
      <w:r w:rsidR="000F13C2" w:rsidRPr="00721663">
        <w:t>.</w:t>
      </w:r>
      <w:r w:rsidRPr="00721663">
        <w:t xml:space="preserve"> </w:t>
      </w:r>
      <w:r w:rsidR="007D458C" w:rsidRPr="00721663">
        <w:t>Обобщение на съществените счетоводни политики</w:t>
      </w:r>
      <w:bookmarkEnd w:id="6"/>
    </w:p>
    <w:p w14:paraId="6E91D273" w14:textId="77777777" w:rsidR="00E90E59" w:rsidRPr="00721663" w:rsidRDefault="007D458C" w:rsidP="00841D6A">
      <w:pPr>
        <w:pStyle w:val="Heading4"/>
        <w:keepNext w:val="0"/>
        <w:overflowPunct w:val="0"/>
        <w:autoSpaceDE w:val="0"/>
        <w:autoSpaceDN w:val="0"/>
        <w:adjustRightInd w:val="0"/>
        <w:spacing w:before="40" w:after="120"/>
        <w:jc w:val="left"/>
        <w:textAlignment w:val="baseline"/>
        <w:rPr>
          <w:rFonts w:ascii="Arial" w:hAnsi="Arial" w:cs="Arial"/>
          <w:b/>
          <w:bCs/>
          <w:color w:val="000000"/>
          <w:sz w:val="18"/>
          <w:szCs w:val="18"/>
          <w:lang w:val="bg-BG"/>
        </w:rPr>
      </w:pPr>
      <w:r w:rsidRPr="00721663">
        <w:rPr>
          <w:rFonts w:ascii="Arial" w:hAnsi="Arial" w:cs="Arial"/>
          <w:b/>
          <w:bCs/>
          <w:color w:val="000000"/>
          <w:sz w:val="18"/>
          <w:szCs w:val="18"/>
          <w:lang w:val="bg-BG"/>
        </w:rPr>
        <w:t>Бизнес комбинации и репутация</w:t>
      </w:r>
    </w:p>
    <w:p w14:paraId="6B43811B" w14:textId="77777777" w:rsidR="00B50DD6" w:rsidRPr="00721663" w:rsidRDefault="00EF000A" w:rsidP="00841D6A">
      <w:pPr>
        <w:pStyle w:val="NormalNotLatin"/>
        <w:widowControl w:val="0"/>
        <w:spacing w:before="80" w:after="120" w:line="240" w:lineRule="atLeast"/>
        <w:jc w:val="left"/>
        <w:rPr>
          <w:rFonts w:ascii="Arial" w:hAnsi="Arial" w:cs="Arial"/>
          <w:sz w:val="18"/>
          <w:szCs w:val="18"/>
          <w:lang w:val="bg-BG"/>
        </w:rPr>
      </w:pPr>
      <w:r w:rsidRPr="00721663">
        <w:rPr>
          <w:rFonts w:ascii="Arial" w:hAnsi="Arial" w:cs="Arial"/>
          <w:sz w:val="18"/>
          <w:szCs w:val="18"/>
          <w:lang w:val="bg-BG"/>
        </w:rPr>
        <w:t>Бизнес комбинациите се отчитат счетоводно като се прилага метода на покупката</w:t>
      </w:r>
      <w:r w:rsidR="00903765" w:rsidRPr="00721663">
        <w:rPr>
          <w:rFonts w:ascii="Arial" w:hAnsi="Arial" w:cs="Arial"/>
          <w:sz w:val="18"/>
          <w:szCs w:val="18"/>
          <w:lang w:val="bg-BG"/>
        </w:rPr>
        <w:t>. Цената на придобиване се определя като обща</w:t>
      </w:r>
      <w:r w:rsidRPr="00721663">
        <w:rPr>
          <w:rFonts w:ascii="Arial" w:hAnsi="Arial" w:cs="Arial"/>
          <w:sz w:val="18"/>
          <w:szCs w:val="18"/>
          <w:lang w:val="bg-BG"/>
        </w:rPr>
        <w:t xml:space="preserve"> стойност на преведеното възнагр</w:t>
      </w:r>
      <w:r w:rsidR="00903765" w:rsidRPr="00721663">
        <w:rPr>
          <w:rFonts w:ascii="Arial" w:hAnsi="Arial" w:cs="Arial"/>
          <w:sz w:val="18"/>
          <w:szCs w:val="18"/>
          <w:lang w:val="bg-BG"/>
        </w:rPr>
        <w:t>аждение, оценено по справедлива</w:t>
      </w:r>
      <w:r w:rsidRPr="00721663">
        <w:rPr>
          <w:rFonts w:ascii="Arial" w:hAnsi="Arial" w:cs="Arial"/>
          <w:sz w:val="18"/>
          <w:szCs w:val="18"/>
          <w:lang w:val="bg-BG"/>
        </w:rPr>
        <w:t xml:space="preserve"> стойност на датата на придобиване, и сумата на</w:t>
      </w:r>
      <w:r w:rsidR="00903765" w:rsidRPr="00721663">
        <w:rPr>
          <w:rFonts w:ascii="Arial" w:hAnsi="Arial" w:cs="Arial"/>
          <w:sz w:val="18"/>
          <w:szCs w:val="18"/>
          <w:lang w:val="bg-BG"/>
        </w:rPr>
        <w:t xml:space="preserve"> нек</w:t>
      </w:r>
      <w:r w:rsidRPr="00721663">
        <w:rPr>
          <w:rFonts w:ascii="Arial" w:hAnsi="Arial" w:cs="Arial"/>
          <w:sz w:val="18"/>
          <w:szCs w:val="18"/>
          <w:lang w:val="bg-BG"/>
        </w:rPr>
        <w:t>онтролиращо</w:t>
      </w:r>
      <w:r w:rsidR="00903765" w:rsidRPr="00721663">
        <w:rPr>
          <w:rFonts w:ascii="Arial" w:hAnsi="Arial" w:cs="Arial"/>
          <w:sz w:val="18"/>
          <w:szCs w:val="18"/>
          <w:lang w:val="bg-BG"/>
        </w:rPr>
        <w:t>то</w:t>
      </w:r>
      <w:r w:rsidRPr="00721663">
        <w:rPr>
          <w:rFonts w:ascii="Arial" w:hAnsi="Arial" w:cs="Arial"/>
          <w:sz w:val="18"/>
          <w:szCs w:val="18"/>
          <w:lang w:val="bg-BG"/>
        </w:rPr>
        <w:t xml:space="preserve"> участие в придобиваното предприятие. За всяка бизнес комбинация придобиващото предприятие оценява неконтролиращото участие в придобиваното предприятие по справедлива стойност или по пропорционалния дял от разграничимите нетни активи на придобиваното предприятие. Разходите по придобиването се отчитат като </w:t>
      </w:r>
      <w:r w:rsidR="00903765" w:rsidRPr="00721663">
        <w:rPr>
          <w:rFonts w:ascii="Arial" w:hAnsi="Arial" w:cs="Arial"/>
          <w:sz w:val="18"/>
          <w:szCs w:val="18"/>
          <w:lang w:val="bg-BG"/>
        </w:rPr>
        <w:t xml:space="preserve">текущ </w:t>
      </w:r>
      <w:r w:rsidRPr="00721663">
        <w:rPr>
          <w:rFonts w:ascii="Arial" w:hAnsi="Arial" w:cs="Arial"/>
          <w:sz w:val="18"/>
          <w:szCs w:val="18"/>
          <w:lang w:val="bg-BG"/>
        </w:rPr>
        <w:t>разход.</w:t>
      </w:r>
    </w:p>
    <w:p w14:paraId="17BCE86A" w14:textId="77777777" w:rsidR="00B50DD6" w:rsidRPr="00721663" w:rsidRDefault="00B50DD6">
      <w:pPr>
        <w:spacing w:line="240" w:lineRule="auto"/>
        <w:jc w:val="left"/>
        <w:rPr>
          <w:rFonts w:ascii="Arial" w:hAnsi="Arial" w:cs="Arial"/>
          <w:sz w:val="18"/>
          <w:szCs w:val="18"/>
          <w:lang w:val="bg-BG"/>
        </w:rPr>
      </w:pPr>
    </w:p>
    <w:p w14:paraId="452CEADF" w14:textId="77777777" w:rsidR="00B50DD6" w:rsidRPr="00721663" w:rsidRDefault="00B50DD6" w:rsidP="00B50DD6">
      <w:pPr>
        <w:pStyle w:val="ordinarytext"/>
        <w:spacing w:after="120" w:line="240" w:lineRule="atLeast"/>
        <w:contextualSpacing w:val="0"/>
        <w:jc w:val="left"/>
        <w:rPr>
          <w:b/>
          <w:sz w:val="20"/>
          <w:szCs w:val="20"/>
          <w:lang w:val="bg-BG"/>
        </w:rPr>
      </w:pPr>
      <w:r w:rsidRPr="00721663">
        <w:rPr>
          <w:b/>
          <w:sz w:val="20"/>
          <w:szCs w:val="20"/>
          <w:lang w:val="bg-BG"/>
        </w:rPr>
        <w:t xml:space="preserve">2.3. Обобщение на съществените счетоводни политики </w:t>
      </w:r>
      <w:r w:rsidRPr="00721663">
        <w:rPr>
          <w:b/>
          <w:i/>
          <w:sz w:val="20"/>
          <w:szCs w:val="20"/>
          <w:lang w:val="bg-BG"/>
        </w:rPr>
        <w:t>(продължение)</w:t>
      </w:r>
    </w:p>
    <w:p w14:paraId="673B47F9" w14:textId="77777777" w:rsidR="00EF000A" w:rsidRPr="00721663" w:rsidRDefault="00B50DD6" w:rsidP="00B50DD6">
      <w:pPr>
        <w:pStyle w:val="ordinarytext"/>
        <w:spacing w:after="120" w:line="240" w:lineRule="atLeast"/>
        <w:contextualSpacing w:val="0"/>
        <w:jc w:val="left"/>
        <w:rPr>
          <w:b/>
          <w:bCs/>
          <w:i/>
          <w:color w:val="000000"/>
          <w:lang w:val="bg-BG"/>
        </w:rPr>
      </w:pPr>
      <w:r w:rsidRPr="00721663">
        <w:rPr>
          <w:b/>
          <w:bCs/>
          <w:color w:val="000000"/>
          <w:lang w:val="bg-BG"/>
        </w:rPr>
        <w:t xml:space="preserve">Бизнес комбинации и репутация </w:t>
      </w:r>
      <w:r w:rsidRPr="00721663">
        <w:rPr>
          <w:b/>
          <w:bCs/>
          <w:i/>
          <w:color w:val="000000"/>
          <w:lang w:val="bg-BG"/>
        </w:rPr>
        <w:t>(продължение)</w:t>
      </w:r>
    </w:p>
    <w:p w14:paraId="684508ED" w14:textId="77777777" w:rsidR="00A45A95" w:rsidRPr="00721663" w:rsidRDefault="00065E85" w:rsidP="00841D6A">
      <w:pPr>
        <w:pStyle w:val="NormalNotLatin"/>
        <w:widowControl w:val="0"/>
        <w:spacing w:before="80" w:after="120" w:line="240" w:lineRule="atLeast"/>
        <w:jc w:val="left"/>
        <w:rPr>
          <w:rFonts w:ascii="Arial" w:hAnsi="Arial" w:cs="Arial"/>
          <w:sz w:val="18"/>
          <w:szCs w:val="18"/>
          <w:lang w:val="bg-BG"/>
        </w:rPr>
      </w:pPr>
      <w:r w:rsidRPr="00721663">
        <w:rPr>
          <w:rFonts w:ascii="Arial" w:hAnsi="Arial" w:cs="Arial"/>
          <w:sz w:val="18"/>
          <w:szCs w:val="18"/>
          <w:lang w:val="bg-BG"/>
        </w:rPr>
        <w:t>Когато Групата придобива бизнес, тя оценява поеманите финансови активи и пасиви в съответствие с договорните условия, икономическите обстоятелства и съответните ус</w:t>
      </w:r>
      <w:r w:rsidR="00903765" w:rsidRPr="00721663">
        <w:rPr>
          <w:rFonts w:ascii="Arial" w:hAnsi="Arial" w:cs="Arial"/>
          <w:sz w:val="18"/>
          <w:szCs w:val="18"/>
          <w:lang w:val="bg-BG"/>
        </w:rPr>
        <w:t>ловия на датата на придобиване</w:t>
      </w:r>
      <w:r w:rsidRPr="00721663">
        <w:rPr>
          <w:rFonts w:ascii="Arial" w:hAnsi="Arial" w:cs="Arial"/>
          <w:sz w:val="18"/>
          <w:szCs w:val="18"/>
          <w:lang w:val="bg-BG"/>
        </w:rPr>
        <w:t>.</w:t>
      </w:r>
    </w:p>
    <w:p w14:paraId="3B745466" w14:textId="77777777" w:rsidR="00065E85" w:rsidRPr="00721663" w:rsidRDefault="00EF000A" w:rsidP="00841D6A">
      <w:pPr>
        <w:pStyle w:val="ordinarytext"/>
        <w:spacing w:after="120" w:line="240" w:lineRule="atLeast"/>
        <w:contextualSpacing w:val="0"/>
        <w:jc w:val="left"/>
        <w:rPr>
          <w:lang w:val="bg-BG"/>
        </w:rPr>
      </w:pPr>
      <w:r w:rsidRPr="00721663">
        <w:rPr>
          <w:lang w:val="bg-BG"/>
        </w:rPr>
        <w:t xml:space="preserve">Условно възнаграждение, подлежащо на прехвърляне от придобиващата страна, ако е възможно да бъде надеждно оценено, се признава по справедлива стойност. Последващи промени в справедливата стойност на условното възнаграждение, считано за актив или пасив, ще бъдат признавани в съответствие </w:t>
      </w:r>
      <w:r w:rsidR="00531C6C" w:rsidRPr="00721663">
        <w:rPr>
          <w:lang w:val="bg-BG"/>
        </w:rPr>
        <w:t>с</w:t>
      </w:r>
      <w:r w:rsidRPr="00721663">
        <w:rPr>
          <w:lang w:val="bg-BG"/>
        </w:rPr>
        <w:t xml:space="preserve"> МСС 39</w:t>
      </w:r>
      <w:r w:rsidR="0036276F" w:rsidRPr="00721663">
        <w:rPr>
          <w:lang w:val="bg-BG"/>
        </w:rPr>
        <w:t xml:space="preserve"> </w:t>
      </w:r>
      <w:r w:rsidR="0036276F" w:rsidRPr="00721663">
        <w:rPr>
          <w:i/>
          <w:lang w:val="bg-BG"/>
        </w:rPr>
        <w:t>Финансови инструменти: признаване и оценяване</w:t>
      </w:r>
      <w:r w:rsidRPr="00721663">
        <w:rPr>
          <w:lang w:val="bg-BG"/>
        </w:rPr>
        <w:t xml:space="preserve"> или в печалбата и загубата или като промяна в другия всеобхватен доход. Ако условното възнаграждение бъде класифицирано като собствен капитал, то няма да бъде преоценявано. Последващо уреждане се признава в собствения капитал. В случаите, в които условното възнаграждение не попада в обхвата на МСС 39, то се оценява в съответствие с подходящ МСФО.</w:t>
      </w:r>
    </w:p>
    <w:p w14:paraId="78D6A0E5" w14:textId="77777777" w:rsidR="002A1D6F" w:rsidRPr="00721663" w:rsidRDefault="007D458C" w:rsidP="00841D6A">
      <w:pPr>
        <w:pStyle w:val="ordinarytext"/>
        <w:spacing w:after="120" w:line="240" w:lineRule="atLeast"/>
        <w:contextualSpacing w:val="0"/>
        <w:jc w:val="left"/>
        <w:rPr>
          <w:lang w:val="bg-BG"/>
        </w:rPr>
      </w:pPr>
      <w:r w:rsidRPr="00721663">
        <w:rPr>
          <w:lang w:val="bg-BG"/>
        </w:rPr>
        <w:t>Репутацията първоначално се оценява по цена на придобиване, която представлява превишението на общото преведено възнаграждение и с</w:t>
      </w:r>
      <w:r w:rsidR="00A45A95" w:rsidRPr="00721663">
        <w:rPr>
          <w:lang w:val="bg-BG"/>
        </w:rPr>
        <w:t>умата призната за неконтролиращо</w:t>
      </w:r>
      <w:r w:rsidRPr="00721663">
        <w:rPr>
          <w:lang w:val="bg-BG"/>
        </w:rPr>
        <w:t xml:space="preserve"> участие над придобитите разграничими нетни активи или поети пасиви. Ако възнаграждението е по-ниско от справедливата стойност на нетните активи на придобитото дъщерно дружество, разликата се признава в печалбата или загубата.</w:t>
      </w:r>
    </w:p>
    <w:p w14:paraId="5CE77B35" w14:textId="77777777" w:rsidR="002A1D6F" w:rsidRPr="00721663" w:rsidRDefault="007D458C" w:rsidP="00841D6A">
      <w:pPr>
        <w:pStyle w:val="NormalNotLatin"/>
        <w:widowControl w:val="0"/>
        <w:spacing w:before="80" w:after="120" w:line="240" w:lineRule="atLeast"/>
        <w:jc w:val="left"/>
        <w:rPr>
          <w:rFonts w:ascii="Arial" w:hAnsi="Arial" w:cs="Arial"/>
          <w:sz w:val="18"/>
          <w:szCs w:val="18"/>
          <w:lang w:val="bg-BG"/>
        </w:rPr>
      </w:pPr>
      <w:r w:rsidRPr="00721663">
        <w:rPr>
          <w:rFonts w:ascii="Arial" w:hAnsi="Arial" w:cs="Arial"/>
          <w:sz w:val="18"/>
          <w:szCs w:val="18"/>
          <w:lang w:val="bg-BG"/>
        </w:rPr>
        <w:t>След първоначалното признаване, репутацията се оценява по</w:t>
      </w:r>
      <w:r w:rsidR="007A7760" w:rsidRPr="00721663">
        <w:rPr>
          <w:rFonts w:ascii="Arial" w:hAnsi="Arial" w:cs="Arial"/>
          <w:sz w:val="18"/>
          <w:szCs w:val="18"/>
          <w:lang w:val="bg-BG"/>
        </w:rPr>
        <w:t xml:space="preserve"> първоначална стойност</w:t>
      </w:r>
      <w:r w:rsidRPr="00721663">
        <w:rPr>
          <w:rFonts w:ascii="Arial" w:hAnsi="Arial" w:cs="Arial"/>
          <w:sz w:val="18"/>
          <w:szCs w:val="18"/>
          <w:lang w:val="bg-BG"/>
        </w:rPr>
        <w:t>, намалена с натрупани загуби от обезценка, ако има такива. За целите на тестовете за обезцен</w:t>
      </w:r>
      <w:r w:rsidR="00FB0460" w:rsidRPr="00721663">
        <w:rPr>
          <w:rFonts w:ascii="Arial" w:hAnsi="Arial" w:cs="Arial"/>
          <w:sz w:val="18"/>
          <w:szCs w:val="18"/>
          <w:lang w:val="bg-BG"/>
        </w:rPr>
        <w:t>ка, от датата на придобиването,</w:t>
      </w:r>
      <w:r w:rsidRPr="00721663">
        <w:rPr>
          <w:rFonts w:ascii="Arial" w:hAnsi="Arial" w:cs="Arial"/>
          <w:sz w:val="18"/>
          <w:szCs w:val="18"/>
          <w:lang w:val="bg-BG"/>
        </w:rPr>
        <w:t xml:space="preserve"> репутация</w:t>
      </w:r>
      <w:r w:rsidR="00FB0460" w:rsidRPr="00721663">
        <w:rPr>
          <w:rFonts w:ascii="Arial" w:hAnsi="Arial" w:cs="Arial"/>
          <w:sz w:val="18"/>
          <w:szCs w:val="18"/>
          <w:lang w:val="bg-BG"/>
        </w:rPr>
        <w:t>та</w:t>
      </w:r>
      <w:r w:rsidRPr="00721663">
        <w:rPr>
          <w:rFonts w:ascii="Arial" w:hAnsi="Arial" w:cs="Arial"/>
          <w:sz w:val="18"/>
          <w:szCs w:val="18"/>
          <w:lang w:val="bg-BG"/>
        </w:rPr>
        <w:t xml:space="preserve"> се разпределя върху всеки обект, генериращ парични потоци на Групата, който се очаква да извлече ползи от комбинацията, независимо от това дали към тези обекти се приписват други активи или пасиви на придобиваното предприятие.</w:t>
      </w:r>
    </w:p>
    <w:p w14:paraId="376E9092" w14:textId="77777777" w:rsidR="00095603" w:rsidRPr="00721663" w:rsidRDefault="007D458C" w:rsidP="00841D6A">
      <w:pPr>
        <w:pStyle w:val="NormalNotLatin"/>
        <w:widowControl w:val="0"/>
        <w:spacing w:before="80" w:after="120" w:line="240" w:lineRule="atLeast"/>
        <w:jc w:val="left"/>
        <w:rPr>
          <w:rFonts w:ascii="Arial" w:hAnsi="Arial" w:cs="Arial"/>
          <w:sz w:val="18"/>
          <w:szCs w:val="18"/>
          <w:lang w:val="bg-BG"/>
        </w:rPr>
      </w:pPr>
      <w:r w:rsidRPr="00721663">
        <w:rPr>
          <w:rFonts w:ascii="Arial" w:hAnsi="Arial" w:cs="Arial"/>
          <w:sz w:val="18"/>
          <w:szCs w:val="18"/>
          <w:lang w:val="bg-BG"/>
        </w:rPr>
        <w:t>Когато репутацията формира част от обект, генериращ парични потоци, и част от дейността в този обект бъде освободена, свързаната с освободената дейност репутация се включва в балансовата й стойност при определяне на печалбата или загубата от освобождаването на дейността. Освободената при такива обстоятелства репутация се оценява въз основа на относителните стойности на освободената дейност и частта от запазения обект, генериращ парични потоци.</w:t>
      </w:r>
    </w:p>
    <w:p w14:paraId="27AD1598" w14:textId="77777777" w:rsidR="00235FBF" w:rsidRPr="00721663" w:rsidRDefault="0052025E" w:rsidP="00841D6A">
      <w:pPr>
        <w:pStyle w:val="Heading4"/>
        <w:keepNext w:val="0"/>
        <w:overflowPunct w:val="0"/>
        <w:autoSpaceDE w:val="0"/>
        <w:autoSpaceDN w:val="0"/>
        <w:adjustRightInd w:val="0"/>
        <w:spacing w:before="40" w:after="120"/>
        <w:jc w:val="left"/>
        <w:textAlignment w:val="baseline"/>
        <w:rPr>
          <w:rFonts w:ascii="Arial" w:hAnsi="Arial" w:cs="Arial"/>
          <w:b/>
          <w:bCs/>
          <w:color w:val="000000"/>
          <w:sz w:val="18"/>
          <w:szCs w:val="18"/>
          <w:lang w:val="bg-BG"/>
        </w:rPr>
      </w:pPr>
      <w:r w:rsidRPr="00721663">
        <w:rPr>
          <w:rFonts w:ascii="Arial" w:hAnsi="Arial" w:cs="Arial"/>
          <w:b/>
          <w:bCs/>
          <w:color w:val="000000"/>
          <w:sz w:val="18"/>
          <w:szCs w:val="18"/>
          <w:lang w:val="bg-BG"/>
        </w:rPr>
        <w:t>Сделки в чуждестранна валута</w:t>
      </w:r>
    </w:p>
    <w:p w14:paraId="362238EB" w14:textId="77777777" w:rsidR="0052025E" w:rsidRPr="00721663" w:rsidRDefault="0052025E" w:rsidP="00841D6A">
      <w:pPr>
        <w:pStyle w:val="NormalNotLatin"/>
        <w:widowControl w:val="0"/>
        <w:spacing w:before="80" w:after="120" w:line="240" w:lineRule="atLeast"/>
        <w:jc w:val="left"/>
        <w:rPr>
          <w:rFonts w:ascii="Arial" w:hAnsi="Arial" w:cs="Arial"/>
          <w:sz w:val="18"/>
          <w:szCs w:val="18"/>
          <w:lang w:val="bg-BG"/>
        </w:rPr>
      </w:pPr>
      <w:r w:rsidRPr="00721663">
        <w:rPr>
          <w:rFonts w:ascii="Arial" w:hAnsi="Arial" w:cs="Arial"/>
          <w:sz w:val="18"/>
          <w:szCs w:val="18"/>
          <w:lang w:val="bg-BG"/>
        </w:rPr>
        <w:t>Финансовият отчет е представен в български лева</w:t>
      </w:r>
      <w:r w:rsidR="00921F41" w:rsidRPr="00721663">
        <w:rPr>
          <w:rFonts w:ascii="Arial" w:hAnsi="Arial" w:cs="Arial"/>
          <w:sz w:val="18"/>
          <w:szCs w:val="18"/>
          <w:lang w:val="bg-BG"/>
        </w:rPr>
        <w:t>, която е</w:t>
      </w:r>
      <w:r w:rsidRPr="00721663">
        <w:rPr>
          <w:rFonts w:ascii="Arial" w:hAnsi="Arial" w:cs="Arial"/>
          <w:sz w:val="18"/>
          <w:szCs w:val="18"/>
          <w:lang w:val="bg-BG"/>
        </w:rPr>
        <w:t xml:space="preserve"> функционална</w:t>
      </w:r>
      <w:r w:rsidR="00921F41" w:rsidRPr="00721663">
        <w:rPr>
          <w:rFonts w:ascii="Arial" w:hAnsi="Arial" w:cs="Arial"/>
          <w:sz w:val="18"/>
          <w:szCs w:val="18"/>
          <w:lang w:val="bg-BG"/>
        </w:rPr>
        <w:t xml:space="preserve"> валута и валута</w:t>
      </w:r>
      <w:r w:rsidRPr="00721663">
        <w:rPr>
          <w:rFonts w:ascii="Arial" w:hAnsi="Arial" w:cs="Arial"/>
          <w:sz w:val="18"/>
          <w:szCs w:val="18"/>
          <w:lang w:val="bg-BG"/>
        </w:rPr>
        <w:t xml:space="preserve"> на представяне на Групата. Сделките в чуждестранна валута се отразява</w:t>
      </w:r>
      <w:r w:rsidR="00A45A95" w:rsidRPr="00721663">
        <w:rPr>
          <w:rFonts w:ascii="Arial" w:hAnsi="Arial" w:cs="Arial"/>
          <w:sz w:val="18"/>
          <w:szCs w:val="18"/>
          <w:lang w:val="bg-BG"/>
        </w:rPr>
        <w:t>т първоначално във функционална</w:t>
      </w:r>
      <w:r w:rsidRPr="00721663">
        <w:rPr>
          <w:rFonts w:ascii="Arial" w:hAnsi="Arial" w:cs="Arial"/>
          <w:sz w:val="18"/>
          <w:szCs w:val="18"/>
          <w:lang w:val="bg-BG"/>
        </w:rPr>
        <w:t xml:space="preserve"> валута по обменния курс на датата на сделката. Монетарните активи и пасиви, деноминирани в чуждестранни валути, се преизчисляват във функционалната валута, в края на всеки месец, по заключителния обменен курс на Българска Народна Банка за последния работен ден от съответния месец. Всички курсови разлики се признават в отчета за всеобхватния доход. Немонетарните активи и пасиви, които се оценяват по историческа цена на придобиване в чуждестранна валута</w:t>
      </w:r>
      <w:r w:rsidR="00A45A95" w:rsidRPr="00721663">
        <w:rPr>
          <w:rFonts w:ascii="Arial" w:hAnsi="Arial" w:cs="Arial"/>
          <w:sz w:val="18"/>
          <w:szCs w:val="18"/>
          <w:lang w:val="bg-BG"/>
        </w:rPr>
        <w:t>, се превръщат във функционална</w:t>
      </w:r>
      <w:r w:rsidRPr="00721663">
        <w:rPr>
          <w:rFonts w:ascii="Arial" w:hAnsi="Arial" w:cs="Arial"/>
          <w:sz w:val="18"/>
          <w:szCs w:val="18"/>
          <w:lang w:val="bg-BG"/>
        </w:rPr>
        <w:t xml:space="preserve"> валута по обменния курс към датата на първоначалната сделка.</w:t>
      </w:r>
    </w:p>
    <w:p w14:paraId="59EE5AE6" w14:textId="77777777" w:rsidR="00095FF4" w:rsidRPr="00721663" w:rsidRDefault="0052025E" w:rsidP="00841D6A">
      <w:pPr>
        <w:pStyle w:val="Heading4"/>
        <w:keepNext w:val="0"/>
        <w:overflowPunct w:val="0"/>
        <w:autoSpaceDE w:val="0"/>
        <w:autoSpaceDN w:val="0"/>
        <w:adjustRightInd w:val="0"/>
        <w:spacing w:before="40" w:after="120"/>
        <w:jc w:val="left"/>
        <w:textAlignment w:val="baseline"/>
        <w:rPr>
          <w:rFonts w:ascii="Arial" w:hAnsi="Arial" w:cs="Arial"/>
          <w:b/>
          <w:bCs/>
          <w:color w:val="000000"/>
          <w:sz w:val="18"/>
          <w:szCs w:val="18"/>
          <w:lang w:val="bg-BG"/>
        </w:rPr>
      </w:pPr>
      <w:r w:rsidRPr="00721663">
        <w:rPr>
          <w:rFonts w:ascii="Arial" w:hAnsi="Arial" w:cs="Arial"/>
          <w:b/>
          <w:bCs/>
          <w:color w:val="000000"/>
          <w:sz w:val="18"/>
          <w:szCs w:val="18"/>
          <w:lang w:val="bg-BG"/>
        </w:rPr>
        <w:t>Признаване на приходи</w:t>
      </w:r>
    </w:p>
    <w:p w14:paraId="282206FE" w14:textId="77777777" w:rsidR="00095FF4" w:rsidRPr="00721663" w:rsidRDefault="0052025E" w:rsidP="00841D6A">
      <w:pPr>
        <w:pStyle w:val="NormalNotLatin"/>
        <w:widowControl w:val="0"/>
        <w:spacing w:before="80" w:after="120" w:line="240" w:lineRule="atLeast"/>
        <w:jc w:val="left"/>
        <w:rPr>
          <w:rFonts w:ascii="Arial" w:hAnsi="Arial" w:cs="Arial"/>
          <w:sz w:val="18"/>
          <w:szCs w:val="18"/>
          <w:lang w:val="bg-BG"/>
        </w:rPr>
      </w:pPr>
      <w:r w:rsidRPr="00721663">
        <w:rPr>
          <w:rFonts w:ascii="Arial" w:hAnsi="Arial" w:cs="Arial"/>
          <w:sz w:val="18"/>
          <w:szCs w:val="18"/>
          <w:lang w:val="bg-BG"/>
        </w:rPr>
        <w:t>Приходите се признават до степента, в която е вероятно икономически ползи да бъдат получени от Групата и сумата на прихода може да бъде надеждно оценена, независимо от</w:t>
      </w:r>
      <w:r w:rsidR="004C590F" w:rsidRPr="00721663">
        <w:rPr>
          <w:rFonts w:ascii="Arial" w:hAnsi="Arial" w:cs="Arial"/>
          <w:sz w:val="18"/>
          <w:szCs w:val="18"/>
          <w:lang w:val="bg-BG"/>
        </w:rPr>
        <w:t xml:space="preserve"> това дали е направено плащане</w:t>
      </w:r>
      <w:r w:rsidRPr="00721663">
        <w:rPr>
          <w:rFonts w:ascii="Arial" w:hAnsi="Arial" w:cs="Arial"/>
          <w:sz w:val="18"/>
          <w:szCs w:val="18"/>
          <w:lang w:val="bg-BG"/>
        </w:rPr>
        <w:t>. Приходите се оценяват по справедливата стойност на полученото възнаграждение, като се изключат отстъпки, рабати и други данъци върху продажбите или мита. Преди да бъде признат приход, следните специфични критерии за признаване трябва също да бъдат удовлетворени:</w:t>
      </w:r>
    </w:p>
    <w:p w14:paraId="3C730528" w14:textId="77777777" w:rsidR="0044257F" w:rsidRPr="00721663" w:rsidRDefault="0052025E" w:rsidP="00841D6A">
      <w:pPr>
        <w:pStyle w:val="Notesitalicheading"/>
        <w:spacing w:after="120" w:line="240" w:lineRule="atLeast"/>
        <w:rPr>
          <w:rFonts w:ascii="Arial" w:hAnsi="Arial"/>
          <w:lang w:val="bg-BG"/>
        </w:rPr>
      </w:pPr>
      <w:r w:rsidRPr="00721663">
        <w:rPr>
          <w:rFonts w:ascii="Arial" w:hAnsi="Arial"/>
          <w:bCs/>
          <w:lang w:val="bg-BG"/>
        </w:rPr>
        <w:t>Продажба на електрическа енергия</w:t>
      </w:r>
    </w:p>
    <w:p w14:paraId="2399A2EE" w14:textId="77777777" w:rsidR="00D6536A" w:rsidRPr="00721663" w:rsidRDefault="0052025E" w:rsidP="00841D6A">
      <w:pPr>
        <w:pStyle w:val="ordinarytext"/>
        <w:spacing w:after="120" w:line="240" w:lineRule="atLeast"/>
        <w:contextualSpacing w:val="0"/>
        <w:jc w:val="left"/>
        <w:rPr>
          <w:lang w:val="bg-BG"/>
        </w:rPr>
      </w:pPr>
      <w:r w:rsidRPr="00721663">
        <w:rPr>
          <w:lang w:val="bg-BG"/>
        </w:rPr>
        <w:t xml:space="preserve">Основната дейност на Групата включва производството и продажбата </w:t>
      </w:r>
      <w:r w:rsidR="005A5BC6" w:rsidRPr="00721663">
        <w:rPr>
          <w:lang w:val="bg-BG"/>
        </w:rPr>
        <w:t>на електрическа енергия на Енерго-Про</w:t>
      </w:r>
      <w:r w:rsidRPr="00721663">
        <w:rPr>
          <w:lang w:val="bg-BG"/>
        </w:rPr>
        <w:t xml:space="preserve"> Продажби АД. Приходите се оценяват по справедливата стойност на </w:t>
      </w:r>
      <w:r w:rsidR="00A341A0" w:rsidRPr="00721663">
        <w:rPr>
          <w:lang w:val="bg-BG"/>
        </w:rPr>
        <w:t xml:space="preserve">полученото или подлежащото на получаване възнаграждение за </w:t>
      </w:r>
      <w:r w:rsidRPr="00721663">
        <w:rPr>
          <w:lang w:val="bg-BG"/>
        </w:rPr>
        <w:t>продаденото електричество, като се изключат косвени данъци (ДДС), отстъпки и рабати.</w:t>
      </w:r>
      <w:r w:rsidR="00622D82" w:rsidRPr="00721663">
        <w:rPr>
          <w:lang w:val="bg-BG"/>
        </w:rPr>
        <w:t xml:space="preserve"> </w:t>
      </w:r>
      <w:r w:rsidR="00AF0577" w:rsidRPr="00721663">
        <w:rPr>
          <w:lang w:val="bg-BG"/>
        </w:rPr>
        <w:t>Продажбата на електрическа енергия се признава, когато са изпълнени следните условия</w:t>
      </w:r>
      <w:r w:rsidR="00622D82" w:rsidRPr="00721663">
        <w:rPr>
          <w:lang w:val="bg-BG"/>
        </w:rPr>
        <w:t>:</w:t>
      </w:r>
    </w:p>
    <w:p w14:paraId="580C3E4E" w14:textId="77777777" w:rsidR="00D6536A" w:rsidRPr="00721663" w:rsidRDefault="00D6536A">
      <w:pPr>
        <w:spacing w:line="240" w:lineRule="auto"/>
        <w:jc w:val="left"/>
        <w:rPr>
          <w:rFonts w:ascii="Arial" w:eastAsia="Calibri" w:hAnsi="Arial" w:cs="Arial"/>
          <w:sz w:val="18"/>
          <w:szCs w:val="18"/>
          <w:lang w:val="bg-BG"/>
        </w:rPr>
      </w:pPr>
      <w:r w:rsidRPr="00721663">
        <w:rPr>
          <w:lang w:val="bg-BG"/>
        </w:rPr>
        <w:br w:type="page"/>
      </w:r>
    </w:p>
    <w:p w14:paraId="68BF18DD" w14:textId="77777777" w:rsidR="00D6536A" w:rsidRPr="00721663" w:rsidRDefault="00D6536A" w:rsidP="00D6536A">
      <w:pPr>
        <w:pStyle w:val="ordinarytext"/>
        <w:spacing w:after="120" w:line="240" w:lineRule="atLeast"/>
        <w:contextualSpacing w:val="0"/>
        <w:jc w:val="left"/>
        <w:rPr>
          <w:lang w:val="bg-BG"/>
        </w:rPr>
      </w:pPr>
      <w:r w:rsidRPr="00721663">
        <w:rPr>
          <w:b/>
          <w:sz w:val="20"/>
          <w:szCs w:val="20"/>
          <w:lang w:val="bg-BG"/>
        </w:rPr>
        <w:t xml:space="preserve">2.3. Обобщение на съществените счетоводни политики </w:t>
      </w:r>
      <w:r w:rsidRPr="00721663">
        <w:rPr>
          <w:b/>
          <w:i/>
          <w:sz w:val="20"/>
          <w:szCs w:val="20"/>
          <w:lang w:val="bg-BG"/>
        </w:rPr>
        <w:t>(продължение)</w:t>
      </w:r>
    </w:p>
    <w:p w14:paraId="0629D106" w14:textId="77777777" w:rsidR="00622D82" w:rsidRPr="00721663" w:rsidRDefault="00226D72" w:rsidP="00226D72">
      <w:pPr>
        <w:pStyle w:val="Notesitalicheading"/>
        <w:spacing w:after="120" w:line="240" w:lineRule="atLeast"/>
        <w:rPr>
          <w:rFonts w:ascii="Arial" w:hAnsi="Arial"/>
          <w:lang w:val="bg-BG"/>
        </w:rPr>
      </w:pPr>
      <w:r w:rsidRPr="00721663">
        <w:rPr>
          <w:rFonts w:ascii="Arial" w:hAnsi="Arial"/>
          <w:bCs/>
          <w:lang w:val="bg-BG"/>
        </w:rPr>
        <w:t>Продажба на електрическа енергия (продължение)</w:t>
      </w:r>
    </w:p>
    <w:p w14:paraId="69A79DEA" w14:textId="2567920A" w:rsidR="0052564C" w:rsidRDefault="0052564C" w:rsidP="0052564C">
      <w:pPr>
        <w:pStyle w:val="ordinarytext"/>
        <w:numPr>
          <w:ilvl w:val="0"/>
          <w:numId w:val="22"/>
        </w:numPr>
        <w:spacing w:after="0" w:line="240" w:lineRule="atLeast"/>
        <w:jc w:val="left"/>
        <w:rPr>
          <w:lang w:val="bg-BG"/>
        </w:rPr>
      </w:pPr>
      <w:r>
        <w:rPr>
          <w:lang w:val="bg-BG"/>
        </w:rPr>
        <w:t>Групата е прехвърлило в значителна степен всички рискове и ползи от собствеността на стоките към купувача;</w:t>
      </w:r>
    </w:p>
    <w:p w14:paraId="5E620C0C" w14:textId="515C8503" w:rsidR="0052564C" w:rsidRDefault="0052564C" w:rsidP="0052564C">
      <w:pPr>
        <w:pStyle w:val="ordinarytext"/>
        <w:numPr>
          <w:ilvl w:val="0"/>
          <w:numId w:val="22"/>
        </w:numPr>
        <w:spacing w:after="0" w:line="240" w:lineRule="atLeast"/>
        <w:jc w:val="left"/>
        <w:rPr>
          <w:lang w:val="bg-BG"/>
        </w:rPr>
      </w:pPr>
      <w:r>
        <w:rPr>
          <w:lang w:val="bg-BG"/>
        </w:rPr>
        <w:t>Групата не запазва нито продължаващо участие в управлението до степен, асоциирана с притежаване на стоките, нито ефективен контрол върху продаваните стоки;</w:t>
      </w:r>
    </w:p>
    <w:p w14:paraId="727513BB" w14:textId="77777777" w:rsidR="0052564C" w:rsidRDefault="0052564C" w:rsidP="0052564C">
      <w:pPr>
        <w:pStyle w:val="ordinarytext"/>
        <w:numPr>
          <w:ilvl w:val="0"/>
          <w:numId w:val="22"/>
        </w:numPr>
        <w:spacing w:after="0" w:line="240" w:lineRule="atLeast"/>
        <w:jc w:val="left"/>
        <w:rPr>
          <w:lang w:val="bg-BG"/>
        </w:rPr>
      </w:pPr>
      <w:r>
        <w:rPr>
          <w:lang w:val="bg-BG"/>
        </w:rPr>
        <w:t>Сумата на приходите може да бъде надеждно оценена;</w:t>
      </w:r>
    </w:p>
    <w:p w14:paraId="1082D1F1" w14:textId="5292CB99" w:rsidR="0052564C" w:rsidRDefault="0052564C" w:rsidP="0052564C">
      <w:pPr>
        <w:pStyle w:val="ordinarytext"/>
        <w:numPr>
          <w:ilvl w:val="0"/>
          <w:numId w:val="22"/>
        </w:numPr>
        <w:spacing w:after="0" w:line="240" w:lineRule="atLeast"/>
        <w:jc w:val="left"/>
        <w:rPr>
          <w:lang w:val="bg-BG"/>
        </w:rPr>
      </w:pPr>
      <w:r>
        <w:rPr>
          <w:lang w:val="bg-BG"/>
        </w:rPr>
        <w:t>Вероятно е икономическите ползи, свързани с транзакцията, да се влеят в Групата;</w:t>
      </w:r>
    </w:p>
    <w:p w14:paraId="600B4BCF" w14:textId="6AE896D2" w:rsidR="00A32F3B" w:rsidRPr="0052564C" w:rsidRDefault="0052564C" w:rsidP="0052564C">
      <w:pPr>
        <w:pStyle w:val="ordinarytext"/>
        <w:numPr>
          <w:ilvl w:val="0"/>
          <w:numId w:val="22"/>
        </w:numPr>
        <w:spacing w:after="120" w:line="240" w:lineRule="atLeast"/>
        <w:jc w:val="left"/>
        <w:rPr>
          <w:lang w:val="bg-BG"/>
        </w:rPr>
      </w:pPr>
      <w:r>
        <w:rPr>
          <w:lang w:val="bg-BG"/>
        </w:rPr>
        <w:t>Разходите, които са направени или ще бъдат направени във връзка с транзакцията, могат да бъдат надеждно оценени.</w:t>
      </w:r>
    </w:p>
    <w:p w14:paraId="2C683E8F" w14:textId="77777777" w:rsidR="00095FF4" w:rsidRPr="00721663" w:rsidRDefault="00DB729C" w:rsidP="00841D6A">
      <w:pPr>
        <w:pStyle w:val="Notesitalicheading"/>
        <w:spacing w:after="120" w:line="240" w:lineRule="atLeast"/>
        <w:rPr>
          <w:rFonts w:ascii="Arial" w:hAnsi="Arial"/>
          <w:lang w:val="bg-BG"/>
        </w:rPr>
      </w:pPr>
      <w:r w:rsidRPr="00721663">
        <w:rPr>
          <w:rFonts w:ascii="Arial" w:hAnsi="Arial"/>
          <w:lang w:val="bg-BG"/>
        </w:rPr>
        <w:t>Приходи от лихви</w:t>
      </w:r>
    </w:p>
    <w:p w14:paraId="3634BF2E" w14:textId="77777777" w:rsidR="00095FF4" w:rsidRPr="00721663" w:rsidRDefault="00DB729C" w:rsidP="00841D6A">
      <w:pPr>
        <w:pStyle w:val="Notesbodytext"/>
        <w:spacing w:line="240" w:lineRule="atLeast"/>
        <w:rPr>
          <w:rFonts w:ascii="Arial" w:hAnsi="Arial"/>
          <w:szCs w:val="18"/>
          <w:lang w:val="bg-BG"/>
        </w:rPr>
      </w:pPr>
      <w:r w:rsidRPr="00721663">
        <w:rPr>
          <w:rFonts w:ascii="Arial" w:hAnsi="Arial"/>
          <w:szCs w:val="18"/>
          <w:lang w:val="bg-BG"/>
        </w:rPr>
        <w:t>Приход се признава, когато лихвите се начислят</w:t>
      </w:r>
      <w:r w:rsidR="00062059" w:rsidRPr="00721663">
        <w:rPr>
          <w:rFonts w:ascii="Arial" w:hAnsi="Arial"/>
          <w:szCs w:val="18"/>
          <w:lang w:val="bg-BG"/>
        </w:rPr>
        <w:t xml:space="preserve"> (</w:t>
      </w:r>
      <w:r w:rsidRPr="00721663">
        <w:rPr>
          <w:rFonts w:ascii="Arial" w:hAnsi="Arial"/>
          <w:szCs w:val="18"/>
          <w:lang w:val="bg-BG"/>
        </w:rPr>
        <w:t>като се използва метода на ефективния лихве</w:t>
      </w:r>
      <w:r w:rsidR="005A5BC6" w:rsidRPr="00721663">
        <w:rPr>
          <w:rFonts w:ascii="Arial" w:hAnsi="Arial"/>
          <w:szCs w:val="18"/>
          <w:lang w:val="bg-BG"/>
        </w:rPr>
        <w:t>н</w:t>
      </w:r>
      <w:r w:rsidRPr="00721663">
        <w:rPr>
          <w:rFonts w:ascii="Arial" w:hAnsi="Arial"/>
          <w:szCs w:val="18"/>
          <w:lang w:val="bg-BG"/>
        </w:rPr>
        <w:t xml:space="preserve"> процент – ЕЛП, нормата, която най-точно дисконтира очакваните бъдещи плащания или постъпления</w:t>
      </w:r>
      <w:r w:rsidR="003B02F9" w:rsidRPr="00721663">
        <w:rPr>
          <w:rFonts w:ascii="Arial" w:hAnsi="Arial"/>
          <w:szCs w:val="18"/>
          <w:lang w:val="bg-BG"/>
        </w:rPr>
        <w:t xml:space="preserve"> през очаквания полезен живот на финансовия инструмент или по-кратък период, както е уместно</w:t>
      </w:r>
      <w:r w:rsidR="007402EA" w:rsidRPr="00721663">
        <w:rPr>
          <w:rFonts w:ascii="Arial" w:hAnsi="Arial"/>
          <w:szCs w:val="18"/>
          <w:lang w:val="bg-BG"/>
        </w:rPr>
        <w:t>,</w:t>
      </w:r>
      <w:r w:rsidR="003B02F9" w:rsidRPr="00721663">
        <w:rPr>
          <w:rFonts w:ascii="Arial" w:hAnsi="Arial"/>
          <w:szCs w:val="18"/>
          <w:lang w:val="bg-BG"/>
        </w:rPr>
        <w:t xml:space="preserve"> към нетната балансова стойност на финансовия актив или пасив</w:t>
      </w:r>
      <w:r w:rsidR="00062059" w:rsidRPr="00721663">
        <w:rPr>
          <w:rFonts w:ascii="Arial" w:hAnsi="Arial"/>
          <w:szCs w:val="18"/>
          <w:lang w:val="bg-BG"/>
        </w:rPr>
        <w:t xml:space="preserve">). </w:t>
      </w:r>
      <w:r w:rsidRPr="00721663">
        <w:rPr>
          <w:rFonts w:ascii="Arial" w:hAnsi="Arial"/>
          <w:szCs w:val="18"/>
          <w:lang w:val="bg-BG"/>
        </w:rPr>
        <w:t xml:space="preserve">Приходът от лихви се включва като финансов приход в </w:t>
      </w:r>
      <w:r w:rsidR="004B3251" w:rsidRPr="00721663">
        <w:rPr>
          <w:rFonts w:ascii="Arial" w:hAnsi="Arial"/>
          <w:szCs w:val="18"/>
          <w:lang w:val="bg-BG"/>
        </w:rPr>
        <w:t>отчета за всеобхватния доход</w:t>
      </w:r>
      <w:r w:rsidRPr="00721663">
        <w:rPr>
          <w:rFonts w:ascii="Arial" w:hAnsi="Arial"/>
          <w:szCs w:val="18"/>
          <w:lang w:val="bg-BG"/>
        </w:rPr>
        <w:t>.</w:t>
      </w:r>
    </w:p>
    <w:p w14:paraId="20970947" w14:textId="77777777" w:rsidR="0007468E" w:rsidRPr="00721663" w:rsidRDefault="003B02F9" w:rsidP="00841D6A">
      <w:pPr>
        <w:pStyle w:val="Heading4"/>
        <w:keepNext w:val="0"/>
        <w:overflowPunct w:val="0"/>
        <w:autoSpaceDE w:val="0"/>
        <w:autoSpaceDN w:val="0"/>
        <w:adjustRightInd w:val="0"/>
        <w:spacing w:before="40" w:after="120"/>
        <w:jc w:val="left"/>
        <w:textAlignment w:val="baseline"/>
        <w:rPr>
          <w:rFonts w:ascii="Arial" w:hAnsi="Arial" w:cs="Arial"/>
          <w:b/>
          <w:bCs/>
          <w:color w:val="000000"/>
          <w:sz w:val="18"/>
          <w:szCs w:val="18"/>
          <w:lang w:val="bg-BG"/>
        </w:rPr>
      </w:pPr>
      <w:r w:rsidRPr="00721663">
        <w:rPr>
          <w:rFonts w:ascii="Arial" w:hAnsi="Arial" w:cs="Arial"/>
          <w:b/>
          <w:bCs/>
          <w:color w:val="000000"/>
          <w:sz w:val="18"/>
          <w:szCs w:val="18"/>
          <w:lang w:val="bg-BG"/>
        </w:rPr>
        <w:t>Данъци</w:t>
      </w:r>
    </w:p>
    <w:p w14:paraId="5D4B99CB" w14:textId="77777777" w:rsidR="0007468E" w:rsidRPr="00721663" w:rsidRDefault="003B02F9" w:rsidP="00841D6A">
      <w:pPr>
        <w:pStyle w:val="Notesitalicheading"/>
        <w:spacing w:after="120" w:line="240" w:lineRule="atLeast"/>
        <w:rPr>
          <w:rFonts w:ascii="Arial" w:hAnsi="Arial"/>
          <w:lang w:val="bg-BG"/>
        </w:rPr>
      </w:pPr>
      <w:r w:rsidRPr="00721663">
        <w:rPr>
          <w:rFonts w:ascii="Arial" w:hAnsi="Arial"/>
          <w:lang w:val="bg-BG"/>
        </w:rPr>
        <w:t>Текущ данък върху доходите</w:t>
      </w:r>
    </w:p>
    <w:p w14:paraId="3857F902" w14:textId="72D7971C" w:rsidR="0007468E" w:rsidRPr="00721663" w:rsidRDefault="00C42B3A" w:rsidP="00841D6A">
      <w:pPr>
        <w:pStyle w:val="Notesbodytext"/>
        <w:spacing w:line="240" w:lineRule="atLeast"/>
        <w:rPr>
          <w:rFonts w:ascii="Arial" w:hAnsi="Arial"/>
          <w:lang w:val="bg-BG"/>
        </w:rPr>
      </w:pPr>
      <w:r w:rsidRPr="00721663">
        <w:rPr>
          <w:rFonts w:ascii="Arial" w:hAnsi="Arial"/>
          <w:lang w:val="bg-BG"/>
        </w:rPr>
        <w:t xml:space="preserve">Данъчните активи и пасиви за текущия период се признават по сумата, която се очаква да бъде възстановена от или платена на данъчните власти. </w:t>
      </w:r>
      <w:r w:rsidR="002A0625" w:rsidRPr="00721663">
        <w:rPr>
          <w:rFonts w:ascii="Arial" w:hAnsi="Arial"/>
          <w:lang w:val="bg-BG"/>
        </w:rPr>
        <w:t xml:space="preserve">Разходите за текущ данък  за междинните периоди, приключващи на </w:t>
      </w:r>
      <w:r w:rsidR="00144930">
        <w:rPr>
          <w:rFonts w:ascii="Arial" w:hAnsi="Arial"/>
          <w:lang w:val="bg-BG"/>
        </w:rPr>
        <w:t>30 юни 2017</w:t>
      </w:r>
      <w:r w:rsidR="002A0625" w:rsidRPr="00721663">
        <w:rPr>
          <w:rFonts w:ascii="Arial" w:hAnsi="Arial"/>
          <w:lang w:val="bg-BG"/>
        </w:rPr>
        <w:t xml:space="preserve"> и </w:t>
      </w:r>
      <w:r w:rsidR="00144930">
        <w:rPr>
          <w:rFonts w:ascii="Arial" w:hAnsi="Arial"/>
          <w:lang w:val="bg-BG"/>
        </w:rPr>
        <w:t>30 юни 2016</w:t>
      </w:r>
      <w:r w:rsidR="002A0625" w:rsidRPr="00721663">
        <w:rPr>
          <w:rFonts w:ascii="Arial" w:hAnsi="Arial"/>
          <w:lang w:val="bg-BG"/>
        </w:rPr>
        <w:t xml:space="preserve"> са признати въз основа на преценка на ръководството за среднопретеглената годишна ставка на данъка върху доходите, която се очаква за цялата финансова година.</w:t>
      </w:r>
      <w:r w:rsidRPr="00721663">
        <w:rPr>
          <w:rFonts w:ascii="Arial" w:hAnsi="Arial"/>
          <w:lang w:val="bg-BG"/>
        </w:rPr>
        <w:t xml:space="preserve"> </w:t>
      </w:r>
      <w:r w:rsidR="00B768F6" w:rsidRPr="00721663">
        <w:rPr>
          <w:rFonts w:ascii="Arial" w:hAnsi="Arial"/>
          <w:lang w:val="bg-BG"/>
        </w:rPr>
        <w:t xml:space="preserve">Текущ данък свързан с елементи признати директно в собствения капитал се признава </w:t>
      </w:r>
      <w:r w:rsidR="000B6776" w:rsidRPr="00721663">
        <w:rPr>
          <w:rFonts w:ascii="Arial" w:hAnsi="Arial"/>
          <w:lang w:val="bg-BG"/>
        </w:rPr>
        <w:t>в</w:t>
      </w:r>
      <w:r w:rsidR="00B768F6" w:rsidRPr="00721663">
        <w:rPr>
          <w:rFonts w:ascii="Arial" w:hAnsi="Arial"/>
          <w:lang w:val="bg-BG"/>
        </w:rPr>
        <w:t xml:space="preserve"> собствения капитал, а не в </w:t>
      </w:r>
      <w:r w:rsidR="00630A47" w:rsidRPr="00721663">
        <w:rPr>
          <w:rFonts w:ascii="Arial" w:hAnsi="Arial"/>
          <w:lang w:val="bg-BG"/>
        </w:rPr>
        <w:t>отчета за всеобхватния доход</w:t>
      </w:r>
      <w:r w:rsidR="00B768F6" w:rsidRPr="00721663">
        <w:rPr>
          <w:rFonts w:ascii="Arial" w:hAnsi="Arial"/>
          <w:lang w:val="bg-BG"/>
        </w:rPr>
        <w:t xml:space="preserve">. </w:t>
      </w:r>
      <w:r w:rsidR="002A0625" w:rsidRPr="00721663">
        <w:rPr>
          <w:rFonts w:ascii="Arial" w:hAnsi="Arial"/>
          <w:lang w:val="bg-BG"/>
        </w:rPr>
        <w:t>Среднопретеглената с</w:t>
      </w:r>
      <w:r w:rsidRPr="00721663">
        <w:rPr>
          <w:rFonts w:ascii="Arial" w:hAnsi="Arial"/>
          <w:lang w:val="bg-BG"/>
        </w:rPr>
        <w:t xml:space="preserve">тавката на данъка върху доходите за </w:t>
      </w:r>
      <w:r w:rsidR="00CE3A06" w:rsidRPr="00721663">
        <w:rPr>
          <w:rFonts w:ascii="Arial" w:hAnsi="Arial"/>
          <w:lang w:val="bg-BG"/>
        </w:rPr>
        <w:t xml:space="preserve">годината, приключваща на 31 декември </w:t>
      </w:r>
      <w:r w:rsidR="00063780">
        <w:rPr>
          <w:rFonts w:ascii="Arial" w:hAnsi="Arial"/>
          <w:lang w:val="bg-BG"/>
        </w:rPr>
        <w:t>201</w:t>
      </w:r>
      <w:r w:rsidR="0052564C">
        <w:rPr>
          <w:rFonts w:ascii="Arial" w:hAnsi="Arial"/>
          <w:lang w:val="bg-BG"/>
        </w:rPr>
        <w:t>7</w:t>
      </w:r>
      <w:r w:rsidR="00086069" w:rsidRPr="00721663">
        <w:rPr>
          <w:rFonts w:ascii="Arial" w:hAnsi="Arial"/>
          <w:lang w:val="bg-BG"/>
        </w:rPr>
        <w:t xml:space="preserve"> г.</w:t>
      </w:r>
      <w:r w:rsidR="00CE3A06" w:rsidRPr="00721663">
        <w:rPr>
          <w:rFonts w:ascii="Arial" w:hAnsi="Arial"/>
          <w:lang w:val="bg-BG"/>
        </w:rPr>
        <w:t xml:space="preserve">, както и за шестмесечния период, приключващ на </w:t>
      </w:r>
      <w:r w:rsidR="00144930">
        <w:rPr>
          <w:rFonts w:ascii="Arial" w:hAnsi="Arial"/>
          <w:lang w:val="bg-BG"/>
        </w:rPr>
        <w:t>30 юни 2016</w:t>
      </w:r>
      <w:r w:rsidR="00086069" w:rsidRPr="00721663">
        <w:rPr>
          <w:rFonts w:ascii="Arial" w:hAnsi="Arial"/>
          <w:lang w:val="bg-BG"/>
        </w:rPr>
        <w:t xml:space="preserve"> е 10%.</w:t>
      </w:r>
    </w:p>
    <w:p w14:paraId="21F889A9" w14:textId="77777777" w:rsidR="00497F13" w:rsidRPr="00721663" w:rsidRDefault="00C42B3A" w:rsidP="00841D6A">
      <w:pPr>
        <w:pStyle w:val="Notesitalicheading"/>
        <w:spacing w:after="120" w:line="240" w:lineRule="atLeast"/>
        <w:rPr>
          <w:rFonts w:ascii="Arial" w:hAnsi="Arial"/>
          <w:lang w:val="bg-BG"/>
        </w:rPr>
      </w:pPr>
      <w:r w:rsidRPr="00721663">
        <w:rPr>
          <w:rFonts w:ascii="Arial" w:hAnsi="Arial"/>
          <w:lang w:val="bg-BG"/>
        </w:rPr>
        <w:t>Отсрочен данък върху доходите</w:t>
      </w:r>
    </w:p>
    <w:p w14:paraId="56C5DA41" w14:textId="77777777" w:rsidR="00497F13" w:rsidRPr="00721663" w:rsidRDefault="00C42B3A" w:rsidP="00841D6A">
      <w:pPr>
        <w:pStyle w:val="Notesbodytext"/>
        <w:spacing w:line="240" w:lineRule="atLeast"/>
        <w:rPr>
          <w:rFonts w:ascii="Arial" w:hAnsi="Arial"/>
          <w:lang w:val="bg-BG"/>
        </w:rPr>
      </w:pPr>
      <w:r w:rsidRPr="00721663">
        <w:rPr>
          <w:rFonts w:ascii="Arial" w:hAnsi="Arial"/>
          <w:lang w:val="bg-BG"/>
        </w:rPr>
        <w:t>Отсрочените данъци се признават по балансовия метод за всички временни разлики към отчетната дата, които възникват между данъчната основа на активите и пасивите и техните балансови стойности.</w:t>
      </w:r>
    </w:p>
    <w:p w14:paraId="7F52E2D9" w14:textId="77777777" w:rsidR="00497F13" w:rsidRPr="00721663" w:rsidRDefault="00C42B3A" w:rsidP="00841D6A">
      <w:pPr>
        <w:pStyle w:val="Notesbodytext"/>
        <w:spacing w:line="240" w:lineRule="atLeast"/>
        <w:rPr>
          <w:rFonts w:ascii="Arial" w:hAnsi="Arial"/>
          <w:szCs w:val="18"/>
          <w:lang w:val="bg-BG"/>
        </w:rPr>
      </w:pPr>
      <w:r w:rsidRPr="00721663">
        <w:rPr>
          <w:rFonts w:ascii="Arial" w:hAnsi="Arial"/>
          <w:szCs w:val="18"/>
          <w:lang w:val="bg-BG"/>
        </w:rPr>
        <w:t>Отсрочени данъчни пасиви се признават за всички облагаеми временни разлики с изключение на:</w:t>
      </w:r>
    </w:p>
    <w:p w14:paraId="29D5ACF9" w14:textId="77777777" w:rsidR="009E1FFB" w:rsidRPr="00721663" w:rsidRDefault="00C42B3A" w:rsidP="002620A7">
      <w:pPr>
        <w:pStyle w:val="tablebullet"/>
        <w:tabs>
          <w:tab w:val="clear" w:pos="1088"/>
        </w:tabs>
        <w:spacing w:line="240" w:lineRule="atLeast"/>
        <w:ind w:left="284" w:hanging="284"/>
        <w:rPr>
          <w:rFonts w:ascii="Arial" w:hAnsi="Arial" w:cs="Arial"/>
          <w:color w:val="000000"/>
          <w:lang w:val="bg-BG"/>
        </w:rPr>
      </w:pPr>
      <w:r w:rsidRPr="00721663">
        <w:rPr>
          <w:rFonts w:ascii="Arial" w:hAnsi="Arial" w:cs="Arial"/>
          <w:color w:val="000000"/>
          <w:lang w:val="bg-BG"/>
        </w:rPr>
        <w:t xml:space="preserve">случаите в които отсроченият данъчен пасив възниква от първоначално признаване на актив или пасив от дадена сделка, която не е бизнес комбинация и не влияе нито върху счетоводната печалба, нито върху данъчната печалба или загуба към момента на извършване на сделката; </w:t>
      </w:r>
    </w:p>
    <w:p w14:paraId="055995F7" w14:textId="77777777" w:rsidR="00B169BF" w:rsidRPr="00721663" w:rsidRDefault="00C42B3A" w:rsidP="002620A7">
      <w:pPr>
        <w:pStyle w:val="tablebullet"/>
        <w:tabs>
          <w:tab w:val="clear" w:pos="1088"/>
        </w:tabs>
        <w:spacing w:after="120" w:line="240" w:lineRule="atLeast"/>
        <w:ind w:left="284" w:hanging="284"/>
        <w:rPr>
          <w:rFonts w:ascii="Arial" w:hAnsi="Arial" w:cs="Arial"/>
          <w:color w:val="000000"/>
          <w:lang w:val="bg-BG"/>
        </w:rPr>
      </w:pPr>
      <w:r w:rsidRPr="00721663">
        <w:rPr>
          <w:rFonts w:ascii="Arial" w:hAnsi="Arial" w:cs="Arial"/>
          <w:color w:val="000000"/>
          <w:lang w:val="bg-BG"/>
        </w:rPr>
        <w:t>облагаеми временни разлики, свързани с инвестиции в дъщерни дружества, асоциирани предприятия и участия в съвместни предприятия, освен до степента, до която Групата е в състояние да контролира времето на обратното проявление на временната разлика и съществува вероятност временната разлика да не се прояви обратно в предвидимо бъдеще.</w:t>
      </w:r>
    </w:p>
    <w:p w14:paraId="58DADF79" w14:textId="77777777" w:rsidR="00C42B3A" w:rsidRPr="00721663" w:rsidRDefault="00C42B3A" w:rsidP="002620A7">
      <w:pPr>
        <w:pStyle w:val="Notesbodytext"/>
        <w:spacing w:line="240" w:lineRule="atLeast"/>
        <w:rPr>
          <w:rFonts w:ascii="Arial" w:hAnsi="Arial"/>
          <w:szCs w:val="18"/>
          <w:lang w:val="bg-BG"/>
        </w:rPr>
      </w:pPr>
      <w:r w:rsidRPr="00721663">
        <w:rPr>
          <w:rFonts w:ascii="Arial" w:hAnsi="Arial"/>
          <w:szCs w:val="18"/>
          <w:lang w:val="bg-BG"/>
        </w:rPr>
        <w:t>Активи по отсрочени данъци се признават за всички намаляеми временни разлики, пренесени неизползвани данъчни кредити и неизползвани данъчни загуби, до степента, до която е вероятно да е налице облагаема печалба, срещу която да бъдат използвани намаляемите временни разлики, пренесените неизползвани данъчни кредити и неизползваните данъчни загуби с изключение на:</w:t>
      </w:r>
    </w:p>
    <w:p w14:paraId="5FBC0E61" w14:textId="77777777" w:rsidR="00A43400" w:rsidRPr="00721663" w:rsidRDefault="00C42B3A" w:rsidP="002620A7">
      <w:pPr>
        <w:pStyle w:val="tablebullet"/>
        <w:tabs>
          <w:tab w:val="clear" w:pos="1088"/>
        </w:tabs>
        <w:spacing w:line="240" w:lineRule="atLeast"/>
        <w:ind w:left="284" w:hanging="284"/>
        <w:rPr>
          <w:rFonts w:ascii="Arial" w:hAnsi="Arial" w:cs="Arial"/>
          <w:color w:val="000000"/>
          <w:lang w:val="bg-BG"/>
        </w:rPr>
      </w:pPr>
      <w:r w:rsidRPr="00721663">
        <w:rPr>
          <w:rFonts w:ascii="Arial" w:hAnsi="Arial" w:cs="Arial"/>
          <w:color w:val="000000"/>
          <w:lang w:val="bg-BG"/>
        </w:rPr>
        <w:t xml:space="preserve">случаите в които отсроченият данъчен актив възниква от първоначално признаване на актив или пасив от дадена сделка, която не е бизнес комбинация и не влияе нито върху счетоводната печалба, нито върху данъчната печалба или загуба към момента на извършване на сделката; </w:t>
      </w:r>
    </w:p>
    <w:p w14:paraId="4C808EE2" w14:textId="77777777" w:rsidR="00A43400" w:rsidRPr="00721663" w:rsidRDefault="00C42B3A" w:rsidP="002620A7">
      <w:pPr>
        <w:pStyle w:val="tablebullet"/>
        <w:tabs>
          <w:tab w:val="clear" w:pos="1088"/>
        </w:tabs>
        <w:spacing w:after="120" w:line="240" w:lineRule="atLeast"/>
        <w:ind w:left="284" w:hanging="284"/>
        <w:rPr>
          <w:rFonts w:ascii="Arial" w:hAnsi="Arial" w:cs="Arial"/>
          <w:color w:val="000000"/>
          <w:lang w:val="bg-BG"/>
        </w:rPr>
      </w:pPr>
      <w:r w:rsidRPr="00721663">
        <w:rPr>
          <w:rFonts w:ascii="Arial" w:hAnsi="Arial" w:cs="Arial"/>
          <w:color w:val="000000"/>
          <w:lang w:val="bg-BG"/>
        </w:rPr>
        <w:t>намаляеми временни разлики, свързани с инвестиции в дъщерни дружества, асоциирани предприятия и участия в съвместни предприятия, отсрочен данъчен актив се признава единствено до степента, до която има вероятност временната разлика да се прояви обратно в обозримо бъдеще и да бъде реализирана облагаема печалба, срещу която да се оползотвори временната разлика.</w:t>
      </w:r>
    </w:p>
    <w:p w14:paraId="780EE117" w14:textId="77777777" w:rsidR="0052564C" w:rsidRDefault="0052564C">
      <w:pPr>
        <w:spacing w:line="240" w:lineRule="auto"/>
        <w:jc w:val="left"/>
        <w:rPr>
          <w:rFonts w:ascii="Arial" w:hAnsi="Arial" w:cs="Arial"/>
          <w:color w:val="000000"/>
          <w:sz w:val="18"/>
          <w:szCs w:val="18"/>
          <w:lang w:val="bg-BG"/>
        </w:rPr>
      </w:pPr>
      <w:r>
        <w:rPr>
          <w:rFonts w:ascii="Arial" w:hAnsi="Arial"/>
          <w:szCs w:val="18"/>
          <w:lang w:val="bg-BG"/>
        </w:rPr>
        <w:br w:type="page"/>
      </w:r>
    </w:p>
    <w:p w14:paraId="450425D0" w14:textId="77777777" w:rsidR="0052564C" w:rsidRPr="00721663" w:rsidRDefault="0052564C" w:rsidP="0052564C">
      <w:pPr>
        <w:pStyle w:val="Notesbodytext"/>
        <w:spacing w:line="240" w:lineRule="atLeast"/>
        <w:rPr>
          <w:rFonts w:ascii="Arial" w:hAnsi="Arial"/>
          <w:b/>
          <w:sz w:val="20"/>
          <w:lang w:val="bg-BG"/>
        </w:rPr>
      </w:pPr>
      <w:r w:rsidRPr="00721663">
        <w:rPr>
          <w:rFonts w:ascii="Arial" w:hAnsi="Arial"/>
          <w:b/>
          <w:sz w:val="20"/>
          <w:lang w:val="bg-BG"/>
        </w:rPr>
        <w:t xml:space="preserve">2.3. Обобщение на съществените счетоводни политики </w:t>
      </w:r>
      <w:r w:rsidRPr="00721663">
        <w:rPr>
          <w:rFonts w:ascii="Arial" w:hAnsi="Arial"/>
          <w:b/>
          <w:i/>
          <w:sz w:val="20"/>
          <w:lang w:val="bg-BG"/>
        </w:rPr>
        <w:t>(продължение)</w:t>
      </w:r>
    </w:p>
    <w:p w14:paraId="4B2B8948" w14:textId="77777777" w:rsidR="0052564C" w:rsidRPr="00721663" w:rsidRDefault="0052564C" w:rsidP="0052564C">
      <w:pPr>
        <w:pStyle w:val="Notesbodytext"/>
        <w:spacing w:before="60" w:line="240" w:lineRule="atLeast"/>
        <w:rPr>
          <w:rFonts w:ascii="Arial" w:hAnsi="Arial"/>
          <w:b/>
          <w:bCs/>
          <w:i/>
          <w:szCs w:val="18"/>
          <w:lang w:val="bg-BG"/>
        </w:rPr>
      </w:pPr>
      <w:r w:rsidRPr="00721663">
        <w:rPr>
          <w:rFonts w:ascii="Arial" w:hAnsi="Arial"/>
          <w:b/>
          <w:bCs/>
          <w:szCs w:val="18"/>
          <w:lang w:val="bg-BG"/>
        </w:rPr>
        <w:t xml:space="preserve">Данъци </w:t>
      </w:r>
      <w:r w:rsidRPr="00721663">
        <w:rPr>
          <w:rFonts w:ascii="Arial" w:hAnsi="Arial"/>
          <w:b/>
          <w:bCs/>
          <w:i/>
          <w:szCs w:val="18"/>
          <w:lang w:val="bg-BG"/>
        </w:rPr>
        <w:t>(продължение)</w:t>
      </w:r>
    </w:p>
    <w:p w14:paraId="603E7E80" w14:textId="77777777" w:rsidR="0052564C" w:rsidRPr="00721663" w:rsidRDefault="0052564C" w:rsidP="0052564C">
      <w:pPr>
        <w:pStyle w:val="Notesitalicheading"/>
        <w:spacing w:after="120" w:line="240" w:lineRule="atLeast"/>
        <w:rPr>
          <w:rFonts w:ascii="Arial" w:hAnsi="Arial"/>
          <w:lang w:val="bg-BG"/>
        </w:rPr>
      </w:pPr>
      <w:r w:rsidRPr="00721663">
        <w:rPr>
          <w:rFonts w:ascii="Arial" w:hAnsi="Arial"/>
          <w:lang w:val="bg-BG"/>
        </w:rPr>
        <w:t>Отсрочен данък върху доходите (продължение)</w:t>
      </w:r>
    </w:p>
    <w:p w14:paraId="7AF6404D" w14:textId="53CCEF8D" w:rsidR="00366AB4" w:rsidRPr="00721663" w:rsidRDefault="00366AB4" w:rsidP="00366AB4">
      <w:pPr>
        <w:pStyle w:val="Notesbodytext"/>
        <w:spacing w:line="240" w:lineRule="atLeast"/>
        <w:rPr>
          <w:rFonts w:ascii="Arial" w:hAnsi="Arial"/>
          <w:szCs w:val="18"/>
          <w:lang w:val="bg-BG"/>
        </w:rPr>
      </w:pPr>
      <w:r w:rsidRPr="00721663">
        <w:rPr>
          <w:rFonts w:ascii="Arial" w:hAnsi="Arial"/>
          <w:szCs w:val="18"/>
          <w:lang w:val="bg-BG"/>
        </w:rPr>
        <w:t>Групата извършва преглед на балансовата стойност на отсрочените данъчни активи към всяка отчетна дата и я намалява до степента, до която вече не е вероятно да бъде реализирана достатъчна облагаема печалба, която да позволява целия или част от отсрочения данъчен актив да бъде възстановен. Непризнатите отсрочени данъчни активи се преразглеждат към всяка отчетна дата и се признават до степента, до която е вероятно да бъде реализирана бъдеща облагаема печалба, която да позволи отсрочения данъчен актив да бъде възстановен.</w:t>
      </w:r>
    </w:p>
    <w:p w14:paraId="46B98825" w14:textId="344DDD90" w:rsidR="00EF39FA" w:rsidRPr="00721663" w:rsidRDefault="00DF5B69" w:rsidP="002620A7">
      <w:pPr>
        <w:pStyle w:val="Notesbodytext"/>
        <w:spacing w:line="240" w:lineRule="atLeast"/>
        <w:rPr>
          <w:rFonts w:ascii="Arial" w:hAnsi="Arial"/>
          <w:szCs w:val="18"/>
          <w:lang w:val="bg-BG"/>
        </w:rPr>
      </w:pPr>
      <w:r w:rsidRPr="00721663">
        <w:rPr>
          <w:rFonts w:ascii="Arial" w:hAnsi="Arial"/>
          <w:szCs w:val="18"/>
          <w:lang w:val="bg-BG"/>
        </w:rPr>
        <w:t xml:space="preserve">Отсрочените данъчни активи и пасиви се оценяват </w:t>
      </w:r>
      <w:r w:rsidR="00EF39FA" w:rsidRPr="00721663">
        <w:rPr>
          <w:rFonts w:ascii="Arial" w:hAnsi="Arial"/>
          <w:szCs w:val="18"/>
          <w:lang w:val="bg-BG"/>
        </w:rPr>
        <w:t>на база преценка на ръководството за среднопретеглената годишна ставка на данъка върху доходите, която се оч</w:t>
      </w:r>
      <w:r w:rsidR="00721663">
        <w:rPr>
          <w:rFonts w:ascii="Arial" w:hAnsi="Arial"/>
          <w:szCs w:val="18"/>
          <w:lang w:val="bg-BG"/>
        </w:rPr>
        <w:t>а</w:t>
      </w:r>
      <w:r w:rsidR="00EF39FA" w:rsidRPr="00721663">
        <w:rPr>
          <w:rFonts w:ascii="Arial" w:hAnsi="Arial"/>
          <w:szCs w:val="18"/>
          <w:lang w:val="bg-BG"/>
        </w:rPr>
        <w:t xml:space="preserve">ква за цялата финансова година. </w:t>
      </w:r>
      <w:r w:rsidR="00EF39FA" w:rsidRPr="00721663">
        <w:rPr>
          <w:rFonts w:ascii="Arial" w:hAnsi="Arial"/>
          <w:lang w:val="bg-BG"/>
        </w:rPr>
        <w:t xml:space="preserve">Среднопретеглената ставката на данъка върху доходите за годината, приключваща на 31 декември </w:t>
      </w:r>
      <w:r w:rsidR="00063780">
        <w:rPr>
          <w:rFonts w:ascii="Arial" w:hAnsi="Arial"/>
          <w:lang w:val="bg-BG"/>
        </w:rPr>
        <w:t>2016</w:t>
      </w:r>
      <w:r w:rsidR="00EF39FA" w:rsidRPr="00721663">
        <w:rPr>
          <w:rFonts w:ascii="Arial" w:hAnsi="Arial"/>
          <w:lang w:val="bg-BG"/>
        </w:rPr>
        <w:t xml:space="preserve"> г., както и за шестмесечния п</w:t>
      </w:r>
      <w:r w:rsidR="00BE26FA" w:rsidRPr="00721663">
        <w:rPr>
          <w:rFonts w:ascii="Arial" w:hAnsi="Arial"/>
          <w:lang w:val="bg-BG"/>
        </w:rPr>
        <w:t xml:space="preserve">ериод, приключващ на </w:t>
      </w:r>
      <w:r w:rsidR="00144930">
        <w:rPr>
          <w:rFonts w:ascii="Arial" w:hAnsi="Arial"/>
          <w:lang w:val="bg-BG"/>
        </w:rPr>
        <w:t>30 юни 2016</w:t>
      </w:r>
      <w:r w:rsidR="00EF39FA" w:rsidRPr="00721663">
        <w:rPr>
          <w:rFonts w:ascii="Arial" w:hAnsi="Arial"/>
          <w:lang w:val="bg-BG"/>
        </w:rPr>
        <w:t xml:space="preserve"> е 10%.</w:t>
      </w:r>
    </w:p>
    <w:p w14:paraId="56A8D8AB" w14:textId="77777777" w:rsidR="002620A7" w:rsidRPr="00721663" w:rsidRDefault="002620A7" w:rsidP="002620A7">
      <w:pPr>
        <w:pStyle w:val="Notesbodytext"/>
        <w:spacing w:line="240" w:lineRule="atLeast"/>
        <w:rPr>
          <w:rFonts w:ascii="Arial" w:hAnsi="Arial"/>
          <w:szCs w:val="18"/>
          <w:lang w:val="bg-BG"/>
        </w:rPr>
      </w:pPr>
      <w:r w:rsidRPr="00721663">
        <w:rPr>
          <w:rFonts w:ascii="Arial" w:hAnsi="Arial"/>
          <w:szCs w:val="18"/>
          <w:lang w:val="bg-BG"/>
        </w:rPr>
        <w:t>Групата компенсира отсрочени данъчни активи и пасиви само тогава, когато има законово право да приспада текущи данъчни активи срещу текущи данъчни пасиви и отсрочените данъчни активи и пасиви се отнасят към данъци върху дохода, наложени от един и същ данъчен орган на едно и също данъчнозадължено предприятие.</w:t>
      </w:r>
    </w:p>
    <w:p w14:paraId="268D012C" w14:textId="77777777" w:rsidR="00A43400" w:rsidRPr="00721663" w:rsidRDefault="00DF5B69" w:rsidP="002620A7">
      <w:pPr>
        <w:pStyle w:val="Notesitalicheading"/>
        <w:spacing w:after="120" w:line="240" w:lineRule="atLeast"/>
        <w:rPr>
          <w:rFonts w:ascii="Arial" w:hAnsi="Arial"/>
          <w:lang w:val="bg-BG"/>
        </w:rPr>
      </w:pPr>
      <w:r w:rsidRPr="00721663">
        <w:rPr>
          <w:rFonts w:ascii="Arial" w:hAnsi="Arial"/>
          <w:lang w:val="bg-BG"/>
        </w:rPr>
        <w:t>Данък върху добавената стойност (ДДС)</w:t>
      </w:r>
    </w:p>
    <w:p w14:paraId="0A72C1CA" w14:textId="77777777" w:rsidR="00A43400" w:rsidRPr="00721663" w:rsidRDefault="00DF5B69" w:rsidP="002620A7">
      <w:pPr>
        <w:pStyle w:val="Notesbodytext"/>
        <w:spacing w:line="240" w:lineRule="atLeast"/>
        <w:rPr>
          <w:rFonts w:ascii="Arial" w:hAnsi="Arial"/>
          <w:szCs w:val="18"/>
          <w:lang w:val="bg-BG"/>
        </w:rPr>
      </w:pPr>
      <w:r w:rsidRPr="00721663">
        <w:rPr>
          <w:rFonts w:ascii="Arial" w:hAnsi="Arial"/>
          <w:szCs w:val="18"/>
          <w:lang w:val="bg-BG"/>
        </w:rPr>
        <w:t>Приходите, разходите и активите се признават нетно от ДДС, с изключение на случаите, когато:</w:t>
      </w:r>
    </w:p>
    <w:p w14:paraId="6F811CD3" w14:textId="77777777" w:rsidR="00236460" w:rsidRPr="00721663" w:rsidRDefault="00DF5B69" w:rsidP="002620A7">
      <w:pPr>
        <w:pStyle w:val="tablebullet"/>
        <w:tabs>
          <w:tab w:val="clear" w:pos="1088"/>
        </w:tabs>
        <w:spacing w:line="240" w:lineRule="atLeast"/>
        <w:ind w:left="284" w:hanging="284"/>
        <w:rPr>
          <w:rFonts w:ascii="Arial" w:hAnsi="Arial" w:cs="Arial"/>
          <w:color w:val="000000"/>
          <w:lang w:val="bg-BG"/>
        </w:rPr>
      </w:pPr>
      <w:r w:rsidRPr="00721663">
        <w:rPr>
          <w:rFonts w:ascii="Arial" w:hAnsi="Arial" w:cs="Arial"/>
          <w:color w:val="000000"/>
          <w:lang w:val="bg-BG"/>
        </w:rPr>
        <w:t xml:space="preserve">ДДС, възникващ при покупка на активи или услуги не е възстановим от данъчните власти, в който случай ДДС се признава като част от цената на придобиване на актива или като част от съответната разходна позиция, както това е уместно; </w:t>
      </w:r>
    </w:p>
    <w:p w14:paraId="473BBE91" w14:textId="77777777" w:rsidR="00F54E83" w:rsidRPr="00721663" w:rsidRDefault="00DF5B69" w:rsidP="002620A7">
      <w:pPr>
        <w:pStyle w:val="tablebullet"/>
        <w:tabs>
          <w:tab w:val="clear" w:pos="1088"/>
        </w:tabs>
        <w:spacing w:after="120" w:line="240" w:lineRule="atLeast"/>
        <w:ind w:left="284" w:hanging="284"/>
        <w:rPr>
          <w:rFonts w:ascii="Arial" w:hAnsi="Arial" w:cs="Arial"/>
          <w:color w:val="000000"/>
          <w:lang w:val="bg-BG"/>
        </w:rPr>
      </w:pPr>
      <w:r w:rsidRPr="00721663">
        <w:rPr>
          <w:rFonts w:ascii="Arial" w:hAnsi="Arial" w:cs="Arial"/>
          <w:color w:val="000000"/>
          <w:lang w:val="bg-BG"/>
        </w:rPr>
        <w:t>вземанията и задълженията, които се отчитат с включен ДДС.</w:t>
      </w:r>
    </w:p>
    <w:p w14:paraId="5A0A9A83" w14:textId="77777777" w:rsidR="003E4F77" w:rsidRPr="00721663" w:rsidRDefault="00DF5B69" w:rsidP="002620A7">
      <w:pPr>
        <w:pStyle w:val="Notesbodytext"/>
        <w:spacing w:line="240" w:lineRule="atLeast"/>
        <w:rPr>
          <w:rFonts w:ascii="Arial" w:hAnsi="Arial"/>
          <w:szCs w:val="18"/>
          <w:lang w:val="bg-BG"/>
        </w:rPr>
      </w:pPr>
      <w:bookmarkStart w:id="8" w:name="_Toc41821552"/>
      <w:bookmarkStart w:id="9" w:name="_Toc42068622"/>
      <w:bookmarkStart w:id="10" w:name="_Toc69107803"/>
      <w:r w:rsidRPr="00721663">
        <w:rPr>
          <w:rFonts w:ascii="Arial" w:hAnsi="Arial"/>
          <w:szCs w:val="18"/>
          <w:lang w:val="bg-BG"/>
        </w:rPr>
        <w:t>Нетната сума на ДДС, възстановима от или дължима на данъчните власти, се включва в стойността на вземанията или задълженията в отчета за финансовото състояние.</w:t>
      </w:r>
    </w:p>
    <w:bookmarkEnd w:id="8"/>
    <w:bookmarkEnd w:id="9"/>
    <w:bookmarkEnd w:id="10"/>
    <w:p w14:paraId="63D68BA0" w14:textId="77777777" w:rsidR="00300B7C" w:rsidRPr="00721663" w:rsidRDefault="00DF5B69" w:rsidP="002620A7">
      <w:pPr>
        <w:pStyle w:val="bluesubhead"/>
        <w:tabs>
          <w:tab w:val="left" w:pos="7080"/>
        </w:tabs>
        <w:spacing w:after="120" w:line="240" w:lineRule="atLeast"/>
        <w:rPr>
          <w:rFonts w:ascii="Arial" w:hAnsi="Arial" w:cs="Arial"/>
          <w:color w:val="auto"/>
          <w:sz w:val="18"/>
          <w:szCs w:val="18"/>
          <w:lang w:val="bg-BG"/>
        </w:rPr>
      </w:pPr>
      <w:r w:rsidRPr="00721663">
        <w:rPr>
          <w:rFonts w:ascii="Arial" w:hAnsi="Arial" w:cs="Arial"/>
          <w:color w:val="auto"/>
          <w:sz w:val="18"/>
          <w:szCs w:val="18"/>
          <w:lang w:val="bg-BG"/>
        </w:rPr>
        <w:t>Имоти, машини и съоръжения</w:t>
      </w:r>
    </w:p>
    <w:p w14:paraId="3FF4808A" w14:textId="77777777" w:rsidR="0052564C" w:rsidRDefault="0052564C" w:rsidP="0052564C">
      <w:pPr>
        <w:spacing w:before="80" w:after="120"/>
        <w:jc w:val="left"/>
        <w:rPr>
          <w:rFonts w:ascii="Arial" w:hAnsi="Arial" w:cs="Arial"/>
          <w:sz w:val="18"/>
          <w:szCs w:val="18"/>
          <w:lang w:val="bg-BG"/>
        </w:rPr>
      </w:pPr>
      <w:r>
        <w:rPr>
          <w:rFonts w:ascii="Arial" w:hAnsi="Arial" w:cs="Arial"/>
          <w:sz w:val="18"/>
          <w:szCs w:val="18"/>
          <w:lang w:val="bg-BG"/>
        </w:rPr>
        <w:t>Имотите, машините и съоръженията се отчитат по цена на придобиване, намалена с натрупаните амортизации и загуби от обезценка, в случай че има такива.</w:t>
      </w:r>
    </w:p>
    <w:p w14:paraId="21F40859" w14:textId="77777777" w:rsidR="0052564C" w:rsidRDefault="0052564C" w:rsidP="0052564C">
      <w:pPr>
        <w:spacing w:before="80" w:after="120"/>
        <w:jc w:val="left"/>
        <w:rPr>
          <w:rFonts w:ascii="Arial" w:hAnsi="Arial" w:cs="Arial"/>
          <w:bCs/>
          <w:sz w:val="18"/>
          <w:szCs w:val="18"/>
          <w:lang w:val="bg-BG"/>
        </w:rPr>
      </w:pPr>
      <w:r>
        <w:rPr>
          <w:rFonts w:ascii="Arial" w:hAnsi="Arial" w:cs="Arial"/>
          <w:bCs/>
          <w:sz w:val="18"/>
          <w:szCs w:val="18"/>
          <w:lang w:val="bg-BG"/>
        </w:rPr>
        <w:t>При първоначално придобиване имотите, машините и съоръженията се признават по цена на придобиване, която включва покупната цена (включително вносните мита и невъзстановимите данъци) и всички преки разходи по въвеждане на актива в състояние, годно за употреба по предназначение. Всички последващи разходи, свързани с отделни имоти, машини и съоръжения като ремонт и поддръжка, се признават за текущи през периода, в който са направени. Когато може да бъде доказано, че последващите разходи водят до увеличаване на икономическата изгода над първоначално оценената ефективност от използването на актива, същите се прибавят към стойността му.</w:t>
      </w:r>
    </w:p>
    <w:p w14:paraId="29F10C7C" w14:textId="77777777" w:rsidR="0052564C" w:rsidRDefault="0052564C" w:rsidP="0052564C">
      <w:pPr>
        <w:spacing w:before="80" w:after="120"/>
        <w:jc w:val="left"/>
        <w:rPr>
          <w:rFonts w:ascii="Arial" w:hAnsi="Arial" w:cs="Arial"/>
          <w:bCs/>
          <w:sz w:val="18"/>
          <w:szCs w:val="18"/>
          <w:lang w:val="bg-BG"/>
        </w:rPr>
      </w:pPr>
      <w:r>
        <w:rPr>
          <w:rFonts w:ascii="Arial" w:hAnsi="Arial" w:cs="Arial"/>
          <w:bCs/>
          <w:sz w:val="18"/>
          <w:szCs w:val="18"/>
          <w:lang w:val="bg-BG"/>
        </w:rPr>
        <w:t>Амортизациите се изчисляват на база на линейния метод за срока на полезния живот на активите. Амортизационните норми на основните групи имоти, машини и съоръжения са, както следва:</w:t>
      </w:r>
    </w:p>
    <w:tbl>
      <w:tblPr>
        <w:tblW w:w="8781" w:type="dxa"/>
        <w:tblInd w:w="8" w:type="dxa"/>
        <w:tblLayout w:type="fixed"/>
        <w:tblCellMar>
          <w:left w:w="0" w:type="dxa"/>
          <w:right w:w="0" w:type="dxa"/>
        </w:tblCellMar>
        <w:tblLook w:val="0000" w:firstRow="0" w:lastRow="0" w:firstColumn="0" w:lastColumn="0" w:noHBand="0" w:noVBand="0"/>
      </w:tblPr>
      <w:tblGrid>
        <w:gridCol w:w="5379"/>
        <w:gridCol w:w="142"/>
        <w:gridCol w:w="3260"/>
      </w:tblGrid>
      <w:tr w:rsidR="00300B7C" w:rsidRPr="00721663" w14:paraId="6256FE7F" w14:textId="77777777" w:rsidTr="002B7BDF">
        <w:trPr>
          <w:cantSplit/>
          <w:trHeight w:hRule="exact" w:val="284"/>
        </w:trPr>
        <w:tc>
          <w:tcPr>
            <w:tcW w:w="5379" w:type="dxa"/>
            <w:vAlign w:val="bottom"/>
          </w:tcPr>
          <w:p w14:paraId="0AFE3F03" w14:textId="77777777" w:rsidR="00300B7C" w:rsidRPr="00721663" w:rsidRDefault="00300B7C" w:rsidP="002B7BDF">
            <w:pPr>
              <w:ind w:right="162"/>
              <w:rPr>
                <w:rFonts w:ascii="Arial" w:hAnsi="Arial" w:cs="Arial"/>
                <w:bCs/>
                <w:sz w:val="18"/>
                <w:szCs w:val="18"/>
                <w:lang w:val="bg-BG"/>
              </w:rPr>
            </w:pPr>
          </w:p>
        </w:tc>
        <w:tc>
          <w:tcPr>
            <w:tcW w:w="142" w:type="dxa"/>
          </w:tcPr>
          <w:p w14:paraId="56C40020" w14:textId="77777777" w:rsidR="00300B7C" w:rsidRPr="00721663" w:rsidRDefault="00300B7C" w:rsidP="002B7BDF">
            <w:pPr>
              <w:ind w:right="-18"/>
              <w:jc w:val="center"/>
              <w:rPr>
                <w:rFonts w:ascii="Arial" w:hAnsi="Arial" w:cs="Arial"/>
                <w:bCs/>
                <w:sz w:val="18"/>
                <w:szCs w:val="18"/>
                <w:lang w:val="bg-BG"/>
              </w:rPr>
            </w:pPr>
          </w:p>
        </w:tc>
        <w:tc>
          <w:tcPr>
            <w:tcW w:w="3260" w:type="dxa"/>
            <w:tcBorders>
              <w:bottom w:val="single" w:sz="4" w:space="0" w:color="auto"/>
            </w:tcBorders>
            <w:vAlign w:val="bottom"/>
          </w:tcPr>
          <w:p w14:paraId="3845A1A5" w14:textId="77777777" w:rsidR="00300B7C" w:rsidRPr="00721663" w:rsidRDefault="00EA5F6F" w:rsidP="002B7BDF">
            <w:pPr>
              <w:ind w:right="-18"/>
              <w:jc w:val="center"/>
              <w:rPr>
                <w:rFonts w:ascii="Arial" w:hAnsi="Arial" w:cs="Arial"/>
                <w:bCs/>
                <w:sz w:val="18"/>
                <w:szCs w:val="18"/>
                <w:lang w:val="bg-BG"/>
              </w:rPr>
            </w:pPr>
            <w:r w:rsidRPr="00721663">
              <w:rPr>
                <w:rFonts w:ascii="Arial" w:hAnsi="Arial" w:cs="Arial"/>
                <w:bCs/>
                <w:sz w:val="18"/>
                <w:szCs w:val="18"/>
                <w:lang w:val="bg-BG"/>
              </w:rPr>
              <w:t>Годишни амортизационни норми</w:t>
            </w:r>
          </w:p>
        </w:tc>
      </w:tr>
      <w:tr w:rsidR="00300B7C" w:rsidRPr="00721663" w14:paraId="5CDC33F1" w14:textId="77777777" w:rsidTr="002B7BDF">
        <w:trPr>
          <w:cantSplit/>
          <w:trHeight w:hRule="exact" w:val="100"/>
        </w:trPr>
        <w:tc>
          <w:tcPr>
            <w:tcW w:w="5379" w:type="dxa"/>
          </w:tcPr>
          <w:p w14:paraId="3E6E39E2" w14:textId="77777777" w:rsidR="00300B7C" w:rsidRPr="00721663" w:rsidRDefault="00300B7C" w:rsidP="002B7BDF">
            <w:pPr>
              <w:ind w:right="162"/>
              <w:rPr>
                <w:rFonts w:ascii="Arial" w:hAnsi="Arial" w:cs="Arial"/>
                <w:bCs/>
                <w:sz w:val="18"/>
                <w:szCs w:val="18"/>
                <w:lang w:val="bg-BG"/>
              </w:rPr>
            </w:pPr>
          </w:p>
        </w:tc>
        <w:tc>
          <w:tcPr>
            <w:tcW w:w="142" w:type="dxa"/>
          </w:tcPr>
          <w:p w14:paraId="25AF7496" w14:textId="77777777" w:rsidR="00300B7C" w:rsidRPr="00721663" w:rsidRDefault="00300B7C" w:rsidP="002B7BDF">
            <w:pPr>
              <w:ind w:right="-18"/>
              <w:jc w:val="center"/>
              <w:rPr>
                <w:rFonts w:ascii="Arial" w:hAnsi="Arial" w:cs="Arial"/>
                <w:bCs/>
                <w:sz w:val="18"/>
                <w:szCs w:val="18"/>
                <w:lang w:val="bg-BG"/>
              </w:rPr>
            </w:pPr>
          </w:p>
        </w:tc>
        <w:tc>
          <w:tcPr>
            <w:tcW w:w="3260" w:type="dxa"/>
            <w:tcBorders>
              <w:top w:val="single" w:sz="4" w:space="0" w:color="auto"/>
            </w:tcBorders>
            <w:vAlign w:val="center"/>
          </w:tcPr>
          <w:p w14:paraId="57185E08" w14:textId="77777777" w:rsidR="00300B7C" w:rsidRPr="00721663" w:rsidRDefault="00300B7C" w:rsidP="002B7BDF">
            <w:pPr>
              <w:ind w:right="-18"/>
              <w:jc w:val="center"/>
              <w:rPr>
                <w:rFonts w:ascii="Arial" w:hAnsi="Arial" w:cs="Arial"/>
                <w:bCs/>
                <w:sz w:val="18"/>
                <w:szCs w:val="18"/>
                <w:lang w:val="bg-BG"/>
              </w:rPr>
            </w:pPr>
          </w:p>
        </w:tc>
      </w:tr>
      <w:tr w:rsidR="00300B7C" w:rsidRPr="00721663" w14:paraId="11F20B8A" w14:textId="77777777" w:rsidTr="002B7BDF">
        <w:trPr>
          <w:cantSplit/>
          <w:trHeight w:val="284"/>
        </w:trPr>
        <w:tc>
          <w:tcPr>
            <w:tcW w:w="5379" w:type="dxa"/>
            <w:vAlign w:val="center"/>
          </w:tcPr>
          <w:p w14:paraId="06C198FE" w14:textId="77777777" w:rsidR="00300B7C" w:rsidRPr="00721663" w:rsidRDefault="00EA5F6F" w:rsidP="002B7BDF">
            <w:pPr>
              <w:ind w:right="162"/>
              <w:rPr>
                <w:rFonts w:ascii="Arial" w:hAnsi="Arial" w:cs="Arial"/>
                <w:bCs/>
                <w:sz w:val="18"/>
                <w:szCs w:val="18"/>
                <w:lang w:val="bg-BG"/>
              </w:rPr>
            </w:pPr>
            <w:r w:rsidRPr="00721663">
              <w:rPr>
                <w:rFonts w:ascii="Arial" w:hAnsi="Arial" w:cs="Arial"/>
                <w:bCs/>
                <w:sz w:val="18"/>
                <w:szCs w:val="18"/>
                <w:lang w:val="bg-BG"/>
              </w:rPr>
              <w:t>Компютърно оборудване</w:t>
            </w:r>
          </w:p>
        </w:tc>
        <w:tc>
          <w:tcPr>
            <w:tcW w:w="142" w:type="dxa"/>
          </w:tcPr>
          <w:p w14:paraId="4C170617" w14:textId="77777777" w:rsidR="00300B7C" w:rsidRPr="00721663" w:rsidRDefault="00300B7C" w:rsidP="002B7BDF">
            <w:pPr>
              <w:ind w:right="-18"/>
              <w:jc w:val="center"/>
              <w:rPr>
                <w:rFonts w:ascii="Arial" w:hAnsi="Arial" w:cs="Arial"/>
                <w:bCs/>
                <w:sz w:val="18"/>
                <w:szCs w:val="18"/>
                <w:lang w:val="bg-BG"/>
              </w:rPr>
            </w:pPr>
          </w:p>
        </w:tc>
        <w:tc>
          <w:tcPr>
            <w:tcW w:w="3260" w:type="dxa"/>
            <w:vAlign w:val="center"/>
          </w:tcPr>
          <w:p w14:paraId="2A517494" w14:textId="77777777" w:rsidR="00300B7C" w:rsidRPr="00721663" w:rsidRDefault="00300B7C" w:rsidP="00226D72">
            <w:pPr>
              <w:ind w:right="182"/>
              <w:jc w:val="right"/>
              <w:rPr>
                <w:rFonts w:ascii="Arial" w:hAnsi="Arial" w:cs="Arial"/>
                <w:bCs/>
                <w:sz w:val="18"/>
                <w:szCs w:val="18"/>
                <w:lang w:val="bg-BG"/>
              </w:rPr>
            </w:pPr>
            <w:r w:rsidRPr="00721663">
              <w:rPr>
                <w:rFonts w:ascii="Arial" w:hAnsi="Arial" w:cs="Arial"/>
                <w:bCs/>
                <w:sz w:val="18"/>
                <w:szCs w:val="18"/>
                <w:lang w:val="bg-BG"/>
              </w:rPr>
              <w:t>50%</w:t>
            </w:r>
          </w:p>
        </w:tc>
      </w:tr>
      <w:tr w:rsidR="00300B7C" w:rsidRPr="00721663" w14:paraId="6A8D334F" w14:textId="77777777" w:rsidTr="002B7BDF">
        <w:trPr>
          <w:cantSplit/>
          <w:trHeight w:val="284"/>
        </w:trPr>
        <w:tc>
          <w:tcPr>
            <w:tcW w:w="5379" w:type="dxa"/>
            <w:vAlign w:val="center"/>
          </w:tcPr>
          <w:p w14:paraId="0DB16256" w14:textId="77777777" w:rsidR="00300B7C" w:rsidRPr="00721663" w:rsidRDefault="004E1CD2" w:rsidP="002B7BDF">
            <w:pPr>
              <w:ind w:right="162"/>
              <w:rPr>
                <w:rFonts w:ascii="Arial" w:hAnsi="Arial" w:cs="Arial"/>
                <w:bCs/>
                <w:sz w:val="18"/>
                <w:szCs w:val="18"/>
                <w:lang w:val="bg-BG"/>
              </w:rPr>
            </w:pPr>
            <w:r w:rsidRPr="00721663">
              <w:rPr>
                <w:rFonts w:ascii="Arial" w:hAnsi="Arial" w:cs="Arial"/>
                <w:bCs/>
                <w:sz w:val="18"/>
                <w:szCs w:val="18"/>
                <w:lang w:val="bg-BG"/>
              </w:rPr>
              <w:t>Автомобили</w:t>
            </w:r>
          </w:p>
        </w:tc>
        <w:tc>
          <w:tcPr>
            <w:tcW w:w="142" w:type="dxa"/>
          </w:tcPr>
          <w:p w14:paraId="69162F5E" w14:textId="77777777" w:rsidR="00300B7C" w:rsidRPr="00721663" w:rsidRDefault="00300B7C" w:rsidP="002B7BDF">
            <w:pPr>
              <w:ind w:right="-18"/>
              <w:jc w:val="center"/>
              <w:rPr>
                <w:rFonts w:ascii="Arial" w:hAnsi="Arial" w:cs="Arial"/>
                <w:bCs/>
                <w:sz w:val="18"/>
                <w:szCs w:val="18"/>
                <w:lang w:val="bg-BG"/>
              </w:rPr>
            </w:pPr>
          </w:p>
        </w:tc>
        <w:tc>
          <w:tcPr>
            <w:tcW w:w="3260" w:type="dxa"/>
            <w:vAlign w:val="center"/>
          </w:tcPr>
          <w:p w14:paraId="132416D9" w14:textId="77777777" w:rsidR="00300B7C" w:rsidRPr="00721663" w:rsidRDefault="00300B7C" w:rsidP="00226D72">
            <w:pPr>
              <w:ind w:right="182"/>
              <w:jc w:val="right"/>
              <w:rPr>
                <w:rFonts w:ascii="Arial" w:hAnsi="Arial" w:cs="Arial"/>
                <w:bCs/>
                <w:sz w:val="18"/>
                <w:szCs w:val="18"/>
                <w:lang w:val="bg-BG"/>
              </w:rPr>
            </w:pPr>
            <w:r w:rsidRPr="00721663">
              <w:rPr>
                <w:rFonts w:ascii="Arial" w:hAnsi="Arial" w:cs="Arial"/>
                <w:bCs/>
                <w:sz w:val="18"/>
                <w:szCs w:val="18"/>
                <w:lang w:val="bg-BG"/>
              </w:rPr>
              <w:t>25%</w:t>
            </w:r>
          </w:p>
        </w:tc>
      </w:tr>
      <w:tr w:rsidR="00300B7C" w:rsidRPr="00721663" w14:paraId="3EB5C76F" w14:textId="77777777" w:rsidTr="002B7BDF">
        <w:trPr>
          <w:cantSplit/>
          <w:trHeight w:val="284"/>
        </w:trPr>
        <w:tc>
          <w:tcPr>
            <w:tcW w:w="5379" w:type="dxa"/>
            <w:vAlign w:val="center"/>
          </w:tcPr>
          <w:p w14:paraId="45F64B8B" w14:textId="77777777" w:rsidR="00300B7C" w:rsidRPr="00721663" w:rsidRDefault="00721663" w:rsidP="002B7BDF">
            <w:pPr>
              <w:ind w:right="162"/>
              <w:rPr>
                <w:rFonts w:ascii="Arial" w:hAnsi="Arial" w:cs="Arial"/>
                <w:bCs/>
                <w:sz w:val="18"/>
                <w:szCs w:val="18"/>
                <w:lang w:val="bg-BG"/>
              </w:rPr>
            </w:pPr>
            <w:r>
              <w:rPr>
                <w:rFonts w:ascii="Arial" w:hAnsi="Arial" w:cs="Arial"/>
                <w:bCs/>
                <w:sz w:val="18"/>
                <w:szCs w:val="18"/>
                <w:lang w:val="bg-BG"/>
              </w:rPr>
              <w:t>Машини</w:t>
            </w:r>
            <w:r w:rsidR="00EA5F6F" w:rsidRPr="00721663">
              <w:rPr>
                <w:rFonts w:ascii="Arial" w:hAnsi="Arial" w:cs="Arial"/>
                <w:bCs/>
                <w:sz w:val="18"/>
                <w:szCs w:val="18"/>
                <w:lang w:val="bg-BG"/>
              </w:rPr>
              <w:t xml:space="preserve"> и съоръжения (Електрически ветрогенератор</w:t>
            </w:r>
            <w:r w:rsidR="0036276F" w:rsidRPr="00721663">
              <w:rPr>
                <w:rFonts w:ascii="Arial" w:hAnsi="Arial" w:cs="Arial"/>
                <w:bCs/>
                <w:sz w:val="18"/>
                <w:szCs w:val="18"/>
                <w:lang w:val="bg-BG"/>
              </w:rPr>
              <w:t>и</w:t>
            </w:r>
            <w:r w:rsidR="00EA5F6F" w:rsidRPr="00721663">
              <w:rPr>
                <w:rFonts w:ascii="Arial" w:hAnsi="Arial" w:cs="Arial"/>
                <w:bCs/>
                <w:sz w:val="18"/>
                <w:szCs w:val="18"/>
                <w:lang w:val="bg-BG"/>
              </w:rPr>
              <w:t>)</w:t>
            </w:r>
          </w:p>
        </w:tc>
        <w:tc>
          <w:tcPr>
            <w:tcW w:w="142" w:type="dxa"/>
          </w:tcPr>
          <w:p w14:paraId="14BCF847" w14:textId="77777777" w:rsidR="00300B7C" w:rsidRPr="00721663" w:rsidRDefault="00300B7C" w:rsidP="002B7BDF">
            <w:pPr>
              <w:ind w:right="-18"/>
              <w:jc w:val="center"/>
              <w:rPr>
                <w:rFonts w:ascii="Arial" w:hAnsi="Arial" w:cs="Arial"/>
                <w:bCs/>
                <w:sz w:val="18"/>
                <w:szCs w:val="18"/>
                <w:lang w:val="bg-BG"/>
              </w:rPr>
            </w:pPr>
          </w:p>
        </w:tc>
        <w:tc>
          <w:tcPr>
            <w:tcW w:w="3260" w:type="dxa"/>
            <w:vAlign w:val="center"/>
          </w:tcPr>
          <w:p w14:paraId="308D7B09" w14:textId="77777777" w:rsidR="00300B7C" w:rsidRPr="00721663" w:rsidRDefault="00300B7C" w:rsidP="00226D72">
            <w:pPr>
              <w:ind w:right="182"/>
              <w:jc w:val="right"/>
              <w:rPr>
                <w:rFonts w:ascii="Arial" w:hAnsi="Arial" w:cs="Arial"/>
                <w:bCs/>
                <w:sz w:val="18"/>
                <w:szCs w:val="18"/>
                <w:lang w:val="bg-BG"/>
              </w:rPr>
            </w:pPr>
            <w:r w:rsidRPr="00721663">
              <w:rPr>
                <w:rFonts w:ascii="Arial" w:hAnsi="Arial" w:cs="Arial"/>
                <w:bCs/>
                <w:sz w:val="18"/>
                <w:szCs w:val="18"/>
                <w:lang w:val="bg-BG"/>
              </w:rPr>
              <w:t>4%</w:t>
            </w:r>
          </w:p>
        </w:tc>
      </w:tr>
      <w:tr w:rsidR="00300B7C" w:rsidRPr="00721663" w14:paraId="3A9FAC32" w14:textId="77777777" w:rsidTr="002B7BDF">
        <w:trPr>
          <w:cantSplit/>
          <w:trHeight w:val="284"/>
        </w:trPr>
        <w:tc>
          <w:tcPr>
            <w:tcW w:w="5379" w:type="dxa"/>
            <w:vAlign w:val="center"/>
          </w:tcPr>
          <w:p w14:paraId="5EB0CBE2" w14:textId="77777777" w:rsidR="00300B7C" w:rsidRPr="00721663" w:rsidRDefault="00EA5F6F" w:rsidP="002B7BDF">
            <w:pPr>
              <w:ind w:right="162"/>
              <w:rPr>
                <w:rFonts w:ascii="Arial" w:hAnsi="Arial" w:cs="Arial"/>
                <w:bCs/>
                <w:sz w:val="18"/>
                <w:szCs w:val="18"/>
                <w:lang w:val="bg-BG"/>
              </w:rPr>
            </w:pPr>
            <w:r w:rsidRPr="00721663">
              <w:rPr>
                <w:rFonts w:ascii="Arial" w:hAnsi="Arial" w:cs="Arial"/>
                <w:bCs/>
                <w:sz w:val="18"/>
                <w:szCs w:val="18"/>
                <w:lang w:val="bg-BG"/>
              </w:rPr>
              <w:t>Земя</w:t>
            </w:r>
          </w:p>
        </w:tc>
        <w:tc>
          <w:tcPr>
            <w:tcW w:w="142" w:type="dxa"/>
          </w:tcPr>
          <w:p w14:paraId="3F8A7FC8" w14:textId="77777777" w:rsidR="00300B7C" w:rsidRPr="00721663" w:rsidRDefault="00300B7C" w:rsidP="002B7BDF">
            <w:pPr>
              <w:ind w:right="-18"/>
              <w:jc w:val="center"/>
              <w:rPr>
                <w:rFonts w:ascii="Arial" w:hAnsi="Arial" w:cs="Arial"/>
                <w:bCs/>
                <w:sz w:val="18"/>
                <w:szCs w:val="18"/>
                <w:lang w:val="bg-BG"/>
              </w:rPr>
            </w:pPr>
          </w:p>
        </w:tc>
        <w:tc>
          <w:tcPr>
            <w:tcW w:w="3260" w:type="dxa"/>
            <w:vAlign w:val="center"/>
          </w:tcPr>
          <w:p w14:paraId="3F54FDF6" w14:textId="77777777" w:rsidR="00300B7C" w:rsidRPr="00721663" w:rsidRDefault="00EA5F6F" w:rsidP="00226D72">
            <w:pPr>
              <w:ind w:right="182"/>
              <w:jc w:val="right"/>
              <w:rPr>
                <w:rFonts w:ascii="Arial" w:hAnsi="Arial" w:cs="Arial"/>
                <w:bCs/>
                <w:sz w:val="18"/>
                <w:szCs w:val="18"/>
                <w:lang w:val="bg-BG"/>
              </w:rPr>
            </w:pPr>
            <w:r w:rsidRPr="00721663">
              <w:rPr>
                <w:rFonts w:ascii="Arial" w:hAnsi="Arial" w:cs="Arial"/>
                <w:bCs/>
                <w:sz w:val="18"/>
                <w:szCs w:val="18"/>
                <w:lang w:val="bg-BG"/>
              </w:rPr>
              <w:t>Не се амортизира</w:t>
            </w:r>
          </w:p>
        </w:tc>
      </w:tr>
    </w:tbl>
    <w:p w14:paraId="1D1C12E9" w14:textId="77777777" w:rsidR="00B039C6" w:rsidRDefault="00B039C6" w:rsidP="00B039C6">
      <w:pPr>
        <w:pStyle w:val="tabletxteyg"/>
        <w:spacing w:before="120" w:after="120"/>
        <w:rPr>
          <w:rFonts w:ascii="Arial" w:hAnsi="Arial" w:cs="Arial"/>
          <w:bCs/>
          <w:color w:val="auto"/>
          <w:sz w:val="18"/>
          <w:szCs w:val="18"/>
          <w:lang w:val="bg-BG"/>
        </w:rPr>
      </w:pPr>
      <w:r>
        <w:rPr>
          <w:rFonts w:ascii="Arial" w:hAnsi="Arial" w:cs="Arial"/>
          <w:bCs/>
          <w:color w:val="auto"/>
          <w:sz w:val="18"/>
          <w:szCs w:val="18"/>
          <w:lang w:val="bg-BG"/>
        </w:rPr>
        <w:t>Имот, машина или съоръжение се отписва при продажбата му, когато не се очакват бъдещи икономически изгоди от неговото използване или при освобождаване от него. Печалбите или загубите, възникващи при отписването на актива (представляващи разликата между нетните постъпления от продажбата, ако има такива, и балансовата стойност на актива), се включват в отчета за доходите в годината, в която активът бъде отписан.</w:t>
      </w:r>
    </w:p>
    <w:p w14:paraId="47D5E514" w14:textId="7453719F" w:rsidR="00712A27" w:rsidRPr="00721663" w:rsidRDefault="00B039C6" w:rsidP="00680E2F">
      <w:pPr>
        <w:pStyle w:val="bluesubhead"/>
        <w:spacing w:before="120" w:after="120"/>
        <w:rPr>
          <w:rFonts w:ascii="Arial" w:hAnsi="Arial" w:cs="Arial"/>
          <w:b w:val="0"/>
          <w:lang w:val="bg-BG"/>
        </w:rPr>
      </w:pPr>
      <w:r>
        <w:rPr>
          <w:rFonts w:ascii="Arial" w:hAnsi="Arial" w:cs="Arial"/>
          <w:b w:val="0"/>
          <w:bCs/>
          <w:color w:val="auto"/>
          <w:sz w:val="18"/>
          <w:szCs w:val="18"/>
          <w:lang w:val="bg-BG"/>
        </w:rPr>
        <w:t>В края на всяка финансова година се извършва преглед на остатъчните стойности, полезния живот и прилаганите методи на амортизация на активите, и ако е необходимо, последните се променят.</w:t>
      </w:r>
      <w:r w:rsidR="00712A27" w:rsidRPr="00721663">
        <w:rPr>
          <w:rFonts w:ascii="Arial" w:hAnsi="Arial" w:cs="Arial"/>
          <w:lang w:val="bg-BG"/>
        </w:rPr>
        <w:br w:type="page"/>
      </w:r>
    </w:p>
    <w:p w14:paraId="73C20801" w14:textId="77777777" w:rsidR="00712A27" w:rsidRPr="00721663" w:rsidRDefault="00712A27" w:rsidP="00712A27">
      <w:pPr>
        <w:spacing w:line="240" w:lineRule="auto"/>
        <w:jc w:val="left"/>
        <w:rPr>
          <w:rFonts w:ascii="Arial" w:hAnsi="Arial" w:cs="Arial"/>
          <w:sz w:val="18"/>
          <w:szCs w:val="18"/>
          <w:lang w:val="bg-BG"/>
        </w:rPr>
      </w:pPr>
      <w:r w:rsidRPr="00721663">
        <w:rPr>
          <w:rFonts w:ascii="Arial" w:hAnsi="Arial" w:cs="Arial"/>
          <w:b/>
          <w:lang w:val="bg-BG"/>
        </w:rPr>
        <w:t xml:space="preserve">2.3. Обобщение на съществените счетоводни политики </w:t>
      </w:r>
      <w:r w:rsidRPr="00721663">
        <w:rPr>
          <w:rFonts w:ascii="Arial" w:hAnsi="Arial" w:cs="Arial"/>
          <w:b/>
          <w:i/>
          <w:lang w:val="bg-BG"/>
        </w:rPr>
        <w:t>(продължение)</w:t>
      </w:r>
    </w:p>
    <w:p w14:paraId="75BA0319" w14:textId="77777777" w:rsidR="002620A7" w:rsidRPr="00721663" w:rsidRDefault="002620A7" w:rsidP="002620A7">
      <w:pPr>
        <w:pStyle w:val="Heading4"/>
        <w:keepNext w:val="0"/>
        <w:overflowPunct w:val="0"/>
        <w:autoSpaceDE w:val="0"/>
        <w:autoSpaceDN w:val="0"/>
        <w:adjustRightInd w:val="0"/>
        <w:spacing w:before="40" w:after="120"/>
        <w:jc w:val="left"/>
        <w:textAlignment w:val="baseline"/>
        <w:rPr>
          <w:rFonts w:ascii="Arial" w:hAnsi="Arial" w:cs="Arial"/>
          <w:b/>
          <w:bCs/>
          <w:color w:val="000000"/>
          <w:sz w:val="18"/>
          <w:szCs w:val="18"/>
          <w:lang w:val="bg-BG"/>
        </w:rPr>
      </w:pPr>
      <w:r w:rsidRPr="00721663">
        <w:rPr>
          <w:rFonts w:ascii="Arial" w:hAnsi="Arial" w:cs="Arial"/>
          <w:b/>
          <w:bCs/>
          <w:color w:val="000000"/>
          <w:sz w:val="18"/>
          <w:szCs w:val="18"/>
          <w:lang w:val="bg-BG"/>
        </w:rPr>
        <w:t>Обезценка на нефинансови активи</w:t>
      </w:r>
    </w:p>
    <w:p w14:paraId="7C15D648" w14:textId="77777777" w:rsidR="002620A7" w:rsidRPr="00721663" w:rsidRDefault="002620A7" w:rsidP="002620A7">
      <w:pPr>
        <w:pStyle w:val="Notesbodytext"/>
        <w:spacing w:line="240" w:lineRule="atLeast"/>
        <w:rPr>
          <w:rFonts w:ascii="Arial" w:hAnsi="Arial"/>
          <w:bCs/>
          <w:lang w:val="bg-BG"/>
        </w:rPr>
      </w:pPr>
      <w:r w:rsidRPr="00721663">
        <w:rPr>
          <w:rFonts w:ascii="Arial" w:hAnsi="Arial"/>
          <w:bCs/>
          <w:lang w:val="bg-BG"/>
        </w:rPr>
        <w:t xml:space="preserve">Към всяка отчетна дата, Групата оценява дали съществуват индикации, че даден актив е обезценен. В такива случаи или когато се изисква ежегоден тест за обезценка на даден актив, Групата определя възстановимата стойност на този актив. Възстановимата стойност на актива е по-високата от справедливата стойност, намалена с разходите за продажба на актива или на обекта, генериращ парични потоци и стойността му в употреба. Възстановимата стойност се определя за отделен актив, освен в случай, че при използването на актива не се генерират парични потоци, които да са в значителна степен независими от паричните потоци, генерирани от други активи или групи от активи. Когато балансовата стойност на даден актив е по-висока от неговата възстановима стойност, той се счита за обезценен и балансовата му стойност се намалява до неговата възстановима стойност. При определянето на стойността в употреба на актив, очакваните бъдещи парични потоци се дисконтират до тяхната сегашна стойност като се използва норма на дисконтиране преди данъци, която отразява текущата пазарна оценка на стойността на парите във времето и </w:t>
      </w:r>
      <w:r w:rsidR="00712A27" w:rsidRPr="00721663">
        <w:rPr>
          <w:rFonts w:ascii="Arial" w:hAnsi="Arial"/>
          <w:bCs/>
          <w:lang w:val="bg-BG"/>
        </w:rPr>
        <w:t xml:space="preserve">специфичните за актива рискове. </w:t>
      </w:r>
      <w:r w:rsidRPr="00721663">
        <w:rPr>
          <w:rFonts w:ascii="Arial" w:hAnsi="Arial"/>
          <w:bCs/>
          <w:lang w:val="bg-BG"/>
        </w:rPr>
        <w:t>Справедливата стойност, намалена с разходите за продажбата се определя чрез използването на подходящ модел за оценка.</w:t>
      </w:r>
      <w:r w:rsidRPr="00721663">
        <w:rPr>
          <w:rFonts w:ascii="Arial" w:hAnsi="Arial"/>
          <w:lang w:val="bg-BG"/>
        </w:rPr>
        <w:t xml:space="preserve"> </w:t>
      </w:r>
      <w:r w:rsidRPr="00721663">
        <w:rPr>
          <w:rFonts w:ascii="Arial" w:hAnsi="Arial"/>
          <w:bCs/>
          <w:lang w:val="bg-BG"/>
        </w:rPr>
        <w:t>Направените изчисления се потвърждават чрез използването на други модели за оценка или други налични източници на информация за справедливата стойност на актив или обект, генериращ парични потоци. Загубите от обезценка на продължаващи дейности се признават като разходи</w:t>
      </w:r>
      <w:r w:rsidR="00A706C2" w:rsidRPr="00721663">
        <w:rPr>
          <w:rFonts w:ascii="Arial" w:hAnsi="Arial"/>
          <w:bCs/>
          <w:lang w:val="bg-BG"/>
        </w:rPr>
        <w:t xml:space="preserve"> в отчета за всеобхватния доход.</w:t>
      </w:r>
    </w:p>
    <w:p w14:paraId="6CCA8044" w14:textId="77777777" w:rsidR="00D65072" w:rsidRDefault="00D65072" w:rsidP="00D65072">
      <w:pPr>
        <w:tabs>
          <w:tab w:val="left" w:pos="9739"/>
        </w:tabs>
        <w:autoSpaceDE w:val="0"/>
        <w:autoSpaceDN w:val="0"/>
        <w:adjustRightInd w:val="0"/>
        <w:spacing w:before="120" w:after="120"/>
        <w:jc w:val="left"/>
        <w:rPr>
          <w:rFonts w:ascii="Arial" w:hAnsi="Arial" w:cs="Arial"/>
          <w:b/>
          <w:bCs/>
          <w:sz w:val="18"/>
          <w:szCs w:val="18"/>
          <w:lang w:val="bg-BG"/>
        </w:rPr>
      </w:pPr>
      <w:r>
        <w:rPr>
          <w:rFonts w:ascii="Arial" w:hAnsi="Arial" w:cs="Arial"/>
          <w:b/>
          <w:bCs/>
          <w:sz w:val="18"/>
          <w:szCs w:val="18"/>
          <w:lang w:val="bg-BG"/>
        </w:rPr>
        <w:t>Финансови инструменти – първоначално признаване и последващо оценяване</w:t>
      </w:r>
    </w:p>
    <w:p w14:paraId="2FA79123" w14:textId="77777777" w:rsidR="007C4EA2" w:rsidRPr="00721663" w:rsidRDefault="00B45E0A" w:rsidP="00A706C2">
      <w:pPr>
        <w:pStyle w:val="Notesitalicheading"/>
        <w:tabs>
          <w:tab w:val="left" w:pos="5241"/>
        </w:tabs>
        <w:spacing w:after="120" w:line="240" w:lineRule="atLeast"/>
        <w:rPr>
          <w:rFonts w:ascii="Arial" w:hAnsi="Arial"/>
          <w:i w:val="0"/>
          <w:szCs w:val="18"/>
          <w:lang w:val="bg-BG"/>
        </w:rPr>
      </w:pPr>
      <w:r w:rsidRPr="00721663">
        <w:rPr>
          <w:rFonts w:ascii="Arial" w:hAnsi="Arial"/>
          <w:i w:val="0"/>
          <w:szCs w:val="18"/>
          <w:lang w:val="bg-BG"/>
        </w:rPr>
        <w:t>Финансови активи</w:t>
      </w:r>
      <w:r w:rsidR="00A706C2" w:rsidRPr="00721663">
        <w:rPr>
          <w:rFonts w:ascii="Arial" w:hAnsi="Arial"/>
          <w:i w:val="0"/>
          <w:szCs w:val="18"/>
          <w:lang w:val="bg-BG"/>
        </w:rPr>
        <w:tab/>
      </w:r>
    </w:p>
    <w:p w14:paraId="4A77BCDD" w14:textId="77777777" w:rsidR="007C4EA2" w:rsidRPr="00721663" w:rsidRDefault="00B45E0A" w:rsidP="002620A7">
      <w:pPr>
        <w:pStyle w:val="Heading4"/>
        <w:keepNext w:val="0"/>
        <w:overflowPunct w:val="0"/>
        <w:autoSpaceDE w:val="0"/>
        <w:autoSpaceDN w:val="0"/>
        <w:adjustRightInd w:val="0"/>
        <w:spacing w:before="40" w:after="120"/>
        <w:jc w:val="left"/>
        <w:textAlignment w:val="baseline"/>
        <w:rPr>
          <w:rFonts w:ascii="Arial" w:hAnsi="Arial" w:cs="Arial"/>
          <w:b/>
          <w:bCs/>
          <w:i/>
          <w:color w:val="000000"/>
          <w:sz w:val="18"/>
          <w:szCs w:val="18"/>
          <w:lang w:val="bg-BG"/>
        </w:rPr>
      </w:pPr>
      <w:r w:rsidRPr="00721663">
        <w:rPr>
          <w:rFonts w:ascii="Arial" w:hAnsi="Arial" w:cs="Arial"/>
          <w:b/>
          <w:bCs/>
          <w:i/>
          <w:color w:val="000000"/>
          <w:sz w:val="18"/>
          <w:szCs w:val="18"/>
          <w:lang w:val="bg-BG"/>
        </w:rPr>
        <w:t>Първоначално признаване</w:t>
      </w:r>
    </w:p>
    <w:p w14:paraId="6E953942" w14:textId="77777777" w:rsidR="007C4EA2" w:rsidRPr="00721663" w:rsidRDefault="00B45E0A" w:rsidP="002620A7">
      <w:pPr>
        <w:pStyle w:val="Notesbodytext"/>
        <w:spacing w:line="240" w:lineRule="atLeast"/>
        <w:rPr>
          <w:rFonts w:ascii="Arial" w:hAnsi="Arial"/>
          <w:lang w:val="bg-BG"/>
        </w:rPr>
      </w:pPr>
      <w:r w:rsidRPr="00721663">
        <w:rPr>
          <w:rFonts w:ascii="Arial" w:hAnsi="Arial"/>
          <w:lang w:val="bg-BG"/>
        </w:rPr>
        <w:t xml:space="preserve">Финансовите активи се класифицират като финансови активи, отчитани по справедлива стойност в печалбата или загубата, като заеми и вземания, като инвестиции държани до падеж или като финансови активи на разположение за продажба, като деривативи, определени като хеджиращи инструменти при ефективно хеджиране, както това е по-уместно. </w:t>
      </w:r>
      <w:r w:rsidR="00314186" w:rsidRPr="00721663">
        <w:rPr>
          <w:rFonts w:ascii="Arial" w:hAnsi="Arial"/>
          <w:lang w:val="bg-BG"/>
        </w:rPr>
        <w:t>Финансовите активи се признават първоначално по справедливата им стойност, плюс, в случай на инвестиции, които не се отчитат по справедлива стойност в печалбата или загубата, разходите по сделката, които се отнасят пряко към придобиването на финансовия актив</w:t>
      </w:r>
      <w:r w:rsidR="007C4EA2" w:rsidRPr="00721663">
        <w:rPr>
          <w:rFonts w:ascii="Arial" w:hAnsi="Arial"/>
          <w:lang w:val="bg-BG"/>
        </w:rPr>
        <w:t>.</w:t>
      </w:r>
    </w:p>
    <w:p w14:paraId="6DC2840C" w14:textId="77777777" w:rsidR="007C4EA2" w:rsidRPr="00721663" w:rsidRDefault="00314186" w:rsidP="002620A7">
      <w:pPr>
        <w:pStyle w:val="Notesbodytext"/>
        <w:spacing w:line="240" w:lineRule="atLeast"/>
        <w:rPr>
          <w:rFonts w:ascii="Arial" w:hAnsi="Arial"/>
          <w:lang w:val="bg-BG"/>
        </w:rPr>
      </w:pPr>
      <w:r w:rsidRPr="00721663">
        <w:rPr>
          <w:rFonts w:ascii="Arial" w:hAnsi="Arial"/>
          <w:lang w:val="bg-BG"/>
        </w:rPr>
        <w:t>Покупките или продажби</w:t>
      </w:r>
      <w:r w:rsidR="009B1327" w:rsidRPr="00721663">
        <w:rPr>
          <w:rFonts w:ascii="Arial" w:hAnsi="Arial"/>
          <w:lang w:val="bg-BG"/>
        </w:rPr>
        <w:t>те</w:t>
      </w:r>
      <w:r w:rsidRPr="00721663">
        <w:rPr>
          <w:rFonts w:ascii="Arial" w:hAnsi="Arial"/>
          <w:lang w:val="bg-BG"/>
        </w:rPr>
        <w:t xml:space="preserve"> на финансови активи, чиито условия изискват прехвърлянето на актива през период от време, установен обикновено с нормативна разпоредба или действаща практика на съответния пазар (редовни покупки), се признават на датата на търгуване (сделката), т.е. на датата на която Групата се е ангажирала да купи или продаде актива.</w:t>
      </w:r>
    </w:p>
    <w:p w14:paraId="5A50AFED" w14:textId="77777777" w:rsidR="007C4EA2" w:rsidRPr="00721663" w:rsidRDefault="00314186" w:rsidP="002620A7">
      <w:pPr>
        <w:pStyle w:val="Notesbodytext"/>
        <w:spacing w:line="240" w:lineRule="atLeast"/>
        <w:rPr>
          <w:rFonts w:ascii="Arial" w:hAnsi="Arial"/>
          <w:lang w:val="bg-BG"/>
        </w:rPr>
      </w:pPr>
      <w:r w:rsidRPr="00721663">
        <w:rPr>
          <w:rFonts w:ascii="Arial" w:hAnsi="Arial"/>
          <w:lang w:val="bg-BG"/>
        </w:rPr>
        <w:t>Финансовите активи на Групата включват парични средства</w:t>
      </w:r>
      <w:r w:rsidR="002620A7" w:rsidRPr="00721663">
        <w:rPr>
          <w:rFonts w:ascii="Arial" w:hAnsi="Arial"/>
          <w:lang w:val="bg-BG"/>
        </w:rPr>
        <w:t xml:space="preserve"> и парични еквиваленти,</w:t>
      </w:r>
      <w:r w:rsidRPr="00721663">
        <w:rPr>
          <w:rFonts w:ascii="Arial" w:hAnsi="Arial"/>
          <w:lang w:val="bg-BG"/>
        </w:rPr>
        <w:t xml:space="preserve"> търговски и други вземания.</w:t>
      </w:r>
    </w:p>
    <w:p w14:paraId="647A02C5" w14:textId="77777777" w:rsidR="007C4EA2" w:rsidRPr="00721663" w:rsidRDefault="00314186" w:rsidP="002620A7">
      <w:pPr>
        <w:pStyle w:val="Heading4"/>
        <w:keepNext w:val="0"/>
        <w:overflowPunct w:val="0"/>
        <w:autoSpaceDE w:val="0"/>
        <w:autoSpaceDN w:val="0"/>
        <w:adjustRightInd w:val="0"/>
        <w:spacing w:before="40" w:after="120"/>
        <w:jc w:val="left"/>
        <w:textAlignment w:val="baseline"/>
        <w:rPr>
          <w:rFonts w:ascii="Arial" w:hAnsi="Arial" w:cs="Arial"/>
          <w:b/>
          <w:bCs/>
          <w:i/>
          <w:color w:val="000000"/>
          <w:sz w:val="18"/>
          <w:szCs w:val="18"/>
          <w:lang w:val="bg-BG"/>
        </w:rPr>
      </w:pPr>
      <w:r w:rsidRPr="00721663">
        <w:rPr>
          <w:rFonts w:ascii="Arial" w:hAnsi="Arial" w:cs="Arial"/>
          <w:b/>
          <w:bCs/>
          <w:i/>
          <w:color w:val="000000"/>
          <w:sz w:val="18"/>
          <w:szCs w:val="18"/>
          <w:lang w:val="bg-BG"/>
        </w:rPr>
        <w:t>Последващо оценяване</w:t>
      </w:r>
    </w:p>
    <w:p w14:paraId="37C91A15" w14:textId="77777777" w:rsidR="007C4EA2" w:rsidRPr="00721663" w:rsidRDefault="00314186" w:rsidP="002620A7">
      <w:pPr>
        <w:pStyle w:val="Notesbodytext"/>
        <w:spacing w:line="240" w:lineRule="atLeast"/>
        <w:rPr>
          <w:rFonts w:ascii="Arial" w:hAnsi="Arial"/>
          <w:lang w:val="bg-BG"/>
        </w:rPr>
      </w:pPr>
      <w:r w:rsidRPr="00721663">
        <w:rPr>
          <w:rFonts w:ascii="Arial" w:hAnsi="Arial"/>
          <w:lang w:val="bg-BG"/>
        </w:rPr>
        <w:t>Последващото оценяване на финансовите активи зависи от тяхната класификация, както следва:</w:t>
      </w:r>
    </w:p>
    <w:p w14:paraId="38FA5B4A" w14:textId="77777777" w:rsidR="00300F55" w:rsidRPr="00721663" w:rsidRDefault="00314186" w:rsidP="002620A7">
      <w:pPr>
        <w:pStyle w:val="Heading4"/>
        <w:keepNext w:val="0"/>
        <w:overflowPunct w:val="0"/>
        <w:autoSpaceDE w:val="0"/>
        <w:autoSpaceDN w:val="0"/>
        <w:adjustRightInd w:val="0"/>
        <w:spacing w:before="40" w:after="120"/>
        <w:jc w:val="left"/>
        <w:textAlignment w:val="baseline"/>
        <w:rPr>
          <w:rFonts w:ascii="Arial" w:hAnsi="Arial" w:cs="Arial"/>
          <w:b/>
          <w:bCs/>
          <w:color w:val="000000"/>
          <w:sz w:val="18"/>
          <w:szCs w:val="18"/>
          <w:lang w:val="bg-BG"/>
        </w:rPr>
      </w:pPr>
      <w:r w:rsidRPr="00721663">
        <w:rPr>
          <w:rFonts w:ascii="Arial" w:hAnsi="Arial" w:cs="Arial"/>
          <w:b/>
          <w:bCs/>
          <w:color w:val="000000"/>
          <w:sz w:val="18"/>
          <w:szCs w:val="18"/>
          <w:lang w:val="bg-BG"/>
        </w:rPr>
        <w:t>Търговски и други вземания</w:t>
      </w:r>
    </w:p>
    <w:p w14:paraId="778D008B" w14:textId="77777777" w:rsidR="00300F55" w:rsidRPr="00721663" w:rsidRDefault="00314186" w:rsidP="002620A7">
      <w:pPr>
        <w:pStyle w:val="Notesbodytext"/>
        <w:spacing w:line="240" w:lineRule="atLeast"/>
        <w:rPr>
          <w:rFonts w:ascii="Arial" w:hAnsi="Arial"/>
          <w:lang w:val="bg-BG"/>
        </w:rPr>
      </w:pPr>
      <w:r w:rsidRPr="00721663">
        <w:rPr>
          <w:rFonts w:ascii="Arial" w:hAnsi="Arial"/>
          <w:lang w:val="bg-BG"/>
        </w:rPr>
        <w:t>След първоначално признаване последващо</w:t>
      </w:r>
      <w:r w:rsidR="00F34CBD" w:rsidRPr="00721663">
        <w:rPr>
          <w:rFonts w:ascii="Arial" w:hAnsi="Arial"/>
          <w:lang w:val="bg-BG"/>
        </w:rPr>
        <w:t>то</w:t>
      </w:r>
      <w:r w:rsidRPr="00721663">
        <w:rPr>
          <w:rFonts w:ascii="Arial" w:hAnsi="Arial"/>
          <w:lang w:val="bg-BG"/>
        </w:rPr>
        <w:t xml:space="preserve"> им оценяване се извършва по амортизирана стойнос</w:t>
      </w:r>
      <w:r w:rsidR="00A706C2" w:rsidRPr="00721663">
        <w:rPr>
          <w:rFonts w:ascii="Arial" w:hAnsi="Arial"/>
          <w:lang w:val="bg-BG"/>
        </w:rPr>
        <w:t>т</w:t>
      </w:r>
      <w:r w:rsidRPr="00721663">
        <w:rPr>
          <w:rFonts w:ascii="Arial" w:hAnsi="Arial"/>
          <w:lang w:val="bg-BG"/>
        </w:rPr>
        <w:t>, намалена с провизии за обезценка.</w:t>
      </w:r>
      <w:r w:rsidR="00300F55" w:rsidRPr="00721663">
        <w:rPr>
          <w:rFonts w:ascii="Arial" w:hAnsi="Arial"/>
          <w:lang w:val="bg-BG"/>
        </w:rPr>
        <w:t xml:space="preserve"> </w:t>
      </w:r>
      <w:r w:rsidRPr="00721663">
        <w:rPr>
          <w:rFonts w:ascii="Arial" w:hAnsi="Arial"/>
          <w:lang w:val="bg-BG"/>
        </w:rPr>
        <w:t>Загубите от обезценка се признават в отчета за всеобхватния доход като финансови разходи</w:t>
      </w:r>
      <w:r w:rsidR="009B1327" w:rsidRPr="00721663">
        <w:rPr>
          <w:rFonts w:ascii="Arial" w:hAnsi="Arial"/>
          <w:lang w:val="bg-BG"/>
        </w:rPr>
        <w:t xml:space="preserve"> -</w:t>
      </w:r>
      <w:r w:rsidRPr="00721663">
        <w:rPr>
          <w:rFonts w:ascii="Arial" w:hAnsi="Arial"/>
          <w:lang w:val="bg-BG"/>
        </w:rPr>
        <w:t xml:space="preserve"> за заеми и в стойността на продажбите или други оперативни разходи </w:t>
      </w:r>
      <w:r w:rsidR="009B1327" w:rsidRPr="00721663">
        <w:rPr>
          <w:rFonts w:ascii="Arial" w:hAnsi="Arial"/>
          <w:lang w:val="bg-BG"/>
        </w:rPr>
        <w:t xml:space="preserve">- </w:t>
      </w:r>
      <w:r w:rsidRPr="00721663">
        <w:rPr>
          <w:rFonts w:ascii="Arial" w:hAnsi="Arial"/>
          <w:lang w:val="bg-BG"/>
        </w:rPr>
        <w:t>за вземанията.</w:t>
      </w:r>
    </w:p>
    <w:p w14:paraId="775ACC74" w14:textId="77777777" w:rsidR="00300F55" w:rsidRPr="00721663" w:rsidRDefault="00314186" w:rsidP="002620A7">
      <w:pPr>
        <w:pStyle w:val="Heading4"/>
        <w:keepNext w:val="0"/>
        <w:overflowPunct w:val="0"/>
        <w:autoSpaceDE w:val="0"/>
        <w:autoSpaceDN w:val="0"/>
        <w:adjustRightInd w:val="0"/>
        <w:spacing w:after="120"/>
        <w:jc w:val="left"/>
        <w:textAlignment w:val="baseline"/>
        <w:rPr>
          <w:rFonts w:ascii="Arial" w:hAnsi="Arial" w:cs="Arial"/>
          <w:b/>
          <w:bCs/>
          <w:color w:val="000000"/>
          <w:sz w:val="18"/>
          <w:szCs w:val="18"/>
          <w:lang w:val="bg-BG"/>
        </w:rPr>
      </w:pPr>
      <w:r w:rsidRPr="00721663">
        <w:rPr>
          <w:rFonts w:ascii="Arial" w:hAnsi="Arial" w:cs="Arial"/>
          <w:b/>
          <w:bCs/>
          <w:color w:val="000000"/>
          <w:sz w:val="18"/>
          <w:szCs w:val="18"/>
          <w:lang w:val="bg-BG"/>
        </w:rPr>
        <w:t>Парични средства и парични еквиваленти</w:t>
      </w:r>
    </w:p>
    <w:p w14:paraId="697C1463" w14:textId="403AD80C" w:rsidR="00300F55" w:rsidRPr="00721663" w:rsidRDefault="002C26F6" w:rsidP="00680E2F">
      <w:pPr>
        <w:pStyle w:val="Notesbodytext"/>
        <w:spacing w:line="240" w:lineRule="atLeast"/>
        <w:rPr>
          <w:rFonts w:ascii="Arial" w:hAnsi="Arial"/>
          <w:lang w:val="bg-BG"/>
        </w:rPr>
      </w:pPr>
      <w:r w:rsidRPr="00721663">
        <w:rPr>
          <w:rFonts w:ascii="Arial" w:hAnsi="Arial"/>
          <w:lang w:val="bg-BG"/>
        </w:rPr>
        <w:t xml:space="preserve">Паричните средства и паричните еквиваленти включват парични средства по банкови сметки и парични средства в брой и други високо ликвидни краткосрочни инвестиции с първоначален падеж от 3 месеца и по-малко. За целите на отчета за паричните потоци паричните средства не включват блокираните такива. </w:t>
      </w:r>
    </w:p>
    <w:p w14:paraId="58270EA1" w14:textId="77777777" w:rsidR="00712A27" w:rsidRPr="00721663" w:rsidRDefault="00712A27">
      <w:pPr>
        <w:spacing w:line="240" w:lineRule="auto"/>
        <w:jc w:val="left"/>
        <w:rPr>
          <w:rFonts w:ascii="Arial" w:hAnsi="Arial" w:cs="Arial"/>
          <w:b/>
          <w:i/>
          <w:sz w:val="18"/>
          <w:szCs w:val="18"/>
          <w:lang w:val="bg-BG"/>
        </w:rPr>
      </w:pPr>
      <w:r w:rsidRPr="00721663">
        <w:rPr>
          <w:rFonts w:ascii="Arial" w:hAnsi="Arial" w:cs="Arial"/>
          <w:b/>
          <w:i/>
          <w:sz w:val="18"/>
          <w:szCs w:val="18"/>
          <w:lang w:val="bg-BG"/>
        </w:rPr>
        <w:br w:type="page"/>
      </w:r>
    </w:p>
    <w:p w14:paraId="6D690935" w14:textId="77777777" w:rsidR="00712A27" w:rsidRPr="00721663" w:rsidRDefault="00712A27" w:rsidP="00712A27">
      <w:pPr>
        <w:spacing w:after="120"/>
        <w:jc w:val="left"/>
        <w:rPr>
          <w:rFonts w:ascii="Arial" w:hAnsi="Arial" w:cs="Arial"/>
          <w:b/>
          <w:bCs/>
          <w:color w:val="000000"/>
          <w:sz w:val="18"/>
          <w:szCs w:val="18"/>
          <w:lang w:val="bg-BG"/>
        </w:rPr>
      </w:pPr>
      <w:r w:rsidRPr="00721663">
        <w:rPr>
          <w:rFonts w:ascii="Arial" w:hAnsi="Arial" w:cs="Arial"/>
          <w:b/>
          <w:lang w:val="bg-BG"/>
        </w:rPr>
        <w:t xml:space="preserve">2.3. Обобщение на съществените счетоводни политики </w:t>
      </w:r>
      <w:r w:rsidRPr="00721663">
        <w:rPr>
          <w:rFonts w:ascii="Arial" w:hAnsi="Arial" w:cs="Arial"/>
          <w:b/>
          <w:i/>
          <w:lang w:val="bg-BG"/>
        </w:rPr>
        <w:t>(продължение)</w:t>
      </w:r>
    </w:p>
    <w:p w14:paraId="71932479" w14:textId="77777777" w:rsidR="002C26F6" w:rsidRPr="00721663" w:rsidRDefault="002C26F6" w:rsidP="002C26F6">
      <w:pPr>
        <w:spacing w:before="120" w:after="120"/>
        <w:rPr>
          <w:lang w:val="bg-BG"/>
        </w:rPr>
      </w:pPr>
      <w:r w:rsidRPr="00721663">
        <w:rPr>
          <w:rFonts w:ascii="Arial" w:hAnsi="Arial" w:cs="Arial"/>
          <w:b/>
          <w:sz w:val="18"/>
          <w:szCs w:val="18"/>
          <w:lang w:val="bg-BG"/>
        </w:rPr>
        <w:t xml:space="preserve">Класификация на текущи и нетекущи  </w:t>
      </w:r>
    </w:p>
    <w:p w14:paraId="34EB174A" w14:textId="77777777" w:rsidR="002C26F6" w:rsidRPr="00721663" w:rsidRDefault="002C26F6" w:rsidP="00366AB4">
      <w:pPr>
        <w:pStyle w:val="Notesbodytext"/>
        <w:spacing w:after="0" w:line="240" w:lineRule="atLeast"/>
        <w:rPr>
          <w:rFonts w:ascii="Arial" w:hAnsi="Arial"/>
          <w:lang w:val="bg-BG"/>
        </w:rPr>
      </w:pPr>
      <w:r w:rsidRPr="00721663">
        <w:rPr>
          <w:rFonts w:ascii="Arial" w:hAnsi="Arial"/>
          <w:lang w:val="bg-BG"/>
        </w:rPr>
        <w:t xml:space="preserve">Групата представя активите в отчета за  финансовото състояние като ги класифицира като текущи и нетекущи. Актив се класифицира като текущ, когато: </w:t>
      </w:r>
    </w:p>
    <w:p w14:paraId="39E949ED" w14:textId="77777777" w:rsidR="002C26F6" w:rsidRPr="00721663" w:rsidRDefault="002C26F6" w:rsidP="00462752">
      <w:pPr>
        <w:pStyle w:val="Notesbodytext"/>
        <w:numPr>
          <w:ilvl w:val="0"/>
          <w:numId w:val="25"/>
        </w:numPr>
        <w:spacing w:after="0" w:line="240" w:lineRule="atLeast"/>
        <w:ind w:left="714" w:hanging="357"/>
        <w:contextualSpacing/>
        <w:rPr>
          <w:rFonts w:ascii="Arial" w:hAnsi="Arial"/>
          <w:lang w:val="bg-BG"/>
        </w:rPr>
      </w:pPr>
      <w:r w:rsidRPr="00721663">
        <w:rPr>
          <w:rFonts w:ascii="Arial" w:hAnsi="Arial"/>
          <w:lang w:val="bg-BG"/>
        </w:rPr>
        <w:t>се очаква активът да бъде реализиран или е държан с цел продажба или употреба в нормалния оперативен цикъл</w:t>
      </w:r>
    </w:p>
    <w:p w14:paraId="45C5CCFC" w14:textId="77777777" w:rsidR="002C26F6" w:rsidRPr="00721663" w:rsidRDefault="002C26F6" w:rsidP="00462752">
      <w:pPr>
        <w:pStyle w:val="Notesbodytext"/>
        <w:numPr>
          <w:ilvl w:val="0"/>
          <w:numId w:val="25"/>
        </w:numPr>
        <w:spacing w:after="0" w:line="240" w:lineRule="atLeast"/>
        <w:ind w:left="714" w:hanging="357"/>
        <w:contextualSpacing/>
        <w:rPr>
          <w:rFonts w:ascii="Arial" w:hAnsi="Arial"/>
          <w:lang w:val="bg-BG"/>
        </w:rPr>
      </w:pPr>
      <w:r w:rsidRPr="00721663">
        <w:rPr>
          <w:rFonts w:ascii="Arial" w:hAnsi="Arial"/>
          <w:lang w:val="bg-BG"/>
        </w:rPr>
        <w:t>активът е държан предимно с търговска цел</w:t>
      </w:r>
    </w:p>
    <w:p w14:paraId="5055A8C0" w14:textId="77777777" w:rsidR="002C26F6" w:rsidRPr="00721663" w:rsidRDefault="002C26F6" w:rsidP="00462752">
      <w:pPr>
        <w:pStyle w:val="Notesbodytext"/>
        <w:numPr>
          <w:ilvl w:val="0"/>
          <w:numId w:val="25"/>
        </w:numPr>
        <w:spacing w:after="0" w:line="240" w:lineRule="atLeast"/>
        <w:ind w:left="714" w:hanging="357"/>
        <w:contextualSpacing/>
        <w:rPr>
          <w:rFonts w:ascii="Arial" w:hAnsi="Arial"/>
          <w:lang w:val="bg-BG"/>
        </w:rPr>
      </w:pPr>
      <w:r w:rsidRPr="00721663">
        <w:rPr>
          <w:rFonts w:ascii="Arial" w:hAnsi="Arial"/>
          <w:lang w:val="bg-BG"/>
        </w:rPr>
        <w:t>се очаква активът да бъде реализиран в срок от 12 месеца след отчетния период, или</w:t>
      </w:r>
    </w:p>
    <w:p w14:paraId="0137B95A" w14:textId="77777777" w:rsidR="002C26F6" w:rsidRPr="00721663" w:rsidRDefault="002C26F6" w:rsidP="00462752">
      <w:pPr>
        <w:pStyle w:val="Notesbodytext"/>
        <w:numPr>
          <w:ilvl w:val="0"/>
          <w:numId w:val="25"/>
        </w:numPr>
        <w:spacing w:after="0" w:line="240" w:lineRule="atLeast"/>
        <w:ind w:left="714" w:hanging="357"/>
        <w:contextualSpacing/>
        <w:rPr>
          <w:rFonts w:ascii="Arial" w:hAnsi="Arial"/>
          <w:lang w:val="bg-BG"/>
        </w:rPr>
      </w:pPr>
      <w:r w:rsidRPr="00721663">
        <w:rPr>
          <w:rFonts w:ascii="Arial" w:hAnsi="Arial"/>
          <w:lang w:val="bg-BG"/>
        </w:rPr>
        <w:t>активът е под формата на парични средства или парични еквиваленти, освен ако няма ограничение за това да бъде разменян или употребяван за уреждане на пасив за срок от поне 12 месеца след отчетния период.</w:t>
      </w:r>
    </w:p>
    <w:p w14:paraId="51CE5EE0" w14:textId="77777777" w:rsidR="002C26F6" w:rsidRPr="00721663" w:rsidRDefault="002C26F6" w:rsidP="002C26F6">
      <w:pPr>
        <w:pStyle w:val="italsubhd"/>
        <w:spacing w:before="0" w:after="120" w:line="240" w:lineRule="atLeast"/>
        <w:rPr>
          <w:rFonts w:ascii="Arial" w:hAnsi="Arial" w:cs="Arial"/>
          <w:i w:val="0"/>
          <w:iCs w:val="0"/>
          <w:noProof w:val="0"/>
          <w:color w:val="auto"/>
          <w:sz w:val="18"/>
          <w:szCs w:val="18"/>
          <w:lang w:val="bg-BG"/>
        </w:rPr>
      </w:pPr>
      <w:r w:rsidRPr="00721663">
        <w:rPr>
          <w:rFonts w:ascii="Arial" w:hAnsi="Arial" w:cs="Arial"/>
          <w:i w:val="0"/>
          <w:iCs w:val="0"/>
          <w:noProof w:val="0"/>
          <w:color w:val="auto"/>
          <w:sz w:val="18"/>
          <w:szCs w:val="18"/>
          <w:lang w:val="bg-BG"/>
        </w:rPr>
        <w:t xml:space="preserve">Всички останали активи се класифицират като нетекущи активи. </w:t>
      </w:r>
    </w:p>
    <w:p w14:paraId="751AA585" w14:textId="77777777" w:rsidR="00300F55" w:rsidRPr="00721663" w:rsidRDefault="00F429D7" w:rsidP="002620A7">
      <w:pPr>
        <w:spacing w:after="120"/>
        <w:jc w:val="left"/>
        <w:rPr>
          <w:rFonts w:ascii="Arial" w:hAnsi="Arial" w:cs="Arial"/>
          <w:b/>
          <w:i/>
          <w:sz w:val="18"/>
          <w:szCs w:val="18"/>
          <w:lang w:val="bg-BG"/>
        </w:rPr>
      </w:pPr>
      <w:r w:rsidRPr="00721663">
        <w:rPr>
          <w:rFonts w:ascii="Arial" w:hAnsi="Arial" w:cs="Arial"/>
          <w:b/>
          <w:i/>
          <w:sz w:val="18"/>
          <w:szCs w:val="18"/>
          <w:lang w:val="bg-BG"/>
        </w:rPr>
        <w:t>Обезценка на финансови активи</w:t>
      </w:r>
    </w:p>
    <w:p w14:paraId="1A4CC512" w14:textId="77777777" w:rsidR="00E53C2C" w:rsidRPr="00721663" w:rsidRDefault="00F429D7" w:rsidP="002620A7">
      <w:pPr>
        <w:pStyle w:val="Notesbodytext"/>
        <w:spacing w:line="240" w:lineRule="atLeast"/>
        <w:rPr>
          <w:rFonts w:ascii="Arial" w:hAnsi="Arial"/>
          <w:lang w:val="bg-BG"/>
        </w:rPr>
      </w:pPr>
      <w:r w:rsidRPr="00721663">
        <w:rPr>
          <w:rFonts w:ascii="Arial" w:hAnsi="Arial"/>
          <w:lang w:val="bg-BG"/>
        </w:rPr>
        <w:t>Към всяка отчетна дата Групата прави преценка, дали съществуват обективни доказателства, че даден финансов актив или група от финансови активи може да е обезценена. Финансовият актив или група от финансови активи се счита за обезценена, когато съществуват обективни доказателства за обезценка в резултат на едно или повече събития, които са възникнали след първон</w:t>
      </w:r>
      <w:r w:rsidR="00F353CA" w:rsidRPr="00721663">
        <w:rPr>
          <w:rFonts w:ascii="Arial" w:hAnsi="Arial"/>
          <w:lang w:val="bg-BG"/>
        </w:rPr>
        <w:t>ачалното признаване на актива (събитие за понесена загуба</w:t>
      </w:r>
      <w:r w:rsidRPr="00721663">
        <w:rPr>
          <w:rFonts w:ascii="Arial" w:hAnsi="Arial"/>
          <w:lang w:val="bg-BG"/>
        </w:rPr>
        <w:t>) и това събитие оказва влияние върху очакваните бъдещи парични потоци от финансовия актив или групата от финансови активи, които могат да бъдат надеждно оценени. Доказателствата за обезценка могат да включват индикации, че длъжници или група от длъжници изпитват сериозни финансови затруднения или са в неизпълнение или просрочие при изплащането на лихви или главници или има вероятност да бъдат обявени в неплатежоспособност или да предприемат финансова реорганизация или когато наблюдавани данни индикират измеримо намаление в очакваните бъдещи парични потоци, като например промени в просрочията или икономически условия, които са свързани с неизпълнения от страна на длъжниците.</w:t>
      </w:r>
    </w:p>
    <w:p w14:paraId="0E3110CB" w14:textId="77777777" w:rsidR="00243B95" w:rsidRPr="00721663" w:rsidRDefault="00F429D7" w:rsidP="002620A7">
      <w:pPr>
        <w:pStyle w:val="Notesbodytext"/>
        <w:spacing w:line="240" w:lineRule="atLeast"/>
        <w:rPr>
          <w:rFonts w:ascii="Arial" w:hAnsi="Arial"/>
          <w:lang w:val="bg-BG"/>
        </w:rPr>
      </w:pPr>
      <w:r w:rsidRPr="00721663">
        <w:rPr>
          <w:rFonts w:ascii="Arial" w:hAnsi="Arial"/>
          <w:lang w:val="bg-BG"/>
        </w:rPr>
        <w:t xml:space="preserve">Относно търговските и други вземания, Групата първо оценява дали има обективно доказателство, че вземанията може да не бъдат събрани. Ако такова обективно доказателство съществува, търговските и други вземания се обезценяват до тяхната възстановима стойност, като разликата представлява загуба от обезценка. Балансовата стойност на търговските и други вземания се намалява чрез използването на корективна сметка, като сумата на загубата се признава в отчета за всеобхватния доход. Ако в следваща година, сумата на очакваната загуба от обезценка се увеличи или намали поради събитие, случващо се след като обезценката е била призната, предишната призната загуба от обезценка се увеличава или намалява чрез корекция на корективната сметка. Ако бъдещо отписване бъде възстановено на по-късен етап, възстановяването се признава в </w:t>
      </w:r>
      <w:r w:rsidR="004B3251" w:rsidRPr="00721663">
        <w:rPr>
          <w:rFonts w:ascii="Arial" w:hAnsi="Arial"/>
          <w:lang w:val="bg-BG"/>
        </w:rPr>
        <w:t>отчета за всеобхватния доход</w:t>
      </w:r>
      <w:r w:rsidRPr="00721663">
        <w:rPr>
          <w:rFonts w:ascii="Arial" w:hAnsi="Arial"/>
          <w:lang w:val="bg-BG"/>
        </w:rPr>
        <w:t>.</w:t>
      </w:r>
    </w:p>
    <w:p w14:paraId="0B5DF9A4" w14:textId="77777777" w:rsidR="00BE6AB2" w:rsidRPr="00721663" w:rsidRDefault="00F429D7" w:rsidP="002620A7">
      <w:pPr>
        <w:pStyle w:val="Notesitalicheading"/>
        <w:spacing w:after="120" w:line="240" w:lineRule="atLeast"/>
        <w:rPr>
          <w:rFonts w:ascii="Arial" w:hAnsi="Arial"/>
          <w:i w:val="0"/>
          <w:szCs w:val="18"/>
          <w:lang w:val="bg-BG"/>
        </w:rPr>
      </w:pPr>
      <w:r w:rsidRPr="00721663">
        <w:rPr>
          <w:rFonts w:ascii="Arial" w:hAnsi="Arial"/>
          <w:i w:val="0"/>
          <w:szCs w:val="18"/>
          <w:lang w:val="bg-BG"/>
        </w:rPr>
        <w:t>Финансови пасиви</w:t>
      </w:r>
    </w:p>
    <w:p w14:paraId="2F3EBD67" w14:textId="77777777" w:rsidR="00BE6AB2" w:rsidRPr="00721663" w:rsidRDefault="00F429D7" w:rsidP="002620A7">
      <w:pPr>
        <w:pStyle w:val="Heading4"/>
        <w:keepNext w:val="0"/>
        <w:overflowPunct w:val="0"/>
        <w:autoSpaceDE w:val="0"/>
        <w:autoSpaceDN w:val="0"/>
        <w:adjustRightInd w:val="0"/>
        <w:spacing w:before="40" w:after="120"/>
        <w:jc w:val="left"/>
        <w:textAlignment w:val="baseline"/>
        <w:rPr>
          <w:rFonts w:ascii="Arial" w:hAnsi="Arial" w:cs="Arial"/>
          <w:b/>
          <w:bCs/>
          <w:color w:val="000000"/>
          <w:sz w:val="18"/>
          <w:szCs w:val="18"/>
          <w:lang w:val="bg-BG"/>
        </w:rPr>
      </w:pPr>
      <w:r w:rsidRPr="00721663">
        <w:rPr>
          <w:rFonts w:ascii="Arial" w:hAnsi="Arial" w:cs="Arial"/>
          <w:b/>
          <w:bCs/>
          <w:i/>
          <w:color w:val="000000"/>
          <w:sz w:val="18"/>
          <w:szCs w:val="18"/>
          <w:lang w:val="bg-BG"/>
        </w:rPr>
        <w:t>Първоначално признаване</w:t>
      </w:r>
    </w:p>
    <w:p w14:paraId="14F4F46F" w14:textId="77777777" w:rsidR="00BE6AB2" w:rsidRPr="00721663" w:rsidRDefault="00A706C2" w:rsidP="002620A7">
      <w:pPr>
        <w:pStyle w:val="Notesbodytext"/>
        <w:spacing w:line="240" w:lineRule="atLeast"/>
        <w:rPr>
          <w:rFonts w:ascii="Arial" w:hAnsi="Arial"/>
          <w:lang w:val="bg-BG"/>
        </w:rPr>
      </w:pPr>
      <w:r w:rsidRPr="00721663">
        <w:rPr>
          <w:rFonts w:ascii="Arial" w:hAnsi="Arial"/>
          <w:lang w:val="bg-BG"/>
        </w:rPr>
        <w:t>Финанс</w:t>
      </w:r>
      <w:r w:rsidR="00366AB4" w:rsidRPr="00721663">
        <w:rPr>
          <w:rFonts w:ascii="Arial" w:hAnsi="Arial"/>
          <w:lang w:val="bg-BG"/>
        </w:rPr>
        <w:t>овите пасиви</w:t>
      </w:r>
      <w:r w:rsidRPr="00721663">
        <w:rPr>
          <w:rFonts w:ascii="Arial" w:hAnsi="Arial"/>
          <w:lang w:val="bg-BG"/>
        </w:rPr>
        <w:t xml:space="preserve"> се класифицират като финансови пасиви, отчитани по справедлива стойност в печалбата или загубата, или като заеми и привлечени средства, както това е по-уместно. </w:t>
      </w:r>
      <w:r w:rsidR="00DF4516" w:rsidRPr="00721663">
        <w:rPr>
          <w:rFonts w:ascii="Arial" w:hAnsi="Arial"/>
          <w:lang w:val="bg-BG"/>
        </w:rPr>
        <w:t>Групата определя класификацията на своите финансови пасиви при първоначалното им признаване.</w:t>
      </w:r>
    </w:p>
    <w:p w14:paraId="1451FBE7" w14:textId="77777777" w:rsidR="00BE6AB2" w:rsidRPr="00721663" w:rsidRDefault="00DF4516" w:rsidP="002620A7">
      <w:pPr>
        <w:pStyle w:val="Notesbodytext"/>
        <w:spacing w:line="240" w:lineRule="atLeast"/>
        <w:rPr>
          <w:rFonts w:ascii="Arial" w:hAnsi="Arial"/>
          <w:lang w:val="bg-BG"/>
        </w:rPr>
      </w:pPr>
      <w:r w:rsidRPr="00721663">
        <w:rPr>
          <w:rFonts w:ascii="Arial" w:hAnsi="Arial"/>
          <w:lang w:val="bg-BG"/>
        </w:rPr>
        <w:t>Финансовите пасиви се признават първоначално по справедливата им стойност, плюс, в случай на заеми и привлечени средства, разходите по сделката, които се отнасят пряко към придобиването на финансовия пасив.</w:t>
      </w:r>
    </w:p>
    <w:p w14:paraId="28397B86" w14:textId="77777777" w:rsidR="00BE6AB2" w:rsidRPr="00721663" w:rsidRDefault="00DF4516" w:rsidP="002620A7">
      <w:pPr>
        <w:pStyle w:val="Notesbodytext"/>
        <w:spacing w:line="240" w:lineRule="atLeast"/>
        <w:rPr>
          <w:rFonts w:ascii="Arial" w:hAnsi="Arial"/>
          <w:lang w:val="bg-BG"/>
        </w:rPr>
      </w:pPr>
      <w:r w:rsidRPr="00721663">
        <w:rPr>
          <w:rFonts w:ascii="Arial" w:hAnsi="Arial"/>
          <w:lang w:val="bg-BG"/>
        </w:rPr>
        <w:t>Финансовите пасиви на Групата включват търговски и други задължения, заеми и привлечени средства.</w:t>
      </w:r>
    </w:p>
    <w:p w14:paraId="40449CC5" w14:textId="77777777" w:rsidR="00BE6AB2" w:rsidRPr="00721663" w:rsidRDefault="00DF4516" w:rsidP="002620A7">
      <w:pPr>
        <w:pStyle w:val="Heading4"/>
        <w:keepNext w:val="0"/>
        <w:overflowPunct w:val="0"/>
        <w:autoSpaceDE w:val="0"/>
        <w:autoSpaceDN w:val="0"/>
        <w:adjustRightInd w:val="0"/>
        <w:spacing w:before="40" w:after="120"/>
        <w:jc w:val="left"/>
        <w:textAlignment w:val="baseline"/>
        <w:rPr>
          <w:rFonts w:ascii="Arial" w:hAnsi="Arial" w:cs="Arial"/>
          <w:b/>
          <w:bCs/>
          <w:color w:val="000000"/>
          <w:sz w:val="18"/>
          <w:szCs w:val="18"/>
          <w:lang w:val="bg-BG"/>
        </w:rPr>
      </w:pPr>
      <w:r w:rsidRPr="00721663">
        <w:rPr>
          <w:rFonts w:ascii="Arial" w:hAnsi="Arial" w:cs="Arial"/>
          <w:b/>
          <w:bCs/>
          <w:i/>
          <w:color w:val="000000"/>
          <w:sz w:val="18"/>
          <w:szCs w:val="18"/>
          <w:lang w:val="bg-BG"/>
        </w:rPr>
        <w:t>Последващо оценяване</w:t>
      </w:r>
    </w:p>
    <w:p w14:paraId="233F0A49" w14:textId="77777777" w:rsidR="00BE6AB2" w:rsidRPr="00721663" w:rsidRDefault="00DF4516" w:rsidP="002620A7">
      <w:pPr>
        <w:pStyle w:val="Notesbodytext"/>
        <w:spacing w:line="240" w:lineRule="atLeast"/>
        <w:rPr>
          <w:rFonts w:ascii="Arial" w:hAnsi="Arial"/>
          <w:lang w:val="bg-BG"/>
        </w:rPr>
      </w:pPr>
      <w:r w:rsidRPr="00721663">
        <w:rPr>
          <w:rFonts w:ascii="Arial" w:hAnsi="Arial"/>
          <w:lang w:val="bg-BG"/>
        </w:rPr>
        <w:t>Последващото оценяване на финансовите пасиви зависи от тяхната класификация, както следва:</w:t>
      </w:r>
    </w:p>
    <w:p w14:paraId="447A4865" w14:textId="77777777" w:rsidR="00DC3A2C" w:rsidRPr="00721663" w:rsidRDefault="00DC3A2C" w:rsidP="00DC3A2C">
      <w:pPr>
        <w:spacing w:before="120" w:after="120"/>
        <w:jc w:val="left"/>
        <w:rPr>
          <w:rFonts w:ascii="Arial" w:hAnsi="Arial" w:cs="Arial"/>
          <w:b/>
          <w:sz w:val="18"/>
          <w:szCs w:val="18"/>
          <w:lang w:val="bg-BG"/>
        </w:rPr>
      </w:pPr>
      <w:r w:rsidRPr="00721663">
        <w:rPr>
          <w:rFonts w:ascii="Arial" w:hAnsi="Arial" w:cs="Arial"/>
          <w:b/>
          <w:sz w:val="18"/>
          <w:szCs w:val="18"/>
          <w:lang w:val="bg-BG"/>
        </w:rPr>
        <w:t>Заеми и привлечени средства</w:t>
      </w:r>
    </w:p>
    <w:p w14:paraId="2238152C" w14:textId="77777777" w:rsidR="00DC3A2C" w:rsidRDefault="00DC3A2C" w:rsidP="00DC3A2C">
      <w:pPr>
        <w:pStyle w:val="Notesbodytext"/>
        <w:spacing w:before="80"/>
        <w:rPr>
          <w:rFonts w:ascii="Arial" w:hAnsi="Arial"/>
          <w:lang w:val="bg-BG"/>
        </w:rPr>
      </w:pPr>
      <w:r w:rsidRPr="00721663">
        <w:rPr>
          <w:rFonts w:ascii="Arial" w:hAnsi="Arial"/>
          <w:lang w:val="bg-BG"/>
        </w:rPr>
        <w:t>След първоначалното им признаване, заемите и привлечените средства се оценяват по амортизирана стойност при използване на метода на ЕЛП, намалени с обезценка. Печалбите и загубите от заеми и привлечени средства се признават в отчета за доходите, когато пасивът се отписва, както и чрез процеса на амортизация.</w:t>
      </w:r>
    </w:p>
    <w:p w14:paraId="5C910197" w14:textId="77777777" w:rsidR="00DC3A2C" w:rsidRDefault="00DC3A2C">
      <w:pPr>
        <w:spacing w:line="240" w:lineRule="auto"/>
        <w:jc w:val="left"/>
        <w:rPr>
          <w:rFonts w:ascii="Arial" w:hAnsi="Arial" w:cs="Arial"/>
          <w:color w:val="000000"/>
          <w:sz w:val="18"/>
          <w:lang w:val="bg-BG"/>
        </w:rPr>
      </w:pPr>
      <w:r>
        <w:rPr>
          <w:rFonts w:ascii="Arial" w:hAnsi="Arial"/>
          <w:lang w:val="bg-BG"/>
        </w:rPr>
        <w:br w:type="page"/>
      </w:r>
    </w:p>
    <w:p w14:paraId="41F6D812" w14:textId="77777777" w:rsidR="00366AB4" w:rsidRPr="00721663" w:rsidRDefault="00A107FA" w:rsidP="00366AB4">
      <w:pPr>
        <w:spacing w:before="120" w:after="120"/>
        <w:jc w:val="left"/>
        <w:rPr>
          <w:rFonts w:ascii="Arial" w:hAnsi="Arial" w:cs="Arial"/>
          <w:b/>
          <w:bCs/>
          <w:color w:val="000000"/>
          <w:lang w:val="bg-BG"/>
        </w:rPr>
      </w:pPr>
      <w:r w:rsidRPr="005F6BCC">
        <w:rPr>
          <w:rFonts w:ascii="Arial" w:hAnsi="Arial" w:cs="Arial"/>
          <w:b/>
          <w:bCs/>
          <w:color w:val="000000"/>
          <w:lang w:val="bg-BG"/>
        </w:rPr>
        <w:t>2.3</w:t>
      </w:r>
      <w:r w:rsidR="00366AB4" w:rsidRPr="005F6BCC">
        <w:rPr>
          <w:rFonts w:ascii="Arial" w:hAnsi="Arial" w:cs="Arial"/>
          <w:b/>
          <w:bCs/>
          <w:color w:val="000000"/>
          <w:lang w:val="bg-BG"/>
        </w:rPr>
        <w:t>. Обобщение на съществените счетоводни политики (</w:t>
      </w:r>
      <w:r w:rsidR="00366AB4" w:rsidRPr="005F6BCC">
        <w:rPr>
          <w:rFonts w:ascii="Arial" w:hAnsi="Arial" w:cs="Arial"/>
          <w:b/>
          <w:bCs/>
          <w:i/>
          <w:color w:val="000000"/>
          <w:lang w:val="bg-BG"/>
        </w:rPr>
        <w:t>продължение</w:t>
      </w:r>
      <w:r w:rsidR="00366AB4" w:rsidRPr="005F6BCC">
        <w:rPr>
          <w:rFonts w:ascii="Arial" w:hAnsi="Arial" w:cs="Arial"/>
          <w:b/>
          <w:bCs/>
          <w:color w:val="000000"/>
          <w:lang w:val="bg-BG"/>
        </w:rPr>
        <w:t>)</w:t>
      </w:r>
    </w:p>
    <w:p w14:paraId="35CBF8B1" w14:textId="77777777" w:rsidR="00DC3A2C" w:rsidRPr="00721663" w:rsidRDefault="00741434" w:rsidP="00DC3A2C">
      <w:pPr>
        <w:pStyle w:val="Heading4"/>
        <w:keepNext w:val="0"/>
        <w:overflowPunct w:val="0"/>
        <w:autoSpaceDE w:val="0"/>
        <w:autoSpaceDN w:val="0"/>
        <w:adjustRightInd w:val="0"/>
        <w:spacing w:before="40" w:after="120"/>
        <w:jc w:val="left"/>
        <w:textAlignment w:val="baseline"/>
        <w:rPr>
          <w:rFonts w:ascii="Arial" w:hAnsi="Arial" w:cs="Arial"/>
          <w:b/>
          <w:bCs/>
          <w:color w:val="000000"/>
          <w:sz w:val="18"/>
          <w:szCs w:val="18"/>
          <w:lang w:val="bg-BG"/>
        </w:rPr>
      </w:pPr>
      <w:r>
        <w:rPr>
          <w:rFonts w:ascii="Arial" w:hAnsi="Arial" w:cs="Arial"/>
          <w:b/>
          <w:bCs/>
          <w:color w:val="000000"/>
          <w:sz w:val="18"/>
          <w:szCs w:val="18"/>
          <w:lang w:val="bg-BG"/>
        </w:rPr>
        <w:t>Търговски</w:t>
      </w:r>
      <w:r w:rsidR="00DC3A2C" w:rsidRPr="00721663">
        <w:rPr>
          <w:rFonts w:ascii="Arial" w:hAnsi="Arial" w:cs="Arial"/>
          <w:b/>
          <w:bCs/>
          <w:color w:val="000000"/>
          <w:sz w:val="18"/>
          <w:szCs w:val="18"/>
          <w:lang w:val="bg-BG"/>
        </w:rPr>
        <w:t xml:space="preserve"> задължения</w:t>
      </w:r>
    </w:p>
    <w:p w14:paraId="6D106315" w14:textId="77777777" w:rsidR="00DC3A2C" w:rsidRPr="00721663" w:rsidRDefault="00DC3A2C" w:rsidP="00DC3A2C">
      <w:pPr>
        <w:spacing w:after="120"/>
        <w:jc w:val="left"/>
        <w:rPr>
          <w:rFonts w:ascii="Arial" w:hAnsi="Arial" w:cs="Arial"/>
          <w:color w:val="000000"/>
          <w:sz w:val="18"/>
          <w:lang w:val="bg-BG"/>
        </w:rPr>
      </w:pPr>
      <w:r w:rsidRPr="00721663">
        <w:rPr>
          <w:rFonts w:ascii="Arial" w:hAnsi="Arial" w:cs="Arial"/>
          <w:color w:val="000000"/>
          <w:sz w:val="18"/>
          <w:lang w:val="bg-BG"/>
        </w:rPr>
        <w:t>След първоначалното им признаване търговските задължения се отчитат по амортизирана стойност чрез метода на ефективния лихвен процент.</w:t>
      </w:r>
    </w:p>
    <w:p w14:paraId="28B61318" w14:textId="77777777" w:rsidR="00EF3AB5" w:rsidRPr="00721663" w:rsidRDefault="00EF3AB5" w:rsidP="00EF3AB5">
      <w:pPr>
        <w:spacing w:before="120" w:after="120"/>
        <w:rPr>
          <w:lang w:val="bg-BG"/>
        </w:rPr>
      </w:pPr>
      <w:r w:rsidRPr="00721663">
        <w:rPr>
          <w:rFonts w:ascii="Arial" w:hAnsi="Arial" w:cs="Arial"/>
          <w:b/>
          <w:sz w:val="18"/>
          <w:szCs w:val="18"/>
          <w:lang w:val="bg-BG"/>
        </w:rPr>
        <w:t xml:space="preserve">Класификация на текущи и нетекущи  </w:t>
      </w:r>
    </w:p>
    <w:p w14:paraId="6C0739F0" w14:textId="77777777" w:rsidR="00EF3AB5" w:rsidRPr="00721663" w:rsidRDefault="00EF3AB5" w:rsidP="00EF3AB5">
      <w:pPr>
        <w:pStyle w:val="italsubhd"/>
        <w:spacing w:before="0" w:after="120" w:line="240" w:lineRule="atLeast"/>
        <w:rPr>
          <w:rFonts w:ascii="Arial" w:hAnsi="Arial" w:cs="Arial"/>
          <w:i w:val="0"/>
          <w:iCs w:val="0"/>
          <w:noProof w:val="0"/>
          <w:color w:val="auto"/>
          <w:sz w:val="18"/>
          <w:szCs w:val="18"/>
          <w:lang w:val="bg-BG"/>
        </w:rPr>
      </w:pPr>
      <w:r w:rsidRPr="00721663">
        <w:rPr>
          <w:rFonts w:ascii="Arial" w:hAnsi="Arial" w:cs="Arial"/>
          <w:i w:val="0"/>
          <w:iCs w:val="0"/>
          <w:noProof w:val="0"/>
          <w:color w:val="auto"/>
          <w:sz w:val="18"/>
          <w:szCs w:val="18"/>
          <w:lang w:val="bg-BG"/>
        </w:rPr>
        <w:t xml:space="preserve">Групата представя пасивите в отчета за  финансовото състояние като ги класифицира като текущи и нетекущи. Пасив се класифицира като текущ, когато: </w:t>
      </w:r>
    </w:p>
    <w:p w14:paraId="6C468B32" w14:textId="77777777" w:rsidR="00EF3AB5" w:rsidRPr="00721663" w:rsidRDefault="00EF3AB5" w:rsidP="00462752">
      <w:pPr>
        <w:pStyle w:val="italsubhd"/>
        <w:numPr>
          <w:ilvl w:val="0"/>
          <w:numId w:val="24"/>
        </w:numPr>
        <w:spacing w:before="0" w:line="240" w:lineRule="atLeast"/>
        <w:ind w:left="714" w:hanging="357"/>
        <w:rPr>
          <w:rFonts w:ascii="Arial" w:hAnsi="Arial" w:cs="Arial"/>
          <w:i w:val="0"/>
          <w:iCs w:val="0"/>
          <w:noProof w:val="0"/>
          <w:color w:val="auto"/>
          <w:sz w:val="18"/>
          <w:szCs w:val="18"/>
          <w:lang w:val="bg-BG"/>
        </w:rPr>
      </w:pPr>
      <w:r w:rsidRPr="00721663">
        <w:rPr>
          <w:rFonts w:ascii="Arial" w:hAnsi="Arial" w:cs="Arial"/>
          <w:i w:val="0"/>
          <w:iCs w:val="0"/>
          <w:noProof w:val="0"/>
          <w:color w:val="auto"/>
          <w:sz w:val="18"/>
          <w:szCs w:val="18"/>
          <w:lang w:val="bg-BG"/>
        </w:rPr>
        <w:t>се очаква пасивът да бъде уреден в рамките на нормалния оперативен цикъл на предприятието</w:t>
      </w:r>
    </w:p>
    <w:p w14:paraId="6956E34A" w14:textId="77777777" w:rsidR="00EF3AB5" w:rsidRPr="00721663" w:rsidRDefault="00EF3AB5" w:rsidP="00462752">
      <w:pPr>
        <w:pStyle w:val="italsubhd"/>
        <w:numPr>
          <w:ilvl w:val="0"/>
          <w:numId w:val="24"/>
        </w:numPr>
        <w:spacing w:before="0" w:line="240" w:lineRule="atLeast"/>
        <w:ind w:left="714" w:hanging="357"/>
        <w:rPr>
          <w:rFonts w:ascii="Arial" w:hAnsi="Arial" w:cs="Arial"/>
          <w:i w:val="0"/>
          <w:iCs w:val="0"/>
          <w:noProof w:val="0"/>
          <w:color w:val="auto"/>
          <w:sz w:val="18"/>
          <w:szCs w:val="18"/>
          <w:lang w:val="bg-BG"/>
        </w:rPr>
      </w:pPr>
      <w:r w:rsidRPr="00721663">
        <w:rPr>
          <w:rFonts w:ascii="Arial" w:hAnsi="Arial" w:cs="Arial"/>
          <w:i w:val="0"/>
          <w:iCs w:val="0"/>
          <w:noProof w:val="0"/>
          <w:color w:val="auto"/>
          <w:sz w:val="18"/>
          <w:szCs w:val="18"/>
          <w:lang w:val="bg-BG"/>
        </w:rPr>
        <w:t>пасивът се държи предимно с цел търгуване</w:t>
      </w:r>
    </w:p>
    <w:p w14:paraId="455A7DE7" w14:textId="77777777" w:rsidR="00EF3AB5" w:rsidRPr="00721663" w:rsidRDefault="00EF3AB5" w:rsidP="00462752">
      <w:pPr>
        <w:pStyle w:val="italsubhd"/>
        <w:numPr>
          <w:ilvl w:val="0"/>
          <w:numId w:val="24"/>
        </w:numPr>
        <w:spacing w:before="0" w:line="240" w:lineRule="atLeast"/>
        <w:ind w:left="714" w:hanging="357"/>
        <w:rPr>
          <w:rFonts w:ascii="Arial" w:hAnsi="Arial" w:cs="Arial"/>
          <w:i w:val="0"/>
          <w:iCs w:val="0"/>
          <w:noProof w:val="0"/>
          <w:color w:val="auto"/>
          <w:sz w:val="18"/>
          <w:szCs w:val="18"/>
          <w:lang w:val="bg-BG"/>
        </w:rPr>
      </w:pPr>
      <w:r w:rsidRPr="00721663">
        <w:rPr>
          <w:rFonts w:ascii="Arial" w:hAnsi="Arial" w:cs="Arial"/>
          <w:i w:val="0"/>
          <w:iCs w:val="0"/>
          <w:noProof w:val="0"/>
          <w:color w:val="auto"/>
          <w:sz w:val="18"/>
          <w:szCs w:val="18"/>
          <w:lang w:val="bg-BG"/>
        </w:rPr>
        <w:t>пасивът следва да се уреди в рамките на 12 месеца след отчетния период, или</w:t>
      </w:r>
    </w:p>
    <w:p w14:paraId="3B9CCF99" w14:textId="77777777" w:rsidR="00EF3AB5" w:rsidRPr="00721663" w:rsidRDefault="00EF3AB5" w:rsidP="00462752">
      <w:pPr>
        <w:pStyle w:val="italsubhd"/>
        <w:numPr>
          <w:ilvl w:val="0"/>
          <w:numId w:val="24"/>
        </w:numPr>
        <w:spacing w:before="0" w:line="240" w:lineRule="atLeast"/>
        <w:ind w:left="714" w:hanging="357"/>
        <w:rPr>
          <w:rFonts w:ascii="Arial" w:hAnsi="Arial" w:cs="Arial"/>
          <w:i w:val="0"/>
          <w:iCs w:val="0"/>
          <w:noProof w:val="0"/>
          <w:color w:val="auto"/>
          <w:sz w:val="18"/>
          <w:szCs w:val="18"/>
          <w:lang w:val="bg-BG"/>
        </w:rPr>
      </w:pPr>
      <w:r w:rsidRPr="00721663">
        <w:rPr>
          <w:rFonts w:ascii="Arial" w:hAnsi="Arial" w:cs="Arial"/>
          <w:i w:val="0"/>
          <w:iCs w:val="0"/>
          <w:noProof w:val="0"/>
          <w:color w:val="auto"/>
          <w:sz w:val="18"/>
          <w:szCs w:val="18"/>
          <w:lang w:val="bg-BG"/>
        </w:rPr>
        <w:t xml:space="preserve">предприятието няма безусловно право да отсрочва уреждането на пасива за период най-малко дванадесет месеца след отчетния период. </w:t>
      </w:r>
    </w:p>
    <w:p w14:paraId="09D501C5" w14:textId="77777777" w:rsidR="00EF3AB5" w:rsidRPr="00721663" w:rsidRDefault="002E2C87" w:rsidP="00EF3AB5">
      <w:pPr>
        <w:pStyle w:val="italsubhd"/>
        <w:spacing w:before="0" w:after="120" w:line="240" w:lineRule="atLeast"/>
        <w:rPr>
          <w:rFonts w:ascii="Arial" w:hAnsi="Arial" w:cs="Arial"/>
          <w:i w:val="0"/>
          <w:iCs w:val="0"/>
          <w:noProof w:val="0"/>
          <w:color w:val="auto"/>
          <w:sz w:val="18"/>
          <w:szCs w:val="18"/>
          <w:lang w:val="bg-BG"/>
        </w:rPr>
      </w:pPr>
      <w:r w:rsidRPr="00721663">
        <w:rPr>
          <w:rFonts w:ascii="Arial" w:hAnsi="Arial" w:cs="Arial"/>
          <w:i w:val="0"/>
          <w:iCs w:val="0"/>
          <w:noProof w:val="0"/>
          <w:color w:val="auto"/>
          <w:sz w:val="18"/>
          <w:szCs w:val="18"/>
          <w:lang w:val="bg-BG"/>
        </w:rPr>
        <w:t>Групата</w:t>
      </w:r>
      <w:r w:rsidR="00EF3AB5" w:rsidRPr="00721663">
        <w:rPr>
          <w:rFonts w:ascii="Arial" w:hAnsi="Arial" w:cs="Arial"/>
          <w:i w:val="0"/>
          <w:iCs w:val="0"/>
          <w:noProof w:val="0"/>
          <w:color w:val="auto"/>
          <w:sz w:val="18"/>
          <w:szCs w:val="18"/>
          <w:lang w:val="bg-BG"/>
        </w:rPr>
        <w:t xml:space="preserve"> класифицира всички останали пасиви като нетекущи.</w:t>
      </w:r>
    </w:p>
    <w:p w14:paraId="4BB1863B" w14:textId="77777777" w:rsidR="00C94528" w:rsidRPr="00721663" w:rsidRDefault="00C94528" w:rsidP="00C94528">
      <w:pPr>
        <w:spacing w:after="120"/>
        <w:jc w:val="left"/>
        <w:rPr>
          <w:rFonts w:ascii="Arial" w:hAnsi="Arial" w:cs="Arial"/>
          <w:b/>
          <w:sz w:val="18"/>
          <w:szCs w:val="18"/>
          <w:lang w:val="bg-BG"/>
        </w:rPr>
      </w:pPr>
      <w:r w:rsidRPr="00721663">
        <w:rPr>
          <w:rFonts w:ascii="Arial" w:hAnsi="Arial" w:cs="Arial"/>
          <w:b/>
          <w:i/>
          <w:sz w:val="18"/>
          <w:szCs w:val="18"/>
          <w:lang w:val="bg-BG"/>
        </w:rPr>
        <w:t>Компенсиране на финансови инструменти</w:t>
      </w:r>
    </w:p>
    <w:p w14:paraId="747770F4" w14:textId="77777777" w:rsidR="00C94528" w:rsidRPr="00721663" w:rsidRDefault="00C94528" w:rsidP="00C94528">
      <w:pPr>
        <w:pStyle w:val="Notesbodytext"/>
        <w:spacing w:line="240" w:lineRule="atLeast"/>
        <w:rPr>
          <w:rFonts w:ascii="Arial" w:hAnsi="Arial"/>
          <w:lang w:val="bg-BG"/>
        </w:rPr>
      </w:pPr>
      <w:r w:rsidRPr="00721663">
        <w:rPr>
          <w:rFonts w:ascii="Arial" w:hAnsi="Arial"/>
          <w:lang w:val="bg-BG"/>
        </w:rPr>
        <w:t>Финансовите активи и финансовите пасиви се компенсират и нетната сума се представя в отчета за финансовото състояние, когато и само когато, е налице юридически упражняемо право за компенсиране на признатите суми и Групата има намерение за уреждането им на нетна база, или за едновременно реализиране на активите и уреждане на пасивите.</w:t>
      </w:r>
    </w:p>
    <w:p w14:paraId="25353395" w14:textId="77777777" w:rsidR="00BE6AB2" w:rsidRPr="00721663" w:rsidRDefault="00035E77" w:rsidP="00C94528">
      <w:pPr>
        <w:spacing w:after="120"/>
        <w:jc w:val="left"/>
        <w:rPr>
          <w:rFonts w:ascii="Arial" w:hAnsi="Arial" w:cs="Arial"/>
          <w:b/>
          <w:i/>
          <w:sz w:val="18"/>
          <w:szCs w:val="18"/>
          <w:lang w:val="bg-BG"/>
        </w:rPr>
      </w:pPr>
      <w:r w:rsidRPr="00721663">
        <w:rPr>
          <w:rFonts w:ascii="Arial" w:hAnsi="Arial" w:cs="Arial"/>
          <w:b/>
          <w:i/>
          <w:sz w:val="18"/>
          <w:szCs w:val="18"/>
          <w:lang w:val="bg-BG"/>
        </w:rPr>
        <w:t>Амортизирана стойност на финансовите инструменти</w:t>
      </w:r>
    </w:p>
    <w:p w14:paraId="0508A72F" w14:textId="77777777" w:rsidR="004703F7" w:rsidRPr="00721663" w:rsidRDefault="00035E77" w:rsidP="00C94528">
      <w:pPr>
        <w:pStyle w:val="Notesbodytext"/>
        <w:spacing w:line="240" w:lineRule="atLeast"/>
        <w:rPr>
          <w:rFonts w:ascii="Arial" w:hAnsi="Arial"/>
          <w:lang w:val="bg-BG"/>
        </w:rPr>
      </w:pPr>
      <w:r w:rsidRPr="00721663">
        <w:rPr>
          <w:rFonts w:ascii="Arial" w:hAnsi="Arial"/>
          <w:lang w:val="bg-BG"/>
        </w:rPr>
        <w:t>Амортизираната стойност се изчислява като се използва методът на ефективния лихвен процент минус загубата от обезценка и изплащане на главницата или редукция. Изчислението отчита всяка премия или отстъпка при придобиването и включва разходите и таксите по сделката, които представляват неразделна част от ефективния лихвен процент.</w:t>
      </w:r>
      <w:r w:rsidR="00284A88" w:rsidRPr="00721663">
        <w:rPr>
          <w:rFonts w:ascii="Arial" w:hAnsi="Arial"/>
          <w:lang w:val="bg-BG"/>
        </w:rPr>
        <w:t xml:space="preserve"> </w:t>
      </w:r>
      <w:r w:rsidRPr="00721663">
        <w:rPr>
          <w:rFonts w:ascii="Arial" w:hAnsi="Arial"/>
          <w:lang w:val="bg-BG"/>
        </w:rPr>
        <w:t xml:space="preserve">Амортизацията, изчислена по метода на ЕЛП, се включва във финансовите разходи в отчета за </w:t>
      </w:r>
      <w:r w:rsidR="007135A1" w:rsidRPr="00721663">
        <w:rPr>
          <w:rFonts w:ascii="Arial" w:hAnsi="Arial"/>
          <w:lang w:val="bg-BG"/>
        </w:rPr>
        <w:t>всеобхватния доход</w:t>
      </w:r>
      <w:r w:rsidRPr="00721663">
        <w:rPr>
          <w:rFonts w:ascii="Arial" w:hAnsi="Arial"/>
          <w:lang w:val="bg-BG"/>
        </w:rPr>
        <w:t>.</w:t>
      </w:r>
    </w:p>
    <w:p w14:paraId="38027790" w14:textId="77777777" w:rsidR="004600D6" w:rsidRPr="00721663" w:rsidRDefault="00035E77" w:rsidP="00C94528">
      <w:pPr>
        <w:spacing w:after="120"/>
        <w:jc w:val="left"/>
        <w:rPr>
          <w:rFonts w:ascii="Arial" w:hAnsi="Arial" w:cs="Arial"/>
          <w:b/>
          <w:sz w:val="18"/>
          <w:szCs w:val="18"/>
          <w:lang w:val="bg-BG"/>
        </w:rPr>
      </w:pPr>
      <w:r w:rsidRPr="00721663">
        <w:rPr>
          <w:rFonts w:ascii="Arial" w:hAnsi="Arial" w:cs="Arial"/>
          <w:b/>
          <w:sz w:val="18"/>
          <w:szCs w:val="18"/>
          <w:lang w:val="bg-BG"/>
        </w:rPr>
        <w:t>Отписване на финансови инструменти</w:t>
      </w:r>
    </w:p>
    <w:p w14:paraId="51B19FB6" w14:textId="77777777" w:rsidR="004600D6" w:rsidRPr="00721663" w:rsidRDefault="00035E77" w:rsidP="00C94528">
      <w:pPr>
        <w:spacing w:after="120"/>
        <w:jc w:val="left"/>
        <w:rPr>
          <w:rFonts w:ascii="Arial" w:hAnsi="Arial" w:cs="Arial"/>
          <w:b/>
          <w:i/>
          <w:sz w:val="18"/>
          <w:szCs w:val="18"/>
          <w:lang w:val="bg-BG"/>
        </w:rPr>
      </w:pPr>
      <w:r w:rsidRPr="00721663">
        <w:rPr>
          <w:rFonts w:ascii="Arial" w:hAnsi="Arial" w:cs="Arial"/>
          <w:b/>
          <w:i/>
          <w:sz w:val="18"/>
          <w:szCs w:val="18"/>
          <w:lang w:val="bg-BG"/>
        </w:rPr>
        <w:t>Финансови активи</w:t>
      </w:r>
    </w:p>
    <w:p w14:paraId="2648DF23" w14:textId="77777777" w:rsidR="00C94528" w:rsidRPr="00721663" w:rsidRDefault="00C94528" w:rsidP="00C94528">
      <w:pPr>
        <w:pStyle w:val="Notesbodytext"/>
        <w:spacing w:line="240" w:lineRule="atLeast"/>
        <w:rPr>
          <w:rFonts w:ascii="Arial" w:hAnsi="Arial"/>
          <w:lang w:val="bg-BG"/>
        </w:rPr>
      </w:pPr>
      <w:r w:rsidRPr="00721663">
        <w:rPr>
          <w:rFonts w:ascii="Arial" w:hAnsi="Arial"/>
          <w:lang w:val="bg-BG"/>
        </w:rPr>
        <w:t>Финансов актив (или, когато е приложимо, част от финансов актив или част от група от сходни финансови активи) се отписва, когато:</w:t>
      </w:r>
    </w:p>
    <w:p w14:paraId="54A50945" w14:textId="77777777" w:rsidR="00C94528" w:rsidRPr="00721663" w:rsidRDefault="00C94528" w:rsidP="00C94528">
      <w:pPr>
        <w:pStyle w:val="tablebullet"/>
        <w:spacing w:line="240" w:lineRule="atLeast"/>
        <w:rPr>
          <w:rFonts w:ascii="Arial" w:hAnsi="Arial" w:cs="Arial"/>
          <w:lang w:val="bg-BG"/>
        </w:rPr>
      </w:pPr>
      <w:r w:rsidRPr="00721663">
        <w:rPr>
          <w:rFonts w:ascii="Arial" w:hAnsi="Arial" w:cs="Arial"/>
          <w:lang w:val="bg-BG"/>
        </w:rPr>
        <w:t>договорните права върху паричните потоци от финансовия актив са изтекли;</w:t>
      </w:r>
    </w:p>
    <w:p w14:paraId="5A6187D0" w14:textId="77777777" w:rsidR="00C94528" w:rsidRPr="00721663" w:rsidRDefault="00C94528" w:rsidP="00C94528">
      <w:pPr>
        <w:pStyle w:val="tablebullet"/>
        <w:spacing w:after="120" w:line="240" w:lineRule="atLeast"/>
        <w:rPr>
          <w:rFonts w:ascii="Arial" w:hAnsi="Arial" w:cs="Arial"/>
          <w:lang w:val="bg-BG"/>
        </w:rPr>
      </w:pPr>
      <w:r w:rsidRPr="00721663">
        <w:rPr>
          <w:rFonts w:ascii="Arial" w:hAnsi="Arial" w:cs="Arial"/>
          <w:lang w:val="bg-BG"/>
        </w:rPr>
        <w:t xml:space="preserve">договорните права за получаване на парични потоци от финансовия актив са прехвърлени, при което (а) </w:t>
      </w:r>
      <w:r w:rsidR="001B1468" w:rsidRPr="00721663">
        <w:rPr>
          <w:rFonts w:ascii="Arial" w:hAnsi="Arial" w:cs="Arial"/>
          <w:lang w:val="bg-BG"/>
        </w:rPr>
        <w:t>Групата</w:t>
      </w:r>
      <w:r w:rsidRPr="00721663">
        <w:rPr>
          <w:rFonts w:ascii="Arial" w:hAnsi="Arial" w:cs="Arial"/>
          <w:lang w:val="bg-BG"/>
        </w:rPr>
        <w:t xml:space="preserve"> е прехвърлило в значителна степен всички рискове и ползи от собствеността върху финансовия актив; или (б) </w:t>
      </w:r>
      <w:r w:rsidR="001B1468" w:rsidRPr="00721663">
        <w:rPr>
          <w:rFonts w:ascii="Arial" w:hAnsi="Arial" w:cs="Arial"/>
          <w:lang w:val="bg-BG"/>
        </w:rPr>
        <w:t>Групата</w:t>
      </w:r>
      <w:r w:rsidRPr="00721663">
        <w:rPr>
          <w:rFonts w:ascii="Arial" w:hAnsi="Arial" w:cs="Arial"/>
          <w:lang w:val="bg-BG"/>
        </w:rPr>
        <w:t xml:space="preserve"> нито е прехвърлило, нито е запазило в значителна степен всички рискове и ползи от собствеността върху финансовия актив, но не е запазило контрола върху него.</w:t>
      </w:r>
    </w:p>
    <w:p w14:paraId="6AA4180B" w14:textId="77777777" w:rsidR="004600D6" w:rsidRPr="00721663" w:rsidRDefault="00035E77" w:rsidP="00C94528">
      <w:pPr>
        <w:spacing w:after="120"/>
        <w:jc w:val="left"/>
        <w:rPr>
          <w:rFonts w:ascii="Arial" w:hAnsi="Arial" w:cs="Arial"/>
          <w:b/>
          <w:i/>
          <w:sz w:val="18"/>
          <w:szCs w:val="18"/>
          <w:lang w:val="bg-BG"/>
        </w:rPr>
      </w:pPr>
      <w:r w:rsidRPr="00721663">
        <w:rPr>
          <w:rFonts w:ascii="Arial" w:hAnsi="Arial" w:cs="Arial"/>
          <w:b/>
          <w:i/>
          <w:sz w:val="18"/>
          <w:szCs w:val="18"/>
          <w:lang w:val="bg-BG"/>
        </w:rPr>
        <w:t>Финансови пасиви</w:t>
      </w:r>
    </w:p>
    <w:p w14:paraId="343B43E6" w14:textId="77777777" w:rsidR="004600D6" w:rsidRPr="00721663" w:rsidRDefault="00610EF1" w:rsidP="00C94528">
      <w:pPr>
        <w:pStyle w:val="Notesbodytext"/>
        <w:spacing w:line="240" w:lineRule="atLeast"/>
        <w:rPr>
          <w:rFonts w:ascii="Arial" w:hAnsi="Arial"/>
          <w:lang w:val="bg-BG"/>
        </w:rPr>
      </w:pPr>
      <w:r w:rsidRPr="00721663">
        <w:rPr>
          <w:rFonts w:ascii="Arial" w:hAnsi="Arial"/>
          <w:lang w:val="bg-BG"/>
        </w:rPr>
        <w:t xml:space="preserve">Финансов пасив се отписва, когато той е погасен, т.е. когато задължението, определено в договора, е отпаднало или е анулирано или срокът му е изтекъл. Когато съществуващ финансов пасив бъде заменен с друг от същия кредитор при значително различни условия или условията на съществуващия пасив бъдат съществено модифицирани, тази замяна или модификация се третира като отписване на първоначалния пасив и признаване на нов пасив, а разликата в съответните балансови стойности се признава в </w:t>
      </w:r>
      <w:r w:rsidR="004B3251" w:rsidRPr="00721663">
        <w:rPr>
          <w:rFonts w:ascii="Arial" w:hAnsi="Arial"/>
          <w:lang w:val="bg-BG"/>
        </w:rPr>
        <w:t>отчета за всеобхватния доход</w:t>
      </w:r>
      <w:r w:rsidRPr="00721663">
        <w:rPr>
          <w:rFonts w:ascii="Arial" w:hAnsi="Arial"/>
          <w:lang w:val="bg-BG"/>
        </w:rPr>
        <w:t>.</w:t>
      </w:r>
    </w:p>
    <w:p w14:paraId="60A8A997" w14:textId="77777777" w:rsidR="004600D6" w:rsidRPr="00721663" w:rsidRDefault="00610EF1" w:rsidP="00C94528">
      <w:pPr>
        <w:spacing w:after="120"/>
        <w:jc w:val="left"/>
        <w:rPr>
          <w:rFonts w:ascii="Arial" w:hAnsi="Arial" w:cs="Arial"/>
          <w:b/>
          <w:sz w:val="18"/>
          <w:szCs w:val="18"/>
          <w:lang w:val="bg-BG"/>
        </w:rPr>
      </w:pPr>
      <w:r w:rsidRPr="00721663">
        <w:rPr>
          <w:rFonts w:ascii="Arial" w:hAnsi="Arial" w:cs="Arial"/>
          <w:b/>
          <w:sz w:val="18"/>
          <w:szCs w:val="18"/>
          <w:lang w:val="bg-BG"/>
        </w:rPr>
        <w:t>Разходи за заеми</w:t>
      </w:r>
    </w:p>
    <w:p w14:paraId="417EFA4B" w14:textId="77777777" w:rsidR="00F34CBD" w:rsidRPr="00721663" w:rsidRDefault="00F34CBD" w:rsidP="00C94528">
      <w:pPr>
        <w:pStyle w:val="bluesubhead"/>
        <w:spacing w:before="120" w:after="120" w:line="240" w:lineRule="atLeast"/>
        <w:rPr>
          <w:rStyle w:val="hps"/>
          <w:rFonts w:ascii="Arial" w:hAnsi="Arial" w:cs="Arial"/>
          <w:b w:val="0"/>
          <w:color w:val="333333"/>
          <w:sz w:val="18"/>
          <w:szCs w:val="18"/>
          <w:lang w:val="bg-BG"/>
        </w:rPr>
      </w:pPr>
      <w:r w:rsidRPr="00721663">
        <w:rPr>
          <w:rStyle w:val="hps"/>
          <w:rFonts w:ascii="Arial" w:hAnsi="Arial" w:cs="Arial"/>
          <w:b w:val="0"/>
          <w:color w:val="333333"/>
          <w:sz w:val="18"/>
          <w:szCs w:val="18"/>
          <w:lang w:val="bg-BG"/>
        </w:rPr>
        <w:t>Разходите по заеми директно</w:t>
      </w:r>
      <w:r w:rsidRPr="00721663">
        <w:rPr>
          <w:rFonts w:ascii="Arial" w:hAnsi="Arial" w:cs="Arial"/>
          <w:b w:val="0"/>
          <w:color w:val="333333"/>
          <w:sz w:val="18"/>
          <w:szCs w:val="18"/>
          <w:lang w:val="bg-BG"/>
        </w:rPr>
        <w:t xml:space="preserve"> </w:t>
      </w:r>
      <w:r w:rsidRPr="00721663">
        <w:rPr>
          <w:rStyle w:val="hps"/>
          <w:rFonts w:ascii="Arial" w:hAnsi="Arial" w:cs="Arial"/>
          <w:b w:val="0"/>
          <w:color w:val="333333"/>
          <w:sz w:val="18"/>
          <w:szCs w:val="18"/>
          <w:lang w:val="bg-BG"/>
        </w:rPr>
        <w:t>свързани с придобиването</w:t>
      </w:r>
      <w:r w:rsidRPr="00721663">
        <w:rPr>
          <w:rFonts w:ascii="Arial" w:hAnsi="Arial" w:cs="Arial"/>
          <w:b w:val="0"/>
          <w:color w:val="333333"/>
          <w:sz w:val="18"/>
          <w:szCs w:val="18"/>
          <w:lang w:val="bg-BG"/>
        </w:rPr>
        <w:t xml:space="preserve">, </w:t>
      </w:r>
      <w:r w:rsidRPr="00721663">
        <w:rPr>
          <w:rStyle w:val="hps"/>
          <w:rFonts w:ascii="Arial" w:hAnsi="Arial" w:cs="Arial"/>
          <w:b w:val="0"/>
          <w:color w:val="333333"/>
          <w:sz w:val="18"/>
          <w:szCs w:val="18"/>
          <w:lang w:val="bg-BG"/>
        </w:rPr>
        <w:t>строителството или производството на</w:t>
      </w:r>
      <w:r w:rsidRPr="00721663">
        <w:rPr>
          <w:rFonts w:ascii="Arial" w:hAnsi="Arial" w:cs="Arial"/>
          <w:b w:val="0"/>
          <w:color w:val="333333"/>
          <w:sz w:val="18"/>
          <w:szCs w:val="18"/>
          <w:lang w:val="bg-BG"/>
        </w:rPr>
        <w:t xml:space="preserve"> </w:t>
      </w:r>
      <w:r w:rsidRPr="00721663">
        <w:rPr>
          <w:rStyle w:val="hps"/>
          <w:rFonts w:ascii="Arial" w:hAnsi="Arial" w:cs="Arial"/>
          <w:b w:val="0"/>
          <w:color w:val="333333"/>
          <w:sz w:val="18"/>
          <w:szCs w:val="18"/>
          <w:lang w:val="bg-BG"/>
        </w:rPr>
        <w:t>един актив</w:t>
      </w:r>
      <w:r w:rsidRPr="00721663">
        <w:rPr>
          <w:rFonts w:ascii="Arial" w:hAnsi="Arial" w:cs="Arial"/>
          <w:b w:val="0"/>
          <w:color w:val="333333"/>
          <w:sz w:val="18"/>
          <w:szCs w:val="18"/>
          <w:lang w:val="bg-BG"/>
        </w:rPr>
        <w:t xml:space="preserve">, който изисква </w:t>
      </w:r>
      <w:r w:rsidRPr="00721663">
        <w:rPr>
          <w:rStyle w:val="hps"/>
          <w:rFonts w:ascii="Arial" w:hAnsi="Arial" w:cs="Arial"/>
          <w:b w:val="0"/>
          <w:color w:val="333333"/>
          <w:sz w:val="18"/>
          <w:szCs w:val="18"/>
          <w:lang w:val="bg-BG"/>
        </w:rPr>
        <w:t>значителен период от</w:t>
      </w:r>
      <w:r w:rsidRPr="00721663">
        <w:rPr>
          <w:rFonts w:ascii="Arial" w:hAnsi="Arial" w:cs="Arial"/>
          <w:b w:val="0"/>
          <w:color w:val="333333"/>
          <w:sz w:val="18"/>
          <w:szCs w:val="18"/>
          <w:lang w:val="bg-BG"/>
        </w:rPr>
        <w:t xml:space="preserve"> </w:t>
      </w:r>
      <w:r w:rsidRPr="00721663">
        <w:rPr>
          <w:rStyle w:val="hps"/>
          <w:rFonts w:ascii="Arial" w:hAnsi="Arial" w:cs="Arial"/>
          <w:b w:val="0"/>
          <w:color w:val="333333"/>
          <w:sz w:val="18"/>
          <w:szCs w:val="18"/>
          <w:lang w:val="bg-BG"/>
        </w:rPr>
        <w:t>време, за да</w:t>
      </w:r>
      <w:r w:rsidRPr="00721663">
        <w:rPr>
          <w:rFonts w:ascii="Arial" w:hAnsi="Arial" w:cs="Arial"/>
          <w:b w:val="0"/>
          <w:color w:val="333333"/>
          <w:sz w:val="18"/>
          <w:szCs w:val="18"/>
          <w:lang w:val="bg-BG"/>
        </w:rPr>
        <w:t xml:space="preserve"> </w:t>
      </w:r>
      <w:r w:rsidRPr="00721663">
        <w:rPr>
          <w:rStyle w:val="hps"/>
          <w:rFonts w:ascii="Arial" w:hAnsi="Arial" w:cs="Arial"/>
          <w:b w:val="0"/>
          <w:color w:val="333333"/>
          <w:sz w:val="18"/>
          <w:szCs w:val="18"/>
          <w:lang w:val="bg-BG"/>
        </w:rPr>
        <w:t>стане готов за предвижданата</w:t>
      </w:r>
      <w:r w:rsidRPr="00721663">
        <w:rPr>
          <w:rFonts w:ascii="Arial" w:hAnsi="Arial" w:cs="Arial"/>
          <w:b w:val="0"/>
          <w:color w:val="333333"/>
          <w:sz w:val="18"/>
          <w:szCs w:val="18"/>
          <w:lang w:val="bg-BG"/>
        </w:rPr>
        <w:t xml:space="preserve"> </w:t>
      </w:r>
      <w:r w:rsidRPr="00721663">
        <w:rPr>
          <w:rStyle w:val="hps"/>
          <w:rFonts w:ascii="Arial" w:hAnsi="Arial" w:cs="Arial"/>
          <w:b w:val="0"/>
          <w:color w:val="333333"/>
          <w:sz w:val="18"/>
          <w:szCs w:val="18"/>
          <w:lang w:val="bg-BG"/>
        </w:rPr>
        <w:t>му употреба или продажба</w:t>
      </w:r>
      <w:r w:rsidRPr="00721663">
        <w:rPr>
          <w:rFonts w:ascii="Arial" w:hAnsi="Arial" w:cs="Arial"/>
          <w:b w:val="0"/>
          <w:color w:val="333333"/>
          <w:sz w:val="18"/>
          <w:szCs w:val="18"/>
          <w:lang w:val="bg-BG"/>
        </w:rPr>
        <w:t xml:space="preserve">, се капитализират </w:t>
      </w:r>
      <w:r w:rsidRPr="00721663">
        <w:rPr>
          <w:rStyle w:val="hps"/>
          <w:rFonts w:ascii="Arial" w:hAnsi="Arial" w:cs="Arial"/>
          <w:b w:val="0"/>
          <w:color w:val="333333"/>
          <w:sz w:val="18"/>
          <w:szCs w:val="18"/>
          <w:lang w:val="bg-BG"/>
        </w:rPr>
        <w:t>като част от</w:t>
      </w:r>
      <w:r w:rsidRPr="00721663">
        <w:rPr>
          <w:rFonts w:ascii="Arial" w:hAnsi="Arial" w:cs="Arial"/>
          <w:b w:val="0"/>
          <w:color w:val="333333"/>
          <w:sz w:val="18"/>
          <w:szCs w:val="18"/>
          <w:lang w:val="bg-BG"/>
        </w:rPr>
        <w:t xml:space="preserve"> </w:t>
      </w:r>
      <w:r w:rsidRPr="00721663">
        <w:rPr>
          <w:rStyle w:val="hps"/>
          <w:rFonts w:ascii="Arial" w:hAnsi="Arial" w:cs="Arial"/>
          <w:b w:val="0"/>
          <w:color w:val="333333"/>
          <w:sz w:val="18"/>
          <w:szCs w:val="18"/>
          <w:lang w:val="bg-BG"/>
        </w:rPr>
        <w:t>себестойността на актива</w:t>
      </w:r>
      <w:r w:rsidRPr="00721663">
        <w:rPr>
          <w:rFonts w:ascii="Arial" w:hAnsi="Arial" w:cs="Arial"/>
          <w:b w:val="0"/>
          <w:color w:val="333333"/>
          <w:sz w:val="18"/>
          <w:szCs w:val="18"/>
          <w:lang w:val="bg-BG"/>
        </w:rPr>
        <w:t xml:space="preserve">. </w:t>
      </w:r>
      <w:r w:rsidRPr="00721663">
        <w:rPr>
          <w:rStyle w:val="hps"/>
          <w:rFonts w:ascii="Arial" w:hAnsi="Arial" w:cs="Arial"/>
          <w:b w:val="0"/>
          <w:color w:val="333333"/>
          <w:sz w:val="18"/>
          <w:szCs w:val="18"/>
          <w:lang w:val="bg-BG"/>
        </w:rPr>
        <w:t>Всички останали</w:t>
      </w:r>
      <w:r w:rsidRPr="00721663">
        <w:rPr>
          <w:rFonts w:ascii="Arial" w:hAnsi="Arial" w:cs="Arial"/>
          <w:b w:val="0"/>
          <w:color w:val="333333"/>
          <w:sz w:val="18"/>
          <w:szCs w:val="18"/>
          <w:lang w:val="bg-BG"/>
        </w:rPr>
        <w:t xml:space="preserve"> </w:t>
      </w:r>
      <w:r w:rsidRPr="00721663">
        <w:rPr>
          <w:rStyle w:val="hps"/>
          <w:rFonts w:ascii="Arial" w:hAnsi="Arial" w:cs="Arial"/>
          <w:b w:val="0"/>
          <w:color w:val="333333"/>
          <w:sz w:val="18"/>
          <w:szCs w:val="18"/>
          <w:lang w:val="bg-BG"/>
        </w:rPr>
        <w:t>разходи по заеми се</w:t>
      </w:r>
      <w:r w:rsidRPr="00721663">
        <w:rPr>
          <w:rFonts w:ascii="Arial" w:hAnsi="Arial" w:cs="Arial"/>
          <w:b w:val="0"/>
          <w:color w:val="333333"/>
          <w:sz w:val="18"/>
          <w:szCs w:val="18"/>
          <w:lang w:val="bg-BG"/>
        </w:rPr>
        <w:t xml:space="preserve"> </w:t>
      </w:r>
      <w:r w:rsidRPr="00721663">
        <w:rPr>
          <w:rStyle w:val="hps"/>
          <w:rFonts w:ascii="Arial" w:hAnsi="Arial" w:cs="Arial"/>
          <w:b w:val="0"/>
          <w:color w:val="333333"/>
          <w:sz w:val="18"/>
          <w:szCs w:val="18"/>
          <w:lang w:val="bg-BG"/>
        </w:rPr>
        <w:t>признават като разход за</w:t>
      </w:r>
      <w:r w:rsidRPr="00721663">
        <w:rPr>
          <w:rFonts w:ascii="Arial" w:hAnsi="Arial" w:cs="Arial"/>
          <w:b w:val="0"/>
          <w:color w:val="333333"/>
          <w:sz w:val="18"/>
          <w:szCs w:val="18"/>
          <w:lang w:val="bg-BG"/>
        </w:rPr>
        <w:t xml:space="preserve"> </w:t>
      </w:r>
      <w:r w:rsidRPr="00721663">
        <w:rPr>
          <w:rStyle w:val="hps"/>
          <w:rFonts w:ascii="Arial" w:hAnsi="Arial" w:cs="Arial"/>
          <w:b w:val="0"/>
          <w:color w:val="333333"/>
          <w:sz w:val="18"/>
          <w:szCs w:val="18"/>
          <w:lang w:val="bg-BG"/>
        </w:rPr>
        <w:t>периода, в който</w:t>
      </w:r>
      <w:r w:rsidRPr="00721663">
        <w:rPr>
          <w:rFonts w:ascii="Arial" w:hAnsi="Arial" w:cs="Arial"/>
          <w:b w:val="0"/>
          <w:color w:val="333333"/>
          <w:sz w:val="18"/>
          <w:szCs w:val="18"/>
          <w:lang w:val="bg-BG"/>
        </w:rPr>
        <w:t xml:space="preserve"> възникват. </w:t>
      </w:r>
      <w:r w:rsidRPr="00721663">
        <w:rPr>
          <w:rStyle w:val="hps"/>
          <w:rFonts w:ascii="Arial" w:hAnsi="Arial" w:cs="Arial"/>
          <w:b w:val="0"/>
          <w:color w:val="333333"/>
          <w:sz w:val="18"/>
          <w:szCs w:val="18"/>
          <w:lang w:val="bg-BG"/>
        </w:rPr>
        <w:t>Разходите по заеми</w:t>
      </w:r>
      <w:r w:rsidRPr="00721663">
        <w:rPr>
          <w:rFonts w:ascii="Arial" w:hAnsi="Arial" w:cs="Arial"/>
          <w:b w:val="0"/>
          <w:color w:val="333333"/>
          <w:sz w:val="18"/>
          <w:szCs w:val="18"/>
          <w:lang w:val="bg-BG"/>
        </w:rPr>
        <w:t xml:space="preserve"> </w:t>
      </w:r>
      <w:r w:rsidRPr="00721663">
        <w:rPr>
          <w:rStyle w:val="hps"/>
          <w:rFonts w:ascii="Arial" w:hAnsi="Arial" w:cs="Arial"/>
          <w:b w:val="0"/>
          <w:color w:val="333333"/>
          <w:sz w:val="18"/>
          <w:szCs w:val="18"/>
          <w:lang w:val="bg-BG"/>
        </w:rPr>
        <w:t>се състоят от</w:t>
      </w:r>
      <w:r w:rsidRPr="00721663">
        <w:rPr>
          <w:rFonts w:ascii="Arial" w:hAnsi="Arial" w:cs="Arial"/>
          <w:b w:val="0"/>
          <w:color w:val="333333"/>
          <w:sz w:val="18"/>
          <w:szCs w:val="18"/>
          <w:lang w:val="bg-BG"/>
        </w:rPr>
        <w:t xml:space="preserve"> </w:t>
      </w:r>
      <w:r w:rsidRPr="00721663">
        <w:rPr>
          <w:rStyle w:val="hps"/>
          <w:rFonts w:ascii="Arial" w:hAnsi="Arial" w:cs="Arial"/>
          <w:b w:val="0"/>
          <w:color w:val="333333"/>
          <w:sz w:val="18"/>
          <w:szCs w:val="18"/>
          <w:lang w:val="bg-BG"/>
        </w:rPr>
        <w:t>лихви и други разходи</w:t>
      </w:r>
      <w:r w:rsidRPr="00721663">
        <w:rPr>
          <w:rFonts w:ascii="Arial" w:hAnsi="Arial" w:cs="Arial"/>
          <w:b w:val="0"/>
          <w:color w:val="333333"/>
          <w:sz w:val="18"/>
          <w:szCs w:val="18"/>
          <w:lang w:val="bg-BG"/>
        </w:rPr>
        <w:t xml:space="preserve">, които </w:t>
      </w:r>
      <w:r w:rsidRPr="00721663">
        <w:rPr>
          <w:rStyle w:val="hps"/>
          <w:rFonts w:ascii="Arial" w:hAnsi="Arial" w:cs="Arial"/>
          <w:b w:val="0"/>
          <w:color w:val="333333"/>
          <w:sz w:val="18"/>
          <w:szCs w:val="18"/>
          <w:lang w:val="bg-BG"/>
        </w:rPr>
        <w:t>дадено предприятие прави във</w:t>
      </w:r>
      <w:r w:rsidRPr="00721663">
        <w:rPr>
          <w:rFonts w:ascii="Arial" w:hAnsi="Arial" w:cs="Arial"/>
          <w:b w:val="0"/>
          <w:color w:val="333333"/>
          <w:sz w:val="18"/>
          <w:szCs w:val="18"/>
          <w:lang w:val="bg-BG"/>
        </w:rPr>
        <w:t xml:space="preserve"> </w:t>
      </w:r>
      <w:r w:rsidRPr="00721663">
        <w:rPr>
          <w:rStyle w:val="hps"/>
          <w:rFonts w:ascii="Arial" w:hAnsi="Arial" w:cs="Arial"/>
          <w:b w:val="0"/>
          <w:color w:val="333333"/>
          <w:sz w:val="18"/>
          <w:szCs w:val="18"/>
          <w:lang w:val="bg-BG"/>
        </w:rPr>
        <w:t>връзка със заемането</w:t>
      </w:r>
      <w:r w:rsidRPr="00721663">
        <w:rPr>
          <w:rFonts w:ascii="Arial" w:hAnsi="Arial" w:cs="Arial"/>
          <w:b w:val="0"/>
          <w:color w:val="333333"/>
          <w:sz w:val="18"/>
          <w:szCs w:val="18"/>
          <w:lang w:val="bg-BG"/>
        </w:rPr>
        <w:t xml:space="preserve"> </w:t>
      </w:r>
      <w:r w:rsidRPr="00721663">
        <w:rPr>
          <w:rStyle w:val="hps"/>
          <w:rFonts w:ascii="Arial" w:hAnsi="Arial" w:cs="Arial"/>
          <w:b w:val="0"/>
          <w:color w:val="333333"/>
          <w:sz w:val="18"/>
          <w:szCs w:val="18"/>
          <w:lang w:val="bg-BG"/>
        </w:rPr>
        <w:t>на средства.</w:t>
      </w:r>
    </w:p>
    <w:p w14:paraId="3F54F36D" w14:textId="77777777" w:rsidR="00712A27" w:rsidRPr="00721663" w:rsidRDefault="00712A27">
      <w:pPr>
        <w:spacing w:line="240" w:lineRule="auto"/>
        <w:jc w:val="left"/>
        <w:rPr>
          <w:rFonts w:ascii="Arial" w:hAnsi="Arial" w:cs="Arial"/>
          <w:b/>
          <w:sz w:val="18"/>
          <w:szCs w:val="18"/>
          <w:lang w:val="bg-BG"/>
        </w:rPr>
      </w:pPr>
      <w:r w:rsidRPr="00721663">
        <w:rPr>
          <w:rFonts w:ascii="Arial" w:hAnsi="Arial" w:cs="Arial"/>
          <w:b/>
          <w:sz w:val="18"/>
          <w:szCs w:val="18"/>
          <w:lang w:val="bg-BG"/>
        </w:rPr>
        <w:br w:type="page"/>
      </w:r>
    </w:p>
    <w:p w14:paraId="390B70D1" w14:textId="77777777" w:rsidR="00712A27" w:rsidRPr="00721663" w:rsidRDefault="00712A27" w:rsidP="00712A27">
      <w:pPr>
        <w:pStyle w:val="Notesitalicheading"/>
        <w:spacing w:after="120" w:line="240" w:lineRule="atLeast"/>
        <w:rPr>
          <w:rFonts w:ascii="Arial" w:hAnsi="Arial"/>
          <w:i w:val="0"/>
          <w:sz w:val="20"/>
          <w:lang w:val="bg-BG"/>
        </w:rPr>
      </w:pPr>
      <w:r w:rsidRPr="00E07C4E">
        <w:rPr>
          <w:rFonts w:ascii="Arial" w:hAnsi="Arial"/>
          <w:i w:val="0"/>
          <w:sz w:val="20"/>
          <w:lang w:val="bg-BG"/>
        </w:rPr>
        <w:t xml:space="preserve">2.3. Обобщение на съществените счетоводни политики </w:t>
      </w:r>
      <w:r w:rsidRPr="00E07C4E">
        <w:rPr>
          <w:rFonts w:ascii="Arial" w:hAnsi="Arial"/>
          <w:sz w:val="20"/>
          <w:lang w:val="bg-BG"/>
        </w:rPr>
        <w:t>(продължение)</w:t>
      </w:r>
    </w:p>
    <w:p w14:paraId="06F3E210" w14:textId="77777777" w:rsidR="00796634" w:rsidRPr="00721663" w:rsidRDefault="00610EF1" w:rsidP="00C94528">
      <w:pPr>
        <w:spacing w:after="120"/>
        <w:jc w:val="left"/>
        <w:rPr>
          <w:rFonts w:ascii="Arial" w:hAnsi="Arial" w:cs="Arial"/>
          <w:b/>
          <w:sz w:val="18"/>
          <w:szCs w:val="18"/>
          <w:lang w:val="bg-BG"/>
        </w:rPr>
      </w:pPr>
      <w:r w:rsidRPr="00721663">
        <w:rPr>
          <w:rFonts w:ascii="Arial" w:hAnsi="Arial" w:cs="Arial"/>
          <w:b/>
          <w:sz w:val="18"/>
          <w:szCs w:val="18"/>
          <w:lang w:val="bg-BG"/>
        </w:rPr>
        <w:t>Провизии</w:t>
      </w:r>
    </w:p>
    <w:p w14:paraId="55343503" w14:textId="77777777" w:rsidR="00B82B62" w:rsidRPr="00721663" w:rsidRDefault="00CE5D63" w:rsidP="00C94528">
      <w:pPr>
        <w:pStyle w:val="Notesbodytext"/>
        <w:spacing w:line="240" w:lineRule="atLeast"/>
        <w:rPr>
          <w:rFonts w:ascii="Arial" w:hAnsi="Arial"/>
          <w:lang w:val="bg-BG"/>
        </w:rPr>
      </w:pPr>
      <w:r w:rsidRPr="00721663">
        <w:rPr>
          <w:rFonts w:ascii="Arial" w:hAnsi="Arial"/>
          <w:lang w:val="bg-BG"/>
        </w:rPr>
        <w:t xml:space="preserve">Провизии се признават, когато Групата има текущо задължение (правно или конструктивно) в резултат </w:t>
      </w:r>
      <w:r w:rsidR="008037CE" w:rsidRPr="00721663">
        <w:rPr>
          <w:rFonts w:ascii="Arial" w:hAnsi="Arial"/>
          <w:lang w:val="bg-BG"/>
        </w:rPr>
        <w:t>от</w:t>
      </w:r>
      <w:r w:rsidRPr="00721663">
        <w:rPr>
          <w:rFonts w:ascii="Arial" w:hAnsi="Arial"/>
          <w:lang w:val="bg-BG"/>
        </w:rPr>
        <w:t xml:space="preserve"> минали събития, за погасяване </w:t>
      </w:r>
      <w:r w:rsidR="004F524C" w:rsidRPr="00721663">
        <w:rPr>
          <w:rFonts w:ascii="Arial" w:hAnsi="Arial"/>
          <w:lang w:val="bg-BG"/>
        </w:rPr>
        <w:t>на което</w:t>
      </w:r>
      <w:r w:rsidRPr="00721663">
        <w:rPr>
          <w:rFonts w:ascii="Arial" w:hAnsi="Arial"/>
          <w:lang w:val="bg-BG"/>
        </w:rPr>
        <w:t xml:space="preserve"> да бъде необходим изходящ поток от ресурси, съдържащ икономически ползи и когато може да бъде направена надеждна оценка на стойността на задължението. Когато Групата очаква, че някои или всички необходими за уреждането на провизията разходи ще бъдат възстановени, възстановяването се признава като отделен актив, но само тогава</w:t>
      </w:r>
      <w:r w:rsidR="008037CE" w:rsidRPr="00721663">
        <w:rPr>
          <w:rFonts w:ascii="Arial" w:hAnsi="Arial"/>
          <w:lang w:val="bg-BG"/>
        </w:rPr>
        <w:t>,</w:t>
      </w:r>
      <w:r w:rsidRPr="00721663">
        <w:rPr>
          <w:rFonts w:ascii="Arial" w:hAnsi="Arial"/>
          <w:lang w:val="bg-BG"/>
        </w:rPr>
        <w:t xml:space="preserve"> когато е практически сигурно, че тези разходи ще бъдат възстановени. Разходите за провизии се представят в </w:t>
      </w:r>
      <w:r w:rsidR="004B3251" w:rsidRPr="00721663">
        <w:rPr>
          <w:rFonts w:ascii="Arial" w:hAnsi="Arial"/>
          <w:lang w:val="bg-BG"/>
        </w:rPr>
        <w:t>отчета за всеобхватния доход</w:t>
      </w:r>
      <w:r w:rsidRPr="00721663">
        <w:rPr>
          <w:rFonts w:ascii="Arial" w:hAnsi="Arial"/>
          <w:lang w:val="bg-BG"/>
        </w:rPr>
        <w:t>, нетно от сумата на възстановените разходи. Когато ефектът от времевите разлики в стойността на парите е съществен, провизиите се дисконтират като се използва текуща норма на дисконтиране преди данъци, която отразява, когато е уместно, специфичните за задължението рискове. Когато се използва дисконтиране, увеличението на провизията в резултат на изминалото време се представя като финансов разход.</w:t>
      </w:r>
    </w:p>
    <w:p w14:paraId="4EE28C94" w14:textId="77777777" w:rsidR="00796634" w:rsidRPr="00721663" w:rsidRDefault="00CE5D63" w:rsidP="00C94528">
      <w:pPr>
        <w:spacing w:after="120"/>
        <w:jc w:val="left"/>
        <w:rPr>
          <w:rFonts w:ascii="Arial" w:hAnsi="Arial" w:cs="Arial"/>
          <w:b/>
          <w:sz w:val="18"/>
          <w:szCs w:val="18"/>
          <w:lang w:val="bg-BG"/>
        </w:rPr>
      </w:pPr>
      <w:r w:rsidRPr="00721663">
        <w:rPr>
          <w:rFonts w:ascii="Arial" w:hAnsi="Arial" w:cs="Arial"/>
          <w:b/>
          <w:sz w:val="18"/>
          <w:szCs w:val="18"/>
          <w:lang w:val="bg-BG"/>
        </w:rPr>
        <w:t>Задължение за извеждане от експлоатация</w:t>
      </w:r>
    </w:p>
    <w:p w14:paraId="6437F775" w14:textId="7780E801" w:rsidR="006A3125" w:rsidRPr="00721663" w:rsidRDefault="00FA478B" w:rsidP="00C94528">
      <w:pPr>
        <w:pStyle w:val="Notesbodytext"/>
        <w:spacing w:line="240" w:lineRule="atLeast"/>
        <w:rPr>
          <w:rFonts w:ascii="Arial" w:hAnsi="Arial"/>
          <w:lang w:val="bg-BG"/>
        </w:rPr>
      </w:pPr>
      <w:r w:rsidRPr="00721663">
        <w:rPr>
          <w:rFonts w:ascii="Arial" w:hAnsi="Arial"/>
          <w:lang w:val="bg-BG"/>
        </w:rPr>
        <w:t>Групата начислява провизия</w:t>
      </w:r>
      <w:r w:rsidR="00CE5D63" w:rsidRPr="00721663">
        <w:rPr>
          <w:rFonts w:ascii="Arial" w:hAnsi="Arial"/>
          <w:lang w:val="bg-BG"/>
        </w:rPr>
        <w:t xml:space="preserve"> за разходи</w:t>
      </w:r>
      <w:r w:rsidRPr="00721663">
        <w:rPr>
          <w:rFonts w:ascii="Arial" w:hAnsi="Arial"/>
          <w:lang w:val="bg-BG"/>
        </w:rPr>
        <w:t xml:space="preserve"> за извеждане от експлоатация, </w:t>
      </w:r>
      <w:r w:rsidR="00CE5D63" w:rsidRPr="00721663">
        <w:rPr>
          <w:rFonts w:ascii="Arial" w:hAnsi="Arial"/>
          <w:lang w:val="bg-BG"/>
        </w:rPr>
        <w:t>свързана с изграждането на оборудване (</w:t>
      </w:r>
      <w:r w:rsidR="0065310E" w:rsidRPr="00721663">
        <w:rPr>
          <w:rFonts w:ascii="Arial" w:hAnsi="Arial"/>
          <w:lang w:val="bg-BG"/>
        </w:rPr>
        <w:t>ветрогенератор</w:t>
      </w:r>
      <w:r w:rsidR="00CE5D63" w:rsidRPr="00721663">
        <w:rPr>
          <w:rFonts w:ascii="Arial" w:hAnsi="Arial"/>
          <w:lang w:val="bg-BG"/>
        </w:rPr>
        <w:t xml:space="preserve">) за производство на електрическа енергия. Разходите за извеждане от експлоатация са провизирани по сегашната стойност на плащанията, които се очаква да бъдат направени за уреждане на задължението и се признават като част от стойността на съответния актив. Бъдещите парични потоци са дисконтирани като се използва текуща норма на дисконтиране преди данъци, която отразява специфичните рискове за задължението за извеждане от експлоатация. Разгръщането на провизията в резултат на изминалото време се признава като разход в периода, за който се отнася и се представя като финансов разход в </w:t>
      </w:r>
      <w:r w:rsidR="004B3251" w:rsidRPr="00721663">
        <w:rPr>
          <w:rFonts w:ascii="Arial" w:hAnsi="Arial"/>
          <w:lang w:val="bg-BG"/>
        </w:rPr>
        <w:t>отчета за всеобхватния доход</w:t>
      </w:r>
      <w:r w:rsidR="00CE5D63" w:rsidRPr="00721663">
        <w:rPr>
          <w:rFonts w:ascii="Arial" w:hAnsi="Arial"/>
          <w:lang w:val="bg-BG"/>
        </w:rPr>
        <w:t>. Очакваните бъдещи разходи за извеждане от експлоатация се подлагат на преглед ежегодно и се коригират, както е необходимо. Промените в очакваните бъдещи разходи или в използваната норма на дисконтиране се отразяват като увеличение или намаление в цената на придобиване на актива.</w:t>
      </w:r>
    </w:p>
    <w:p w14:paraId="521D40B5" w14:textId="77777777" w:rsidR="00C94528" w:rsidRPr="00721663" w:rsidRDefault="00C94528" w:rsidP="00C94528">
      <w:pPr>
        <w:widowControl w:val="0"/>
        <w:tabs>
          <w:tab w:val="left" w:pos="720"/>
        </w:tabs>
        <w:spacing w:before="120" w:after="120"/>
        <w:rPr>
          <w:rFonts w:ascii="Arial" w:hAnsi="Arial" w:cs="Arial"/>
          <w:b/>
          <w:sz w:val="18"/>
          <w:szCs w:val="18"/>
          <w:lang w:val="bg-BG"/>
        </w:rPr>
      </w:pPr>
      <w:r w:rsidRPr="00721663">
        <w:rPr>
          <w:rFonts w:ascii="Arial" w:hAnsi="Arial" w:cs="Arial"/>
          <w:b/>
          <w:sz w:val="18"/>
          <w:szCs w:val="18"/>
          <w:lang w:val="bg-BG"/>
        </w:rPr>
        <w:t>Лизинг</w:t>
      </w:r>
    </w:p>
    <w:p w14:paraId="47484D99" w14:textId="77777777" w:rsidR="00C94528" w:rsidRPr="00721663" w:rsidRDefault="00C94528" w:rsidP="00C94528">
      <w:pPr>
        <w:tabs>
          <w:tab w:val="left" w:pos="9739"/>
        </w:tabs>
        <w:autoSpaceDE w:val="0"/>
        <w:autoSpaceDN w:val="0"/>
        <w:adjustRightInd w:val="0"/>
        <w:spacing w:before="120" w:after="120"/>
        <w:jc w:val="left"/>
        <w:rPr>
          <w:rFonts w:ascii="Arial" w:hAnsi="Arial" w:cs="Arial"/>
          <w:sz w:val="18"/>
          <w:szCs w:val="18"/>
          <w:lang w:val="bg-BG"/>
        </w:rPr>
      </w:pPr>
      <w:r w:rsidRPr="00721663">
        <w:rPr>
          <w:rFonts w:ascii="Arial" w:hAnsi="Arial" w:cs="Arial"/>
          <w:sz w:val="18"/>
          <w:szCs w:val="18"/>
          <w:lang w:val="bg-BG"/>
        </w:rPr>
        <w:t>Същността на дадено споразумение определя дали същото представлява или съдържа лизинг. Изисква се оценка относно това дали изпълнението на споразумението зависи от използването на конкретен актив или активи и дали споразумението прехвърля правото за използване на актива, дори когато това право не е изрично упоменато в споразумението.</w:t>
      </w:r>
    </w:p>
    <w:p w14:paraId="3BD5CB5C" w14:textId="77777777" w:rsidR="00C94528" w:rsidRPr="00721663" w:rsidRDefault="00C94528" w:rsidP="00C94528">
      <w:pPr>
        <w:pStyle w:val="italsubhd"/>
        <w:spacing w:before="120" w:after="120" w:line="240" w:lineRule="atLeast"/>
        <w:rPr>
          <w:rFonts w:ascii="Arial" w:hAnsi="Arial" w:cs="Arial"/>
          <w:noProof w:val="0"/>
          <w:color w:val="auto"/>
          <w:sz w:val="18"/>
          <w:szCs w:val="18"/>
          <w:lang w:val="bg-BG"/>
        </w:rPr>
      </w:pPr>
      <w:r w:rsidRPr="00721663">
        <w:rPr>
          <w:rFonts w:ascii="Arial" w:hAnsi="Arial" w:cs="Arial"/>
          <w:noProof w:val="0"/>
          <w:color w:val="auto"/>
          <w:sz w:val="18"/>
          <w:szCs w:val="18"/>
          <w:lang w:val="bg-BG"/>
        </w:rPr>
        <w:t>Групата като лизингополучател</w:t>
      </w:r>
    </w:p>
    <w:p w14:paraId="13E76E07" w14:textId="77777777" w:rsidR="00C94528" w:rsidRPr="00721663" w:rsidRDefault="00C94528" w:rsidP="00C94528">
      <w:pPr>
        <w:tabs>
          <w:tab w:val="left" w:pos="9739"/>
        </w:tabs>
        <w:autoSpaceDE w:val="0"/>
        <w:autoSpaceDN w:val="0"/>
        <w:adjustRightInd w:val="0"/>
        <w:spacing w:before="120" w:after="120"/>
        <w:jc w:val="left"/>
        <w:rPr>
          <w:rFonts w:ascii="Arial" w:hAnsi="Arial" w:cs="Arial"/>
          <w:sz w:val="18"/>
          <w:szCs w:val="18"/>
          <w:lang w:val="bg-BG"/>
        </w:rPr>
      </w:pPr>
      <w:r w:rsidRPr="00721663">
        <w:rPr>
          <w:rFonts w:ascii="Arial" w:hAnsi="Arial" w:cs="Arial"/>
          <w:sz w:val="18"/>
          <w:szCs w:val="18"/>
          <w:lang w:val="bg-BG"/>
        </w:rPr>
        <w:t xml:space="preserve">Лизинговите плащанията по договори за оперативен лизинг се признават като разход в </w:t>
      </w:r>
      <w:r w:rsidR="00630A47" w:rsidRPr="00721663">
        <w:rPr>
          <w:rFonts w:ascii="Arial" w:hAnsi="Arial" w:cs="Arial"/>
          <w:sz w:val="18"/>
          <w:szCs w:val="18"/>
          <w:lang w:val="bg-BG"/>
        </w:rPr>
        <w:t>отчета за всеобхватния доход</w:t>
      </w:r>
      <w:r w:rsidRPr="00721663">
        <w:rPr>
          <w:rFonts w:ascii="Arial" w:hAnsi="Arial" w:cs="Arial"/>
          <w:sz w:val="18"/>
          <w:szCs w:val="18"/>
          <w:lang w:val="bg-BG"/>
        </w:rPr>
        <w:t xml:space="preserve"> на база линейния метод за срока на лизинговия договор.</w:t>
      </w:r>
    </w:p>
    <w:p w14:paraId="3074C1B5" w14:textId="77777777" w:rsidR="00EF3AB5" w:rsidRPr="00721663" w:rsidRDefault="00EF3AB5" w:rsidP="00EF3AB5">
      <w:pPr>
        <w:widowControl w:val="0"/>
        <w:tabs>
          <w:tab w:val="left" w:pos="720"/>
        </w:tabs>
        <w:spacing w:before="80" w:after="120"/>
        <w:jc w:val="left"/>
        <w:rPr>
          <w:rFonts w:ascii="Arial" w:hAnsi="Arial" w:cs="Arial"/>
          <w:b/>
          <w:sz w:val="18"/>
          <w:szCs w:val="18"/>
          <w:lang w:val="bg-BG"/>
        </w:rPr>
      </w:pPr>
      <w:r w:rsidRPr="00721663">
        <w:rPr>
          <w:rFonts w:ascii="Arial" w:hAnsi="Arial" w:cs="Arial"/>
          <w:b/>
          <w:sz w:val="18"/>
          <w:szCs w:val="18"/>
          <w:lang w:val="bg-BG"/>
        </w:rPr>
        <w:t>Доходи на персонала</w:t>
      </w:r>
    </w:p>
    <w:p w14:paraId="0A381B51" w14:textId="77777777" w:rsidR="00EF3AB5" w:rsidRPr="00721663" w:rsidRDefault="00EF3AB5" w:rsidP="00EF3AB5">
      <w:pPr>
        <w:tabs>
          <w:tab w:val="left" w:pos="9739"/>
        </w:tabs>
        <w:autoSpaceDE w:val="0"/>
        <w:autoSpaceDN w:val="0"/>
        <w:adjustRightInd w:val="0"/>
        <w:spacing w:before="80" w:after="120"/>
        <w:jc w:val="left"/>
        <w:rPr>
          <w:rFonts w:ascii="Arial" w:hAnsi="Arial" w:cs="Arial"/>
          <w:b/>
          <w:i/>
          <w:sz w:val="18"/>
          <w:szCs w:val="18"/>
          <w:lang w:val="bg-BG"/>
        </w:rPr>
      </w:pPr>
      <w:r w:rsidRPr="00721663">
        <w:rPr>
          <w:rFonts w:ascii="Arial" w:hAnsi="Arial" w:cs="Arial"/>
          <w:sz w:val="18"/>
          <w:szCs w:val="18"/>
          <w:lang w:val="bg-BG"/>
        </w:rPr>
        <w:t xml:space="preserve">Краткосрочните доходи на персонала включват заплати, възнаграждения, и годишни компенсируеми отпуски на служителите, които се очаква да бъдат изцяло уредени в рамките на 12 месеца след края на отчетния период. Когато </w:t>
      </w:r>
      <w:r w:rsidR="007A4006" w:rsidRPr="00721663">
        <w:rPr>
          <w:rFonts w:ascii="Arial" w:hAnsi="Arial" w:cs="Arial"/>
          <w:sz w:val="18"/>
          <w:szCs w:val="18"/>
          <w:lang w:val="bg-BG"/>
        </w:rPr>
        <w:t>Групата</w:t>
      </w:r>
      <w:r w:rsidRPr="00721663">
        <w:rPr>
          <w:rFonts w:ascii="Arial" w:hAnsi="Arial" w:cs="Arial"/>
          <w:sz w:val="18"/>
          <w:szCs w:val="18"/>
          <w:lang w:val="bg-BG"/>
        </w:rPr>
        <w:t xml:space="preserve"> получи услугата, те се признават като разход за персонала в печалбата или загубата или се капитализират в стойността на актив, когато е предоставена услуга на </w:t>
      </w:r>
      <w:r w:rsidR="007A4006" w:rsidRPr="00721663">
        <w:rPr>
          <w:rFonts w:ascii="Arial" w:hAnsi="Arial" w:cs="Arial"/>
          <w:sz w:val="18"/>
          <w:szCs w:val="18"/>
          <w:lang w:val="bg-BG"/>
        </w:rPr>
        <w:t>Групата</w:t>
      </w:r>
      <w:r w:rsidRPr="00721663">
        <w:rPr>
          <w:rFonts w:ascii="Arial" w:hAnsi="Arial" w:cs="Arial"/>
          <w:sz w:val="18"/>
          <w:szCs w:val="18"/>
          <w:lang w:val="bg-BG"/>
        </w:rPr>
        <w:t xml:space="preserve"> и се оценяват по недисконтираната сума на очаквания разход. </w:t>
      </w:r>
    </w:p>
    <w:p w14:paraId="257CAEBF" w14:textId="77777777" w:rsidR="00EF3AB5" w:rsidRPr="00721663" w:rsidRDefault="007A4006" w:rsidP="00EF3AB5">
      <w:pPr>
        <w:tabs>
          <w:tab w:val="left" w:pos="9739"/>
        </w:tabs>
        <w:autoSpaceDE w:val="0"/>
        <w:autoSpaceDN w:val="0"/>
        <w:adjustRightInd w:val="0"/>
        <w:spacing w:before="80" w:after="120"/>
        <w:jc w:val="left"/>
        <w:rPr>
          <w:rFonts w:ascii="Arial" w:hAnsi="Arial" w:cs="Arial"/>
          <w:sz w:val="18"/>
          <w:szCs w:val="18"/>
          <w:lang w:val="bg-BG"/>
        </w:rPr>
      </w:pPr>
      <w:r w:rsidRPr="00721663">
        <w:rPr>
          <w:rFonts w:ascii="Arial" w:hAnsi="Arial" w:cs="Arial"/>
          <w:sz w:val="18"/>
          <w:szCs w:val="18"/>
          <w:lang w:val="bg-BG"/>
        </w:rPr>
        <w:t>Групата</w:t>
      </w:r>
      <w:r w:rsidR="00EF3AB5" w:rsidRPr="00721663">
        <w:rPr>
          <w:rFonts w:ascii="Arial" w:hAnsi="Arial" w:cs="Arial"/>
          <w:sz w:val="18"/>
          <w:szCs w:val="18"/>
          <w:lang w:val="bg-BG"/>
        </w:rPr>
        <w:t xml:space="preserve"> оперира пенсионен план с дефинирани доходи, произтичащ от задължението </w:t>
      </w:r>
      <w:r w:rsidR="003D52B5" w:rsidRPr="00721663">
        <w:rPr>
          <w:rFonts w:ascii="Arial" w:hAnsi="Arial" w:cs="Arial"/>
          <w:sz w:val="18"/>
          <w:szCs w:val="18"/>
          <w:lang w:val="bg-BG"/>
        </w:rPr>
        <w:t>й</w:t>
      </w:r>
      <w:r w:rsidR="00EF3AB5" w:rsidRPr="00721663">
        <w:rPr>
          <w:rFonts w:ascii="Arial" w:hAnsi="Arial" w:cs="Arial"/>
          <w:sz w:val="18"/>
          <w:szCs w:val="18"/>
          <w:lang w:val="bg-BG"/>
        </w:rPr>
        <w:t xml:space="preserve"> по силата на българското трудово законодателство, да изплати на служителите си при пенсиониране </w:t>
      </w:r>
      <w:r w:rsidR="00C02FA1" w:rsidRPr="00721663">
        <w:rPr>
          <w:rFonts w:ascii="Arial" w:hAnsi="Arial" w:cs="Arial"/>
          <w:sz w:val="18"/>
          <w:szCs w:val="18"/>
          <w:lang w:val="bg-BG"/>
        </w:rPr>
        <w:t xml:space="preserve">от </w:t>
      </w:r>
      <w:r w:rsidR="00EF3AB5" w:rsidRPr="00721663">
        <w:rPr>
          <w:rFonts w:ascii="Arial" w:hAnsi="Arial" w:cs="Arial"/>
          <w:sz w:val="18"/>
          <w:szCs w:val="18"/>
          <w:lang w:val="bg-BG"/>
        </w:rPr>
        <w:t xml:space="preserve">две </w:t>
      </w:r>
      <w:r w:rsidR="00C02FA1" w:rsidRPr="00721663">
        <w:rPr>
          <w:rFonts w:ascii="Arial" w:hAnsi="Arial" w:cs="Arial"/>
          <w:sz w:val="18"/>
          <w:szCs w:val="18"/>
          <w:lang w:val="bg-BG"/>
        </w:rPr>
        <w:t>до</w:t>
      </w:r>
      <w:r w:rsidR="00EF3AB5" w:rsidRPr="00721663">
        <w:rPr>
          <w:rFonts w:ascii="Arial" w:hAnsi="Arial" w:cs="Arial"/>
          <w:sz w:val="18"/>
          <w:szCs w:val="18"/>
          <w:lang w:val="bg-BG"/>
        </w:rPr>
        <w:t xml:space="preserve"> шест брутни месечни заплати в зависимост от прослужения стаж. Ако служител е работил за </w:t>
      </w:r>
      <w:r w:rsidRPr="00721663">
        <w:rPr>
          <w:rFonts w:ascii="Arial" w:hAnsi="Arial" w:cs="Arial"/>
          <w:sz w:val="18"/>
          <w:szCs w:val="18"/>
          <w:lang w:val="bg-BG"/>
        </w:rPr>
        <w:t>Групата</w:t>
      </w:r>
      <w:r w:rsidR="00EF3AB5" w:rsidRPr="00721663">
        <w:rPr>
          <w:rFonts w:ascii="Arial" w:hAnsi="Arial" w:cs="Arial"/>
          <w:sz w:val="18"/>
          <w:szCs w:val="18"/>
          <w:lang w:val="bg-BG"/>
        </w:rPr>
        <w:t xml:space="preserve"> в продължение на 10 години, получава шест брутни  месечни заплати при пенсиониране, а ако е работил по-малко от 10 години – две.  Планът за доходи на персонала при пенсиониране не е финансиран. </w:t>
      </w:r>
      <w:r w:rsidRPr="00721663">
        <w:rPr>
          <w:rFonts w:ascii="Arial" w:hAnsi="Arial" w:cs="Arial"/>
          <w:sz w:val="18"/>
          <w:szCs w:val="18"/>
          <w:lang w:val="bg-BG"/>
        </w:rPr>
        <w:t>Групата</w:t>
      </w:r>
      <w:r w:rsidR="00EF3AB5" w:rsidRPr="00721663">
        <w:rPr>
          <w:rFonts w:ascii="Arial" w:hAnsi="Arial" w:cs="Arial"/>
          <w:sz w:val="18"/>
          <w:szCs w:val="18"/>
          <w:lang w:val="bg-BG"/>
        </w:rPr>
        <w:t xml:space="preserve"> определя своите задължения за изплащане на доходи на персонала при пенсиониране чрез актюерския метод на прогнозните кредитни единици. Преоценките на пенсионния план с дефинирани доходи, включващи актюерски печалби и загуби, се признават незабавно в отчета за финансовото състояние срещу дебит или кредит на неразпределената печалба през другия всеобхватен доход, в периода на тяхното възникване. Преоценките не подлежат на рекласификация в печалбата или загубата в последващи периоди. Разходите за минал стаж се признават в печалбата или загубата на по-ранна от:</w:t>
      </w:r>
    </w:p>
    <w:p w14:paraId="3B489154" w14:textId="77777777" w:rsidR="00EF3AB5" w:rsidRPr="00721663" w:rsidRDefault="00EF3AB5" w:rsidP="00462752">
      <w:pPr>
        <w:pStyle w:val="Notesbulletpoint"/>
        <w:numPr>
          <w:ilvl w:val="0"/>
          <w:numId w:val="20"/>
        </w:numPr>
        <w:overflowPunct w:val="0"/>
        <w:autoSpaceDE w:val="0"/>
        <w:autoSpaceDN w:val="0"/>
        <w:adjustRightInd w:val="0"/>
        <w:spacing w:after="60" w:line="240" w:lineRule="exact"/>
        <w:ind w:left="567" w:hanging="210"/>
        <w:textAlignment w:val="baseline"/>
        <w:rPr>
          <w:rFonts w:ascii="Arial" w:hAnsi="Arial" w:cs="Arial"/>
          <w:szCs w:val="18"/>
          <w:lang w:val="bg-BG"/>
        </w:rPr>
      </w:pPr>
      <w:r w:rsidRPr="00721663">
        <w:rPr>
          <w:rFonts w:ascii="Arial" w:hAnsi="Arial" w:cs="Arial"/>
          <w:szCs w:val="18"/>
          <w:lang w:val="bg-BG"/>
        </w:rPr>
        <w:t>датата на допълнение или съкращение в плана, и</w:t>
      </w:r>
    </w:p>
    <w:p w14:paraId="69FC2957" w14:textId="77777777" w:rsidR="00EF3AB5" w:rsidRPr="00721663" w:rsidRDefault="00EF3AB5" w:rsidP="00462752">
      <w:pPr>
        <w:pStyle w:val="Notesbulletpoint"/>
        <w:numPr>
          <w:ilvl w:val="0"/>
          <w:numId w:val="20"/>
        </w:numPr>
        <w:overflowPunct w:val="0"/>
        <w:autoSpaceDE w:val="0"/>
        <w:autoSpaceDN w:val="0"/>
        <w:adjustRightInd w:val="0"/>
        <w:spacing w:after="60" w:line="240" w:lineRule="exact"/>
        <w:ind w:left="567" w:hanging="210"/>
        <w:textAlignment w:val="baseline"/>
        <w:rPr>
          <w:rFonts w:ascii="Arial" w:hAnsi="Arial" w:cs="Arial"/>
          <w:szCs w:val="18"/>
          <w:lang w:val="bg-BG"/>
        </w:rPr>
      </w:pPr>
      <w:r w:rsidRPr="00721663">
        <w:rPr>
          <w:rFonts w:ascii="Arial" w:hAnsi="Arial" w:cs="Arial"/>
          <w:szCs w:val="18"/>
          <w:lang w:val="bg-BG"/>
        </w:rPr>
        <w:t>датата на признаване на разходи за преструктуриране, съпътстващи измененията в плана.</w:t>
      </w:r>
    </w:p>
    <w:p w14:paraId="485AF6D4" w14:textId="77777777" w:rsidR="00366AB4" w:rsidRPr="00721663" w:rsidRDefault="00366AB4" w:rsidP="00366AB4">
      <w:pPr>
        <w:pStyle w:val="Notesbodytext"/>
        <w:spacing w:line="240" w:lineRule="atLeast"/>
        <w:rPr>
          <w:rFonts w:ascii="Arial" w:hAnsi="Arial"/>
          <w:b/>
          <w:bCs/>
          <w:i/>
          <w:sz w:val="20"/>
          <w:szCs w:val="28"/>
          <w:lang w:val="bg-BG"/>
        </w:rPr>
      </w:pPr>
      <w:r w:rsidRPr="00721663">
        <w:rPr>
          <w:rFonts w:ascii="Arial" w:hAnsi="Arial"/>
          <w:b/>
          <w:bCs/>
          <w:sz w:val="20"/>
          <w:szCs w:val="28"/>
          <w:lang w:val="bg-BG"/>
        </w:rPr>
        <w:t>2.3. Обобщение на съществените счетоводни политики</w:t>
      </w:r>
      <w:r w:rsidRPr="00721663">
        <w:rPr>
          <w:rFonts w:ascii="Arial" w:hAnsi="Arial"/>
          <w:b/>
          <w:bCs/>
          <w:i/>
          <w:sz w:val="20"/>
          <w:szCs w:val="28"/>
          <w:lang w:val="bg-BG"/>
        </w:rPr>
        <w:t xml:space="preserve"> (продължение)</w:t>
      </w:r>
    </w:p>
    <w:p w14:paraId="64BC06D1" w14:textId="77777777" w:rsidR="00366AB4" w:rsidRPr="00721663" w:rsidRDefault="00366AB4" w:rsidP="00366AB4">
      <w:pPr>
        <w:widowControl w:val="0"/>
        <w:tabs>
          <w:tab w:val="left" w:pos="720"/>
        </w:tabs>
        <w:spacing w:before="80" w:after="120"/>
        <w:jc w:val="left"/>
        <w:rPr>
          <w:rFonts w:ascii="Arial" w:hAnsi="Arial" w:cs="Arial"/>
          <w:b/>
          <w:i/>
          <w:sz w:val="18"/>
          <w:szCs w:val="18"/>
          <w:lang w:val="bg-BG"/>
        </w:rPr>
      </w:pPr>
      <w:r w:rsidRPr="00721663">
        <w:rPr>
          <w:rFonts w:ascii="Arial" w:hAnsi="Arial" w:cs="Arial"/>
          <w:b/>
          <w:sz w:val="18"/>
          <w:szCs w:val="18"/>
          <w:lang w:val="bg-BG"/>
        </w:rPr>
        <w:t xml:space="preserve">Доходи на персонала </w:t>
      </w:r>
      <w:r w:rsidRPr="00721663">
        <w:rPr>
          <w:rFonts w:ascii="Arial" w:hAnsi="Arial" w:cs="Arial"/>
          <w:b/>
          <w:i/>
          <w:sz w:val="18"/>
          <w:szCs w:val="18"/>
          <w:lang w:val="bg-BG"/>
        </w:rPr>
        <w:t>(Продължение)</w:t>
      </w:r>
    </w:p>
    <w:p w14:paraId="1C5E7E08" w14:textId="77777777" w:rsidR="00EF3AB5" w:rsidRPr="00721663" w:rsidRDefault="00EF3AB5" w:rsidP="00EF3AB5">
      <w:pPr>
        <w:tabs>
          <w:tab w:val="left" w:pos="9739"/>
        </w:tabs>
        <w:autoSpaceDE w:val="0"/>
        <w:autoSpaceDN w:val="0"/>
        <w:adjustRightInd w:val="0"/>
        <w:spacing w:before="80" w:after="120"/>
        <w:jc w:val="left"/>
        <w:rPr>
          <w:rFonts w:ascii="Arial" w:hAnsi="Arial" w:cs="Arial"/>
          <w:sz w:val="18"/>
          <w:szCs w:val="18"/>
          <w:lang w:val="bg-BG"/>
        </w:rPr>
      </w:pPr>
      <w:r w:rsidRPr="00721663">
        <w:rPr>
          <w:rFonts w:ascii="Arial" w:hAnsi="Arial" w:cs="Arial"/>
          <w:sz w:val="18"/>
          <w:szCs w:val="18"/>
          <w:lang w:val="bg-BG"/>
        </w:rPr>
        <w:t>Разходите за лихви се признават чрез прилагане на дисконтов фактор към задължението за доходи на персонала за пенсиониране. Измененията в последното се признават в печалбата или загубата за периода и се представят както следва:</w:t>
      </w:r>
    </w:p>
    <w:p w14:paraId="7015C747" w14:textId="77777777" w:rsidR="00EF3AB5" w:rsidRPr="00721663" w:rsidRDefault="00EF3AB5" w:rsidP="00462752">
      <w:pPr>
        <w:pStyle w:val="Notesbulletpoint"/>
        <w:numPr>
          <w:ilvl w:val="0"/>
          <w:numId w:val="20"/>
        </w:numPr>
        <w:overflowPunct w:val="0"/>
        <w:autoSpaceDE w:val="0"/>
        <w:autoSpaceDN w:val="0"/>
        <w:adjustRightInd w:val="0"/>
        <w:spacing w:after="60" w:line="240" w:lineRule="exact"/>
        <w:ind w:left="567" w:hanging="210"/>
        <w:textAlignment w:val="baseline"/>
        <w:rPr>
          <w:rFonts w:ascii="Arial" w:hAnsi="Arial" w:cs="Arial"/>
          <w:szCs w:val="18"/>
          <w:lang w:val="bg-BG"/>
        </w:rPr>
      </w:pPr>
      <w:r w:rsidRPr="00721663">
        <w:rPr>
          <w:rFonts w:ascii="Arial" w:hAnsi="Arial" w:cs="Arial"/>
          <w:szCs w:val="18"/>
          <w:lang w:val="bg-BG"/>
        </w:rPr>
        <w:t>Разходите за стаж, включващи разходите за текущ стаж, разходите за минал стаж, както и печалбите и загубите в резултат на съкращения или нерутинни уреждания по плана се включват в статия „Разходи за персонала“;</w:t>
      </w:r>
    </w:p>
    <w:p w14:paraId="0E8AEED9" w14:textId="77777777" w:rsidR="00EF3AB5" w:rsidRPr="00721663" w:rsidRDefault="00EF3AB5" w:rsidP="00462752">
      <w:pPr>
        <w:pStyle w:val="Notesbulletpoint"/>
        <w:numPr>
          <w:ilvl w:val="0"/>
          <w:numId w:val="20"/>
        </w:numPr>
        <w:overflowPunct w:val="0"/>
        <w:autoSpaceDE w:val="0"/>
        <w:autoSpaceDN w:val="0"/>
        <w:adjustRightInd w:val="0"/>
        <w:spacing w:line="240" w:lineRule="exact"/>
        <w:ind w:left="567" w:hanging="210"/>
        <w:textAlignment w:val="baseline"/>
        <w:rPr>
          <w:rFonts w:ascii="Arial" w:hAnsi="Arial" w:cs="Arial"/>
          <w:szCs w:val="18"/>
          <w:lang w:val="bg-BG"/>
        </w:rPr>
      </w:pPr>
      <w:r w:rsidRPr="00721663">
        <w:rPr>
          <w:rFonts w:ascii="Arial" w:hAnsi="Arial" w:cs="Arial"/>
          <w:szCs w:val="18"/>
          <w:lang w:val="bg-BG"/>
        </w:rPr>
        <w:t>Разходите за лихви се представят като „Финансови разходи“.</w:t>
      </w:r>
    </w:p>
    <w:p w14:paraId="02F9BEA5" w14:textId="49E6B8E7" w:rsidR="00C6690B" w:rsidRPr="00721663" w:rsidRDefault="00F52B5F" w:rsidP="00C94528">
      <w:pPr>
        <w:spacing w:after="120"/>
        <w:jc w:val="left"/>
        <w:rPr>
          <w:rFonts w:ascii="Arial" w:hAnsi="Arial" w:cs="Arial"/>
          <w:sz w:val="18"/>
          <w:szCs w:val="18"/>
          <w:lang w:val="bg-BG"/>
        </w:rPr>
      </w:pPr>
      <w:r w:rsidRPr="00721663">
        <w:rPr>
          <w:rFonts w:ascii="Arial" w:hAnsi="Arial" w:cs="Arial"/>
          <w:sz w:val="18"/>
          <w:szCs w:val="18"/>
          <w:lang w:val="bg-BG"/>
        </w:rPr>
        <w:t xml:space="preserve">Към </w:t>
      </w:r>
      <w:r w:rsidR="00144930">
        <w:rPr>
          <w:rFonts w:ascii="Arial" w:hAnsi="Arial" w:cs="Arial"/>
          <w:sz w:val="18"/>
          <w:szCs w:val="18"/>
          <w:lang w:val="bg-BG"/>
        </w:rPr>
        <w:t>30 юни 2017</w:t>
      </w:r>
      <w:r w:rsidR="0006539C" w:rsidRPr="00721663">
        <w:rPr>
          <w:rFonts w:ascii="Arial" w:hAnsi="Arial" w:cs="Arial"/>
          <w:sz w:val="18"/>
          <w:szCs w:val="18"/>
          <w:lang w:val="bg-BG"/>
        </w:rPr>
        <w:t xml:space="preserve"> и </w:t>
      </w:r>
      <w:r w:rsidR="00144930">
        <w:rPr>
          <w:rFonts w:ascii="Arial" w:hAnsi="Arial" w:cs="Arial"/>
          <w:sz w:val="18"/>
          <w:szCs w:val="18"/>
          <w:lang w:val="bg-BG"/>
        </w:rPr>
        <w:t>31 декември 2016</w:t>
      </w:r>
      <w:r w:rsidRPr="00721663">
        <w:rPr>
          <w:rFonts w:ascii="Arial" w:hAnsi="Arial" w:cs="Arial"/>
          <w:sz w:val="18"/>
          <w:szCs w:val="18"/>
          <w:lang w:val="bg-BG"/>
        </w:rPr>
        <w:t xml:space="preserve"> г.</w:t>
      </w:r>
      <w:r w:rsidR="00C03E11" w:rsidRPr="00721663">
        <w:rPr>
          <w:rFonts w:ascii="Arial" w:hAnsi="Arial" w:cs="Arial"/>
          <w:sz w:val="18"/>
          <w:szCs w:val="18"/>
          <w:lang w:val="bg-BG"/>
        </w:rPr>
        <w:t xml:space="preserve"> не е признато задължение за доходи на персонала при пенсиониране, тъй като ръководството счита, че то </w:t>
      </w:r>
      <w:r w:rsidR="00116C6F" w:rsidRPr="00721663">
        <w:rPr>
          <w:rFonts w:ascii="Arial" w:hAnsi="Arial" w:cs="Arial"/>
          <w:sz w:val="18"/>
          <w:szCs w:val="18"/>
          <w:lang w:val="bg-BG"/>
        </w:rPr>
        <w:t>не е материално, вземайки предвид възрастта на персонала и неговото текучество.</w:t>
      </w:r>
    </w:p>
    <w:p w14:paraId="4213822E" w14:textId="77777777" w:rsidR="0029170B" w:rsidRPr="00721663" w:rsidRDefault="008843CB" w:rsidP="00C94528">
      <w:pPr>
        <w:spacing w:after="120"/>
        <w:jc w:val="left"/>
        <w:rPr>
          <w:rFonts w:ascii="Arial" w:hAnsi="Arial" w:cs="Arial"/>
          <w:b/>
          <w:sz w:val="18"/>
          <w:szCs w:val="18"/>
          <w:lang w:val="bg-BG"/>
        </w:rPr>
      </w:pPr>
      <w:r w:rsidRPr="00721663">
        <w:rPr>
          <w:rFonts w:ascii="Arial" w:hAnsi="Arial" w:cs="Arial"/>
          <w:b/>
          <w:sz w:val="18"/>
          <w:szCs w:val="18"/>
          <w:lang w:val="bg-BG"/>
        </w:rPr>
        <w:t>Основен капитал</w:t>
      </w:r>
    </w:p>
    <w:p w14:paraId="0175E812" w14:textId="77777777" w:rsidR="001C7075" w:rsidRPr="00721663" w:rsidRDefault="008843CB" w:rsidP="00C94528">
      <w:pPr>
        <w:pStyle w:val="Notesbodytext"/>
        <w:spacing w:line="240" w:lineRule="atLeast"/>
        <w:rPr>
          <w:rFonts w:ascii="Arial" w:hAnsi="Arial"/>
          <w:lang w:val="bg-BG"/>
        </w:rPr>
      </w:pPr>
      <w:r w:rsidRPr="00721663">
        <w:rPr>
          <w:rFonts w:ascii="Arial" w:hAnsi="Arial"/>
          <w:lang w:val="bg-BG"/>
        </w:rPr>
        <w:t>Основният капитал е представен по номиналната стойност на издадените и платени</w:t>
      </w:r>
      <w:r w:rsidR="00FA478B" w:rsidRPr="00721663">
        <w:rPr>
          <w:rFonts w:ascii="Arial" w:hAnsi="Arial"/>
          <w:lang w:val="bg-BG"/>
        </w:rPr>
        <w:t xml:space="preserve"> от </w:t>
      </w:r>
      <w:r w:rsidR="00651D24" w:rsidRPr="00721663">
        <w:rPr>
          <w:rFonts w:ascii="Arial" w:hAnsi="Arial"/>
          <w:lang w:val="bg-BG"/>
        </w:rPr>
        <w:t>собствениците</w:t>
      </w:r>
      <w:r w:rsidR="00FA478B" w:rsidRPr="00721663">
        <w:rPr>
          <w:rFonts w:ascii="Arial" w:hAnsi="Arial"/>
          <w:lang w:val="bg-BG"/>
        </w:rPr>
        <w:t xml:space="preserve"> на </w:t>
      </w:r>
      <w:r w:rsidR="001B1468" w:rsidRPr="00721663">
        <w:rPr>
          <w:rFonts w:ascii="Arial" w:hAnsi="Arial"/>
          <w:lang w:val="bg-BG"/>
        </w:rPr>
        <w:t>Групата</w:t>
      </w:r>
      <w:r w:rsidR="0036276F" w:rsidRPr="00721663">
        <w:rPr>
          <w:rFonts w:ascii="Arial" w:hAnsi="Arial"/>
          <w:lang w:val="bg-BG"/>
        </w:rPr>
        <w:t xml:space="preserve"> </w:t>
      </w:r>
      <w:r w:rsidRPr="00721663">
        <w:rPr>
          <w:rFonts w:ascii="Arial" w:hAnsi="Arial"/>
          <w:lang w:val="bg-BG"/>
        </w:rPr>
        <w:t>дялове. Постъпленията от издадени дялове над тяхната номинална стойност се отчитат като преми</w:t>
      </w:r>
      <w:r w:rsidR="00E46864" w:rsidRPr="00721663">
        <w:rPr>
          <w:rFonts w:ascii="Arial" w:hAnsi="Arial"/>
          <w:lang w:val="bg-BG"/>
        </w:rPr>
        <w:t>ен</w:t>
      </w:r>
      <w:r w:rsidRPr="00721663">
        <w:rPr>
          <w:rFonts w:ascii="Arial" w:hAnsi="Arial"/>
          <w:lang w:val="bg-BG"/>
        </w:rPr>
        <w:t xml:space="preserve"> резерв.</w:t>
      </w:r>
    </w:p>
    <w:p w14:paraId="2354BE5A" w14:textId="77777777" w:rsidR="007A4006" w:rsidRPr="00721663" w:rsidRDefault="007A4006" w:rsidP="00BB0380">
      <w:pPr>
        <w:pStyle w:val="Heading1"/>
      </w:pPr>
      <w:bookmarkStart w:id="11" w:name="_Toc490647387"/>
      <w:r w:rsidRPr="00721663">
        <w:t>2.4. Промени в счетоводните политики и оповестявания</w:t>
      </w:r>
      <w:bookmarkEnd w:id="11"/>
    </w:p>
    <w:p w14:paraId="051744F0" w14:textId="77777777" w:rsidR="00DC3A2C" w:rsidRPr="0079014C" w:rsidRDefault="00DC3A2C" w:rsidP="00DC3A2C">
      <w:pPr>
        <w:spacing w:after="120"/>
        <w:rPr>
          <w:rFonts w:ascii="Arial" w:hAnsi="Arial" w:cs="Arial"/>
          <w:b/>
          <w:sz w:val="18"/>
          <w:szCs w:val="18"/>
          <w:lang w:val="bg-BG"/>
        </w:rPr>
      </w:pPr>
      <w:r w:rsidRPr="0079014C">
        <w:rPr>
          <w:rFonts w:ascii="Arial" w:hAnsi="Arial" w:cs="Arial"/>
          <w:b/>
          <w:sz w:val="18"/>
          <w:szCs w:val="18"/>
          <w:lang w:val="bg-BG"/>
        </w:rPr>
        <w:t>Нови и изменени стандарти и разяснения</w:t>
      </w:r>
    </w:p>
    <w:p w14:paraId="68BC59AE" w14:textId="35B7109D" w:rsidR="00DC3A2C" w:rsidRPr="0079014C" w:rsidRDefault="00DC3A2C" w:rsidP="00DC3A2C">
      <w:pPr>
        <w:autoSpaceDE w:val="0"/>
        <w:autoSpaceDN w:val="0"/>
        <w:adjustRightInd w:val="0"/>
        <w:spacing w:after="120"/>
        <w:jc w:val="left"/>
        <w:rPr>
          <w:rFonts w:ascii="Arial" w:hAnsi="Arial" w:cs="Arial"/>
          <w:sz w:val="18"/>
          <w:szCs w:val="18"/>
          <w:lang w:val="bg-BG"/>
        </w:rPr>
      </w:pPr>
      <w:r w:rsidRPr="0079014C">
        <w:rPr>
          <w:rFonts w:ascii="Arial" w:hAnsi="Arial" w:cs="Arial"/>
          <w:sz w:val="18"/>
          <w:szCs w:val="18"/>
          <w:lang w:val="bg-BG"/>
        </w:rPr>
        <w:t>Счетоводните политики на Групата са последователни с тези, прилагани през предходния отчетен период. Следните изменения в стандартите са възприети от 1 януари 201</w:t>
      </w:r>
      <w:r w:rsidR="00D52540">
        <w:rPr>
          <w:rFonts w:ascii="Arial" w:hAnsi="Arial" w:cs="Arial"/>
          <w:sz w:val="18"/>
          <w:szCs w:val="18"/>
          <w:lang w:val="bg-BG"/>
        </w:rPr>
        <w:t>7</w:t>
      </w:r>
      <w:r w:rsidRPr="0079014C">
        <w:rPr>
          <w:rFonts w:ascii="Arial" w:hAnsi="Arial" w:cs="Arial"/>
          <w:sz w:val="18"/>
          <w:szCs w:val="18"/>
          <w:lang w:val="bg-BG"/>
        </w:rPr>
        <w:t xml:space="preserve"> г.:</w:t>
      </w:r>
    </w:p>
    <w:p w14:paraId="54AF0918" w14:textId="77777777" w:rsidR="00D52540" w:rsidRDefault="00D52540" w:rsidP="00D52540">
      <w:pPr>
        <w:autoSpaceDE w:val="0"/>
        <w:autoSpaceDN w:val="0"/>
        <w:adjustRightInd w:val="0"/>
        <w:spacing w:after="120"/>
        <w:jc w:val="left"/>
        <w:rPr>
          <w:rFonts w:ascii="Arial" w:hAnsi="Arial" w:cs="Arial"/>
          <w:b/>
          <w:bCs/>
          <w:sz w:val="18"/>
          <w:szCs w:val="18"/>
          <w:lang w:eastAsia="el-GR"/>
        </w:rPr>
      </w:pPr>
      <w:r>
        <w:rPr>
          <w:rFonts w:ascii="Arial" w:hAnsi="Arial" w:cs="Arial"/>
          <w:b/>
          <w:bCs/>
          <w:sz w:val="18"/>
          <w:szCs w:val="18"/>
          <w:lang w:eastAsia="el-GR"/>
        </w:rPr>
        <w:t>МСС 12 Данъци върху дохода (Изменения): Признаване на отсрочени данъчни активи за нереализирани загуби</w:t>
      </w:r>
    </w:p>
    <w:p w14:paraId="59FCCC9D" w14:textId="7060CC38" w:rsidR="00D52540" w:rsidRDefault="00D52540" w:rsidP="00D52540">
      <w:pPr>
        <w:pStyle w:val="italsubhd"/>
        <w:spacing w:before="0" w:after="120"/>
        <w:rPr>
          <w:rFonts w:ascii="Arial" w:hAnsi="Arial" w:cs="Arial"/>
          <w:i w:val="0"/>
          <w:iCs w:val="0"/>
          <w:noProof w:val="0"/>
          <w:color w:val="auto"/>
          <w:sz w:val="18"/>
          <w:szCs w:val="18"/>
          <w:lang w:val="bg-BG"/>
        </w:rPr>
      </w:pPr>
      <w:r>
        <w:rPr>
          <w:rFonts w:ascii="Arial" w:hAnsi="Arial" w:cs="Arial"/>
          <w:i w:val="0"/>
          <w:iCs w:val="0"/>
          <w:noProof w:val="0"/>
          <w:color w:val="auto"/>
          <w:sz w:val="18"/>
          <w:szCs w:val="18"/>
          <w:lang w:val="bg-BG"/>
        </w:rPr>
        <w:t>Измененията дават разяснения относно отчитането на отсрочените данъчни активи за нереализирани загуби, за да се преодолеят различията, които възникват в практиката при прилагането на МСС 12 по отношение на приспадаеми временни разлики, възникващи при преоценка на дългови инструменти, отчитани по справедлива стойност; възстановяване на активи по стойност, по-голяма от тяхната балансова стойност; наличие на вероятна бъдеща облагаема печалба; комбинирано спрямо индивидуално оценяване. Измененията все още не са приети от ЕС. Не се очаква измененията да имат ефект върху бъдещите финансови отчети на Групата.</w:t>
      </w:r>
    </w:p>
    <w:p w14:paraId="52427648" w14:textId="77777777" w:rsidR="00D52540" w:rsidRPr="00D52540" w:rsidRDefault="00D52540" w:rsidP="00D52540">
      <w:pPr>
        <w:autoSpaceDE w:val="0"/>
        <w:autoSpaceDN w:val="0"/>
        <w:adjustRightInd w:val="0"/>
        <w:spacing w:after="120"/>
        <w:jc w:val="left"/>
        <w:rPr>
          <w:rFonts w:ascii="Arial" w:hAnsi="Arial" w:cs="Arial"/>
          <w:b/>
          <w:bCs/>
          <w:sz w:val="18"/>
          <w:szCs w:val="18"/>
          <w:lang w:eastAsia="el-GR"/>
        </w:rPr>
      </w:pPr>
      <w:r w:rsidRPr="00D52540">
        <w:rPr>
          <w:rFonts w:ascii="Arial" w:hAnsi="Arial" w:cs="Arial"/>
          <w:b/>
          <w:bCs/>
          <w:sz w:val="18"/>
          <w:szCs w:val="18"/>
          <w:lang w:eastAsia="el-GR"/>
        </w:rPr>
        <w:t xml:space="preserve">МСС 7 Отчет за паричните потоци (Изменения): Инициатива по оповестяване </w:t>
      </w:r>
    </w:p>
    <w:p w14:paraId="5AC07A6D" w14:textId="21A01E90" w:rsidR="00D52540" w:rsidRDefault="00D52540" w:rsidP="00D52540">
      <w:pPr>
        <w:tabs>
          <w:tab w:val="left" w:pos="9739"/>
        </w:tabs>
        <w:autoSpaceDE w:val="0"/>
        <w:autoSpaceDN w:val="0"/>
        <w:adjustRightInd w:val="0"/>
        <w:spacing w:before="80" w:after="120"/>
        <w:jc w:val="left"/>
        <w:rPr>
          <w:rFonts w:ascii="Arial" w:hAnsi="Arial" w:cs="Arial"/>
          <w:sz w:val="18"/>
          <w:szCs w:val="18"/>
          <w:lang w:val="bg-BG"/>
        </w:rPr>
      </w:pPr>
      <w:r>
        <w:rPr>
          <w:rFonts w:ascii="Arial" w:hAnsi="Arial" w:cs="Arial"/>
          <w:sz w:val="18"/>
          <w:szCs w:val="18"/>
          <w:lang w:val="bg-BG"/>
        </w:rPr>
        <w:t>Целта на тези изменения е да позволи на потребителите на финансови отчети да оценят промените на пасивите, произтичащи от финансова дейност, включително и промените, произтичащи от паричните потоци и непаричните промени. Измененията уточняват, че един от начините за изпълнение на изискването за оповестяване е чрез представяне на табличен равнение между началното и крайното салдо в отчета за финансовото състояние за задълженията, произтичащи от финансовата дейност, включително промените от паричните потоци, промените, произтичащи от получаването или загубата на контрол на дъщерните дружества или други предприятия, ефекта от промените във валутните курсове, промените в справедливите стойности и други промени. Измененията все още не са приети от ЕС. Групата не е използвала това изменение.</w:t>
      </w:r>
    </w:p>
    <w:p w14:paraId="2525925F" w14:textId="0C70CB46" w:rsidR="00D52540" w:rsidRDefault="00D52540" w:rsidP="00D52540">
      <w:pPr>
        <w:autoSpaceDE w:val="0"/>
        <w:autoSpaceDN w:val="0"/>
        <w:adjustRightInd w:val="0"/>
        <w:spacing w:after="120"/>
        <w:jc w:val="left"/>
        <w:rPr>
          <w:rFonts w:ascii="Arial" w:hAnsi="Arial" w:cs="Arial"/>
          <w:sz w:val="18"/>
          <w:szCs w:val="18"/>
        </w:rPr>
      </w:pPr>
      <w:r>
        <w:rPr>
          <w:rFonts w:ascii="Arial" w:hAnsi="Arial" w:cs="Arial"/>
          <w:b/>
          <w:bCs/>
          <w:sz w:val="18"/>
          <w:szCs w:val="18"/>
          <w:lang w:val="bg-BG"/>
        </w:rPr>
        <w:t>БМСС</w:t>
      </w:r>
      <w:r>
        <w:rPr>
          <w:rFonts w:ascii="Arial" w:hAnsi="Arial" w:cs="Arial"/>
          <w:b/>
          <w:bCs/>
          <w:sz w:val="18"/>
          <w:szCs w:val="18"/>
        </w:rPr>
        <w:t xml:space="preserve"> публикува годишните подобрения в МСФО</w:t>
      </w:r>
      <w:r>
        <w:rPr>
          <w:rFonts w:ascii="Arial" w:hAnsi="Arial" w:cs="Arial"/>
          <w:b/>
          <w:bCs/>
          <w:sz w:val="18"/>
          <w:szCs w:val="18"/>
          <w:lang w:val="bg-BG"/>
        </w:rPr>
        <w:t xml:space="preserve"> -  цикъл </w:t>
      </w:r>
      <w:r>
        <w:rPr>
          <w:rFonts w:ascii="Arial" w:hAnsi="Arial" w:cs="Arial"/>
          <w:b/>
          <w:bCs/>
          <w:sz w:val="18"/>
          <w:szCs w:val="18"/>
        </w:rPr>
        <w:t>2014-2016 година</w:t>
      </w:r>
      <w:r>
        <w:rPr>
          <w:rFonts w:ascii="Arial" w:hAnsi="Arial" w:cs="Arial"/>
          <w:bCs/>
          <w:sz w:val="18"/>
          <w:szCs w:val="18"/>
        </w:rPr>
        <w:t>, което представлява сбор от изменения на МСФО.</w:t>
      </w:r>
      <w:r>
        <w:rPr>
          <w:rFonts w:ascii="Arial" w:hAnsi="Arial" w:cs="Arial"/>
          <w:bCs/>
          <w:sz w:val="18"/>
          <w:szCs w:val="18"/>
          <w:lang w:val="bg-BG"/>
        </w:rPr>
        <w:t xml:space="preserve"> </w:t>
      </w:r>
      <w:r>
        <w:rPr>
          <w:rFonts w:ascii="Arial" w:hAnsi="Arial" w:cs="Arial"/>
          <w:sz w:val="18"/>
          <w:szCs w:val="18"/>
        </w:rPr>
        <w:t>Следните годишни подобрения в МСФО – Цикъл 2014 – 2016 година все още не са приети от ЕС.</w:t>
      </w:r>
      <w:r>
        <w:rPr>
          <w:rFonts w:ascii="Arial" w:hAnsi="Arial" w:cs="Arial"/>
          <w:sz w:val="18"/>
          <w:szCs w:val="18"/>
          <w:lang w:val="bg-BG"/>
        </w:rPr>
        <w:t xml:space="preserve"> </w:t>
      </w:r>
      <w:r>
        <w:rPr>
          <w:rFonts w:ascii="Arial" w:hAnsi="Arial" w:cs="Arial"/>
          <w:sz w:val="18"/>
          <w:szCs w:val="18"/>
        </w:rPr>
        <w:t xml:space="preserve">Това подобрение няма ефект върху финансовите отчети на </w:t>
      </w:r>
      <w:r>
        <w:rPr>
          <w:rFonts w:ascii="Arial" w:hAnsi="Arial" w:cs="Arial"/>
          <w:sz w:val="18"/>
          <w:szCs w:val="18"/>
          <w:lang w:val="bg-BG"/>
        </w:rPr>
        <w:t>Групата</w:t>
      </w:r>
      <w:r>
        <w:rPr>
          <w:rFonts w:ascii="Arial" w:hAnsi="Arial" w:cs="Arial"/>
          <w:bCs/>
          <w:sz w:val="18"/>
          <w:szCs w:val="18"/>
        </w:rPr>
        <w:t>.</w:t>
      </w:r>
    </w:p>
    <w:p w14:paraId="2D6D1A22" w14:textId="77777777" w:rsidR="00D52540" w:rsidRDefault="00D52540" w:rsidP="00D52540">
      <w:pPr>
        <w:autoSpaceDE w:val="0"/>
        <w:autoSpaceDN w:val="0"/>
        <w:adjustRightInd w:val="0"/>
        <w:spacing w:line="240" w:lineRule="auto"/>
        <w:jc w:val="left"/>
        <w:rPr>
          <w:rFonts w:ascii="Arial" w:hAnsi="Arial" w:cs="Arial"/>
          <w:sz w:val="18"/>
          <w:szCs w:val="18"/>
          <w:lang w:val="bg-BG"/>
        </w:rPr>
      </w:pPr>
      <w:r w:rsidRPr="00D52540">
        <w:rPr>
          <w:rFonts w:ascii="Arial" w:hAnsi="Arial" w:cs="Arial"/>
          <w:b/>
          <w:bCs/>
          <w:i/>
          <w:sz w:val="18"/>
          <w:szCs w:val="18"/>
          <w:lang w:eastAsia="el-GR"/>
        </w:rPr>
        <w:t xml:space="preserve">МСФО 12 Оповестяване на </w:t>
      </w:r>
      <w:r w:rsidRPr="00D52540">
        <w:rPr>
          <w:rFonts w:ascii="Arial" w:hAnsi="Arial" w:cs="Arial"/>
          <w:b/>
          <w:bCs/>
          <w:i/>
          <w:sz w:val="18"/>
          <w:szCs w:val="18"/>
          <w:lang w:val="bg-BG" w:eastAsia="el-GR"/>
        </w:rPr>
        <w:t>участия</w:t>
      </w:r>
      <w:r w:rsidRPr="00D52540">
        <w:rPr>
          <w:rFonts w:ascii="Arial" w:hAnsi="Arial" w:cs="Arial"/>
          <w:b/>
          <w:bCs/>
          <w:i/>
          <w:sz w:val="18"/>
          <w:szCs w:val="18"/>
          <w:lang w:eastAsia="el-GR"/>
        </w:rPr>
        <w:t xml:space="preserve"> в други предприятия</w:t>
      </w:r>
      <w:r w:rsidRPr="00D52540">
        <w:rPr>
          <w:rFonts w:ascii="Arial" w:hAnsi="Arial" w:cs="Arial"/>
          <w:sz w:val="18"/>
          <w:szCs w:val="18"/>
        </w:rPr>
        <w:t xml:space="preserve">: </w:t>
      </w:r>
      <w:r w:rsidRPr="00D52540">
        <w:rPr>
          <w:rFonts w:ascii="Arial" w:hAnsi="Arial" w:cs="Arial"/>
          <w:sz w:val="18"/>
          <w:szCs w:val="18"/>
          <w:lang w:val="bg-BG"/>
        </w:rPr>
        <w:t>Измененията поясняват, че изискванията за оповестяване в МСФО 12, различни от тези на обобщената финансова информация за дъщерни предприятия, съвместни предприятия и асоциирани предприятия, се прилагат към участието на предприятието в дъщерно, съвместно предприятие или Асоциирано предприятие, което е класифицирано като държано за продажба, държано за разпределение или като преустановена дейност, в съответствие с МСФО 5.</w:t>
      </w:r>
    </w:p>
    <w:p w14:paraId="3D3A3AA8" w14:textId="77777777" w:rsidR="00D52540" w:rsidRPr="00D52540" w:rsidRDefault="00D52540" w:rsidP="00D52540">
      <w:pPr>
        <w:autoSpaceDE w:val="0"/>
        <w:autoSpaceDN w:val="0"/>
        <w:adjustRightInd w:val="0"/>
        <w:spacing w:line="240" w:lineRule="auto"/>
        <w:jc w:val="left"/>
        <w:rPr>
          <w:rFonts w:ascii="Arial" w:hAnsi="Arial" w:cs="Arial"/>
          <w:sz w:val="18"/>
          <w:szCs w:val="18"/>
          <w:lang w:val="bg-BG"/>
        </w:rPr>
      </w:pPr>
    </w:p>
    <w:p w14:paraId="633E880C" w14:textId="77777777" w:rsidR="00D52540" w:rsidRDefault="00D52540">
      <w:pPr>
        <w:spacing w:line="240" w:lineRule="auto"/>
        <w:jc w:val="left"/>
        <w:rPr>
          <w:rFonts w:ascii="Arial" w:hAnsi="Arial" w:cs="Arial"/>
          <w:b/>
          <w:lang w:val="bg-BG"/>
        </w:rPr>
      </w:pPr>
      <w:r>
        <w:br w:type="page"/>
      </w:r>
    </w:p>
    <w:p w14:paraId="0B895AA8" w14:textId="5E32F06E" w:rsidR="0049247F" w:rsidRPr="00721663" w:rsidRDefault="0049247F" w:rsidP="00BB0380">
      <w:pPr>
        <w:pStyle w:val="Heading1"/>
      </w:pPr>
      <w:bookmarkStart w:id="12" w:name="_Toc490647388"/>
      <w:r w:rsidRPr="00721663">
        <w:t xml:space="preserve">3. </w:t>
      </w:r>
      <w:r w:rsidR="00EA71EF" w:rsidRPr="00721663">
        <w:t>Съществени счетоводни преценки, приблизителни оценки и предположения</w:t>
      </w:r>
      <w:bookmarkEnd w:id="12"/>
    </w:p>
    <w:p w14:paraId="2F67949B" w14:textId="77777777" w:rsidR="005A6B64" w:rsidRPr="00721663" w:rsidRDefault="00EA71EF" w:rsidP="00C94528">
      <w:pPr>
        <w:pStyle w:val="Notesbodytext"/>
        <w:spacing w:before="120" w:line="240" w:lineRule="atLeast"/>
        <w:rPr>
          <w:rFonts w:ascii="Arial" w:hAnsi="Arial"/>
          <w:b/>
          <w:bCs/>
          <w:sz w:val="20"/>
          <w:szCs w:val="28"/>
          <w:lang w:val="bg-BG"/>
        </w:rPr>
      </w:pPr>
      <w:r w:rsidRPr="00721663">
        <w:rPr>
          <w:rFonts w:ascii="Arial" w:hAnsi="Arial"/>
          <w:lang w:val="bg-BG"/>
        </w:rPr>
        <w:t xml:space="preserve">Изготвянето на консолидирания финансов отчет на Групата изисква </w:t>
      </w:r>
      <w:r w:rsidR="000874D1" w:rsidRPr="00721663">
        <w:rPr>
          <w:rFonts w:ascii="Arial" w:hAnsi="Arial"/>
          <w:lang w:val="bg-BG"/>
        </w:rPr>
        <w:t>Ръков</w:t>
      </w:r>
      <w:r w:rsidR="007B5ED2" w:rsidRPr="00721663">
        <w:rPr>
          <w:rFonts w:ascii="Arial" w:hAnsi="Arial"/>
          <w:lang w:val="bg-BG"/>
        </w:rPr>
        <w:t>одството</w:t>
      </w:r>
      <w:r w:rsidRPr="00721663">
        <w:rPr>
          <w:rFonts w:ascii="Arial" w:hAnsi="Arial"/>
          <w:lang w:val="bg-BG"/>
        </w:rPr>
        <w:t xml:space="preserve"> да прави преценки, приблизителни оценки и предположения, които имат влияние върху отчетените суми на приходите, разходите, активите и пасивите, както и върху оповестяването на условните задължения към датата на отчитане. Всяка несигурност по отношение на тези предположения и приблизителни оценки, обаче, би могла да доведе до резултати, които да изискват в бъдеще съществена корекция в балансовата стойност на засегнатите активи и пасиви.</w:t>
      </w:r>
    </w:p>
    <w:p w14:paraId="33BCD347" w14:textId="77777777" w:rsidR="00C75507" w:rsidRPr="00721663" w:rsidRDefault="00C75507" w:rsidP="00C75507">
      <w:pPr>
        <w:spacing w:after="120"/>
        <w:jc w:val="left"/>
        <w:rPr>
          <w:rFonts w:ascii="Arial" w:hAnsi="Arial" w:cs="Arial"/>
          <w:b/>
          <w:sz w:val="18"/>
          <w:szCs w:val="18"/>
          <w:lang w:val="bg-BG"/>
        </w:rPr>
      </w:pPr>
      <w:r w:rsidRPr="00721663">
        <w:rPr>
          <w:rFonts w:ascii="Arial" w:hAnsi="Arial" w:cs="Arial"/>
          <w:b/>
          <w:iCs/>
          <w:sz w:val="18"/>
          <w:szCs w:val="18"/>
          <w:lang w:val="bg-BG"/>
        </w:rPr>
        <w:t>Приблизителни оценки и предположения</w:t>
      </w:r>
    </w:p>
    <w:p w14:paraId="6E0223E1" w14:textId="77777777" w:rsidR="00C75507" w:rsidRPr="00721663" w:rsidRDefault="00C75507" w:rsidP="00C75507">
      <w:pPr>
        <w:pStyle w:val="Notesbodytext"/>
        <w:spacing w:line="240" w:lineRule="atLeast"/>
        <w:rPr>
          <w:rFonts w:ascii="Arial" w:hAnsi="Arial"/>
          <w:lang w:val="bg-BG"/>
        </w:rPr>
      </w:pPr>
      <w:r w:rsidRPr="00721663">
        <w:rPr>
          <w:rFonts w:ascii="Arial" w:hAnsi="Arial"/>
          <w:lang w:val="bg-BG"/>
        </w:rPr>
        <w:t>Основните предположения, които са свързани с бъдещи и други основни източници на несигурности в приблизителните оценки към датата на баланса, и за които съществува значителен риск да доведат до съществени корекции в балансовите стойности на активите и пасивите през следващия отчетен период, са посочени по-долу:</w:t>
      </w:r>
    </w:p>
    <w:p w14:paraId="63276DD1" w14:textId="77777777" w:rsidR="00C75507" w:rsidRPr="00F66251" w:rsidRDefault="00C75507" w:rsidP="00C75507">
      <w:pPr>
        <w:spacing w:after="120"/>
        <w:jc w:val="left"/>
        <w:rPr>
          <w:rFonts w:ascii="Arial" w:hAnsi="Arial" w:cs="Arial"/>
          <w:b/>
          <w:i/>
          <w:sz w:val="18"/>
          <w:szCs w:val="18"/>
          <w:lang w:val="bg-BG"/>
        </w:rPr>
      </w:pPr>
      <w:r w:rsidRPr="00F66251">
        <w:rPr>
          <w:rFonts w:ascii="Arial" w:hAnsi="Arial" w:cs="Arial"/>
          <w:b/>
          <w:i/>
          <w:sz w:val="18"/>
          <w:szCs w:val="18"/>
          <w:lang w:val="bg-BG"/>
        </w:rPr>
        <w:t>Полезен живот на имоти, машини и съоръжения</w:t>
      </w:r>
    </w:p>
    <w:p w14:paraId="7AACC729" w14:textId="77777777" w:rsidR="00C75507" w:rsidRPr="00721663" w:rsidRDefault="00C75507" w:rsidP="00C75507">
      <w:pPr>
        <w:pStyle w:val="ordinarytext"/>
        <w:spacing w:after="120" w:line="240" w:lineRule="atLeast"/>
        <w:contextualSpacing w:val="0"/>
        <w:jc w:val="left"/>
        <w:rPr>
          <w:lang w:val="bg-BG"/>
        </w:rPr>
      </w:pPr>
      <w:r w:rsidRPr="00721663">
        <w:rPr>
          <w:bCs/>
          <w:lang w:val="bg-BG"/>
        </w:rPr>
        <w:t>Финансовото</w:t>
      </w:r>
      <w:r w:rsidRPr="00721663">
        <w:rPr>
          <w:lang w:val="bg-BG"/>
        </w:rPr>
        <w:t xml:space="preserve"> отчитане на имотите, машините и съоръженията включва използването на приблизителни оценки за техният очакван полезен живот и остатъчна стойност, които се базират на преценки от страна на Ръководството  на Групата. В края на годината, Ръководството  извършва преглед и всички необходими корекции в полезния живот на активите, балансовата им стойност и методи на амортизация. Допълнителна информация е представена в Бележка 7 към финансовия отчет.</w:t>
      </w:r>
    </w:p>
    <w:p w14:paraId="7C61F9A8" w14:textId="77777777" w:rsidR="008A00CD" w:rsidRPr="00F66251" w:rsidRDefault="00EA71EF" w:rsidP="00551604">
      <w:pPr>
        <w:spacing w:line="240" w:lineRule="auto"/>
        <w:jc w:val="left"/>
        <w:rPr>
          <w:rFonts w:ascii="Arial" w:hAnsi="Arial" w:cs="Arial"/>
          <w:b/>
          <w:i/>
          <w:sz w:val="18"/>
          <w:szCs w:val="18"/>
          <w:lang w:val="bg-BG"/>
        </w:rPr>
      </w:pPr>
      <w:r w:rsidRPr="00F66251">
        <w:rPr>
          <w:rFonts w:ascii="Arial" w:hAnsi="Arial" w:cs="Arial"/>
          <w:b/>
          <w:i/>
          <w:sz w:val="18"/>
          <w:szCs w:val="18"/>
          <w:lang w:val="bg-BG"/>
        </w:rPr>
        <w:t>Отсрочени данъчни активи</w:t>
      </w:r>
    </w:p>
    <w:p w14:paraId="55B38E4D" w14:textId="77777777" w:rsidR="008A00CD" w:rsidRPr="00721663" w:rsidRDefault="00EA71EF" w:rsidP="00C94528">
      <w:pPr>
        <w:pStyle w:val="Notesbodytext"/>
        <w:spacing w:line="240" w:lineRule="atLeast"/>
        <w:rPr>
          <w:rFonts w:ascii="Arial" w:hAnsi="Arial"/>
          <w:lang w:val="bg-BG"/>
        </w:rPr>
      </w:pPr>
      <w:r w:rsidRPr="00721663">
        <w:rPr>
          <w:rFonts w:ascii="Arial" w:hAnsi="Arial"/>
          <w:lang w:val="bg-BG"/>
        </w:rPr>
        <w:t xml:space="preserve">Отсрочените данъчни активи се признават за всички намаляеми временни разлики до степента, до която е вероятно да е налице облагаема печалба, срещу която те да бъдат приспаднати. Определянето на сумата на отсрочените данъчни активи, която да бъде призната, изисква да бъде направена съществена преценка от </w:t>
      </w:r>
      <w:r w:rsidR="000874D1" w:rsidRPr="00721663">
        <w:rPr>
          <w:rFonts w:ascii="Arial" w:hAnsi="Arial"/>
          <w:lang w:val="bg-BG"/>
        </w:rPr>
        <w:t>Ръководството</w:t>
      </w:r>
      <w:r w:rsidRPr="00721663">
        <w:rPr>
          <w:rFonts w:ascii="Arial" w:hAnsi="Arial"/>
          <w:lang w:val="bg-BG"/>
        </w:rPr>
        <w:t>, която се базира на очакваното време на възникване и нивото на бъдещите облагаеми печалби, както и на бъдещите стратегии за данъчно планиране на Групата.</w:t>
      </w:r>
    </w:p>
    <w:p w14:paraId="64670BF1" w14:textId="77777777" w:rsidR="00885623" w:rsidRPr="00F66251" w:rsidRDefault="00885623" w:rsidP="00885623">
      <w:pPr>
        <w:spacing w:after="120"/>
        <w:jc w:val="left"/>
        <w:rPr>
          <w:rFonts w:ascii="Arial" w:hAnsi="Arial" w:cs="Arial"/>
          <w:b/>
          <w:i/>
          <w:sz w:val="18"/>
          <w:szCs w:val="18"/>
          <w:lang w:val="bg-BG"/>
        </w:rPr>
      </w:pPr>
      <w:r w:rsidRPr="00F66251">
        <w:rPr>
          <w:rFonts w:ascii="Arial" w:hAnsi="Arial" w:cs="Arial"/>
          <w:b/>
          <w:i/>
          <w:sz w:val="18"/>
          <w:szCs w:val="18"/>
          <w:lang w:val="bg-BG"/>
        </w:rPr>
        <w:t>Обезценка на активи</w:t>
      </w:r>
    </w:p>
    <w:p w14:paraId="604212F0" w14:textId="77777777" w:rsidR="00885623" w:rsidRPr="00721663" w:rsidRDefault="00885623" w:rsidP="00885623">
      <w:pPr>
        <w:spacing w:after="120"/>
        <w:jc w:val="left"/>
        <w:rPr>
          <w:rFonts w:ascii="Arial" w:hAnsi="Arial" w:cs="Arial"/>
          <w:color w:val="000000"/>
          <w:sz w:val="18"/>
          <w:lang w:val="bg-BG"/>
        </w:rPr>
      </w:pPr>
      <w:r w:rsidRPr="00721663">
        <w:rPr>
          <w:rFonts w:ascii="Arial" w:hAnsi="Arial" w:cs="Arial"/>
          <w:color w:val="000000"/>
          <w:sz w:val="18"/>
          <w:lang w:val="bg-BG"/>
        </w:rPr>
        <w:t>Обезценка на активи има когато балансовата стойност на даден на актив или на обект, генериращ парични потоци, превишава неговата възстановима стойност, която е по-високата от справедливата стойност, намалена с разходите за продажба на актива или на обекта, генериращ парични потоци и стойността му в употреба. Справедливата стойност минус разходите за продажба се изчислява на база на наличните данни от обвързващи продажби, извършени при пазарни условия, на подобни активи или пазарната цена намалена с допълнителните разходи за продажбата на актива. Стойността в употреба се формира на основава на модел на дисконтирания паричния поток. Възстановимата стойност е най-чувствителна към дисконтовия процент, използван в модела на дисконтирания паричния поток, както и на очакваните бъдещи входящи парични и темпа на растеж, използван за целите на екстраполиране.</w:t>
      </w:r>
    </w:p>
    <w:p w14:paraId="61DD5ABA" w14:textId="77777777" w:rsidR="009A0A46" w:rsidRPr="00F66251" w:rsidRDefault="00EA71EF" w:rsidP="00C94528">
      <w:pPr>
        <w:spacing w:after="120"/>
        <w:jc w:val="left"/>
        <w:rPr>
          <w:rFonts w:ascii="Arial" w:hAnsi="Arial" w:cs="Arial"/>
          <w:b/>
          <w:i/>
          <w:sz w:val="18"/>
          <w:szCs w:val="18"/>
          <w:lang w:val="bg-BG"/>
        </w:rPr>
      </w:pPr>
      <w:r w:rsidRPr="00F66251">
        <w:rPr>
          <w:rFonts w:ascii="Arial" w:hAnsi="Arial" w:cs="Arial"/>
          <w:b/>
          <w:i/>
          <w:sz w:val="18"/>
          <w:szCs w:val="18"/>
          <w:lang w:val="bg-BG"/>
        </w:rPr>
        <w:t>Провизии</w:t>
      </w:r>
    </w:p>
    <w:p w14:paraId="03EE6DBC" w14:textId="77777777" w:rsidR="009A0A46" w:rsidRPr="00721663" w:rsidRDefault="00EA71EF" w:rsidP="00C94528">
      <w:pPr>
        <w:pStyle w:val="Notesbodytext"/>
        <w:spacing w:line="240" w:lineRule="atLeast"/>
        <w:rPr>
          <w:rFonts w:ascii="Arial" w:hAnsi="Arial"/>
          <w:lang w:val="bg-BG"/>
        </w:rPr>
      </w:pPr>
      <w:r w:rsidRPr="00721663">
        <w:rPr>
          <w:rFonts w:ascii="Arial" w:hAnsi="Arial"/>
          <w:lang w:val="bg-BG"/>
        </w:rPr>
        <w:t xml:space="preserve">Признаването на провизии изисква от </w:t>
      </w:r>
      <w:r w:rsidR="000874D1" w:rsidRPr="00721663">
        <w:rPr>
          <w:rFonts w:ascii="Arial" w:hAnsi="Arial"/>
          <w:lang w:val="bg-BG"/>
        </w:rPr>
        <w:t xml:space="preserve">Ръководството </w:t>
      </w:r>
      <w:r w:rsidRPr="00721663">
        <w:rPr>
          <w:rFonts w:ascii="Arial" w:hAnsi="Arial"/>
          <w:lang w:val="bg-BG"/>
        </w:rPr>
        <w:t xml:space="preserve"> да разглежда задължения с несигурни период за уреждане и стойност. </w:t>
      </w:r>
      <w:r w:rsidR="000874D1" w:rsidRPr="00721663">
        <w:rPr>
          <w:rFonts w:ascii="Arial" w:hAnsi="Arial"/>
          <w:lang w:val="bg-BG"/>
        </w:rPr>
        <w:t xml:space="preserve">Ръководството </w:t>
      </w:r>
      <w:r w:rsidRPr="00721663">
        <w:rPr>
          <w:rFonts w:ascii="Arial" w:hAnsi="Arial"/>
          <w:lang w:val="bg-BG"/>
        </w:rPr>
        <w:t xml:space="preserve"> трябва да оцени стойността и периода на задължението и вероятността от изтичане на ресурси, носещи икономически ползи, които ще се изискват за по</w:t>
      </w:r>
      <w:r w:rsidR="0025252F" w:rsidRPr="00721663">
        <w:rPr>
          <w:rFonts w:ascii="Arial" w:hAnsi="Arial"/>
          <w:lang w:val="bg-BG"/>
        </w:rPr>
        <w:t>гасяване на задължението (</w:t>
      </w:r>
      <w:r w:rsidR="00A26092" w:rsidRPr="00721663">
        <w:rPr>
          <w:rFonts w:ascii="Arial" w:hAnsi="Arial"/>
          <w:lang w:val="bg-BG"/>
        </w:rPr>
        <w:t xml:space="preserve">и </w:t>
      </w:r>
      <w:r w:rsidR="0025252F" w:rsidRPr="00721663">
        <w:rPr>
          <w:rFonts w:ascii="Arial" w:hAnsi="Arial"/>
          <w:lang w:val="bg-BG"/>
        </w:rPr>
        <w:t>правно</w:t>
      </w:r>
      <w:r w:rsidR="00A26092" w:rsidRPr="00721663">
        <w:rPr>
          <w:rFonts w:ascii="Arial" w:hAnsi="Arial"/>
          <w:lang w:val="bg-BG"/>
        </w:rPr>
        <w:t xml:space="preserve"> </w:t>
      </w:r>
      <w:r w:rsidR="0025252F" w:rsidRPr="00721663">
        <w:rPr>
          <w:rFonts w:ascii="Arial" w:hAnsi="Arial"/>
          <w:lang w:val="bg-BG"/>
        </w:rPr>
        <w:t>и</w:t>
      </w:r>
      <w:r w:rsidRPr="00721663">
        <w:rPr>
          <w:rFonts w:ascii="Arial" w:hAnsi="Arial"/>
          <w:lang w:val="bg-BG"/>
        </w:rPr>
        <w:t xml:space="preserve"> конструктивн</w:t>
      </w:r>
      <w:r w:rsidR="0025252F" w:rsidRPr="00721663">
        <w:rPr>
          <w:rFonts w:ascii="Arial" w:hAnsi="Arial"/>
          <w:lang w:val="bg-BG"/>
        </w:rPr>
        <w:t>о</w:t>
      </w:r>
      <w:r w:rsidRPr="00721663">
        <w:rPr>
          <w:rFonts w:ascii="Arial" w:hAnsi="Arial"/>
          <w:lang w:val="bg-BG"/>
        </w:rPr>
        <w:t>).</w:t>
      </w:r>
    </w:p>
    <w:p w14:paraId="6CF488CE" w14:textId="77777777" w:rsidR="00CF1A73" w:rsidRPr="00F66251" w:rsidRDefault="00015170" w:rsidP="00C94528">
      <w:pPr>
        <w:spacing w:after="120"/>
        <w:jc w:val="left"/>
        <w:rPr>
          <w:rFonts w:ascii="Arial" w:hAnsi="Arial" w:cs="Arial"/>
          <w:b/>
          <w:i/>
          <w:sz w:val="18"/>
          <w:szCs w:val="18"/>
          <w:lang w:val="bg-BG"/>
        </w:rPr>
      </w:pPr>
      <w:r w:rsidRPr="00F66251">
        <w:rPr>
          <w:rFonts w:ascii="Arial" w:hAnsi="Arial" w:cs="Arial"/>
          <w:b/>
          <w:i/>
          <w:sz w:val="18"/>
          <w:szCs w:val="18"/>
          <w:lang w:val="bg-BG"/>
        </w:rPr>
        <w:t>Справедлива стойност на условно възнаграждение</w:t>
      </w:r>
    </w:p>
    <w:p w14:paraId="7C3139EC" w14:textId="77777777" w:rsidR="00FE622F" w:rsidRPr="00721663" w:rsidRDefault="00FE622F" w:rsidP="00551604">
      <w:pPr>
        <w:pStyle w:val="Notesbodytext"/>
        <w:spacing w:after="0"/>
        <w:rPr>
          <w:rFonts w:ascii="Arial" w:hAnsi="Arial"/>
          <w:szCs w:val="18"/>
          <w:lang w:val="bg-BG"/>
        </w:rPr>
      </w:pPr>
      <w:bookmarkStart w:id="13" w:name="_Toc414870165"/>
      <w:bookmarkStart w:id="14" w:name="_Toc415067238"/>
      <w:bookmarkStart w:id="15" w:name="_Toc415749560"/>
      <w:bookmarkStart w:id="16" w:name="_Toc154161875"/>
      <w:bookmarkStart w:id="17" w:name="_Toc156219589"/>
      <w:bookmarkStart w:id="18" w:name="_Toc41821583"/>
      <w:bookmarkStart w:id="19" w:name="_Toc65218891"/>
      <w:bookmarkStart w:id="20" w:name="_Toc41821567"/>
      <w:bookmarkEnd w:id="7"/>
      <w:r w:rsidRPr="00721663">
        <w:rPr>
          <w:rFonts w:ascii="Arial" w:hAnsi="Arial"/>
          <w:szCs w:val="18"/>
          <w:lang w:val="bg-BG"/>
        </w:rPr>
        <w:t>Възнаграждението под условие, възникнало в резултат на бизнес комбинация, се оценява по справедлива стойност на датата на придобиване като част от бизнес комбинацията. Когато възнаграждението под условие отговаря на определението за дериватив и следователно, финансов пасив, подлежи на последващо оценяване до справедлива стойност на всяка отчетна дата.</w:t>
      </w:r>
    </w:p>
    <w:p w14:paraId="078812F1" w14:textId="77777777" w:rsidR="00BA634D" w:rsidRPr="00721663" w:rsidRDefault="00BA634D" w:rsidP="005224AA">
      <w:pPr>
        <w:pStyle w:val="Notesbodytext"/>
        <w:rPr>
          <w:rFonts w:ascii="Arial" w:hAnsi="Arial"/>
          <w:szCs w:val="18"/>
          <w:lang w:val="bg-BG"/>
        </w:rPr>
      </w:pPr>
      <w:r w:rsidRPr="00721663">
        <w:rPr>
          <w:rFonts w:ascii="Arial" w:hAnsi="Arial"/>
          <w:szCs w:val="18"/>
          <w:lang w:val="bg-BG"/>
        </w:rPr>
        <w:t>Към края на всеки отчетен период ръководството на Групата провежда тест за обезценка на положителната репутация</w:t>
      </w:r>
      <w:r w:rsidR="005224AA" w:rsidRPr="00721663">
        <w:rPr>
          <w:rFonts w:ascii="Arial" w:hAnsi="Arial"/>
          <w:szCs w:val="18"/>
          <w:lang w:val="bg-BG"/>
        </w:rPr>
        <w:t>.</w:t>
      </w:r>
    </w:p>
    <w:p w14:paraId="65D666C3" w14:textId="77777777" w:rsidR="00D52540" w:rsidRDefault="00D52540">
      <w:pPr>
        <w:spacing w:line="240" w:lineRule="auto"/>
        <w:jc w:val="left"/>
        <w:rPr>
          <w:rFonts w:ascii="Arial" w:hAnsi="Arial" w:cs="Arial"/>
          <w:b/>
          <w:lang w:val="bg-BG"/>
        </w:rPr>
      </w:pPr>
      <w:r>
        <w:br w:type="page"/>
      </w:r>
    </w:p>
    <w:p w14:paraId="0A4B52F0" w14:textId="2BE75C8D" w:rsidR="00BB0380" w:rsidRPr="00721663" w:rsidRDefault="00BB0380" w:rsidP="00BB0380">
      <w:pPr>
        <w:pStyle w:val="Heading1"/>
      </w:pPr>
      <w:bookmarkStart w:id="21" w:name="_Toc490647389"/>
      <w:r w:rsidRPr="00721663">
        <w:t>4. Публикувани стандарти, които все още не са в сила и не са възприети по-рано</w:t>
      </w:r>
      <w:bookmarkEnd w:id="21"/>
    </w:p>
    <w:p w14:paraId="734782BA" w14:textId="77777777" w:rsidR="00D52540" w:rsidRDefault="00D52540" w:rsidP="00D52540">
      <w:pPr>
        <w:overflowPunct w:val="0"/>
        <w:autoSpaceDE w:val="0"/>
        <w:autoSpaceDN w:val="0"/>
        <w:adjustRightInd w:val="0"/>
        <w:spacing w:after="120" w:line="240" w:lineRule="exact"/>
        <w:jc w:val="left"/>
        <w:textAlignment w:val="baseline"/>
        <w:rPr>
          <w:rFonts w:ascii="Arial" w:hAnsi="Arial" w:cs="Arial"/>
          <w:b/>
          <w:i/>
          <w:sz w:val="18"/>
          <w:szCs w:val="18"/>
          <w:lang w:val="bg-BG"/>
        </w:rPr>
      </w:pPr>
      <w:r>
        <w:rPr>
          <w:rFonts w:ascii="Arial" w:hAnsi="Arial" w:cs="Arial"/>
          <w:b/>
          <w:sz w:val="18"/>
          <w:szCs w:val="18"/>
          <w:lang w:val="bg-BG"/>
        </w:rPr>
        <w:t>МСФО 9</w:t>
      </w:r>
      <w:r>
        <w:rPr>
          <w:rFonts w:ascii="Arial" w:hAnsi="Arial" w:cs="Arial"/>
          <w:b/>
          <w:i/>
          <w:sz w:val="18"/>
          <w:szCs w:val="18"/>
          <w:lang w:val="bg-BG"/>
        </w:rPr>
        <w:t xml:space="preserve"> Финансови инструменти</w:t>
      </w:r>
      <w:r>
        <w:rPr>
          <w:rFonts w:ascii="Arial" w:hAnsi="Arial" w:cs="Arial"/>
          <w:b/>
          <w:i/>
          <w:sz w:val="18"/>
          <w:szCs w:val="18"/>
        </w:rPr>
        <w:t xml:space="preserve">: </w:t>
      </w:r>
      <w:r>
        <w:rPr>
          <w:rFonts w:ascii="Arial" w:hAnsi="Arial" w:cs="Arial"/>
          <w:b/>
          <w:i/>
          <w:sz w:val="18"/>
          <w:szCs w:val="18"/>
          <w:lang w:val="bg-BG"/>
        </w:rPr>
        <w:t>Класификация и оценяване</w:t>
      </w:r>
    </w:p>
    <w:p w14:paraId="196F0911" w14:textId="10CC91C5" w:rsidR="00D52540" w:rsidRDefault="00D52540" w:rsidP="00D52540">
      <w:pPr>
        <w:autoSpaceDE w:val="0"/>
        <w:autoSpaceDN w:val="0"/>
        <w:adjustRightInd w:val="0"/>
        <w:spacing w:after="120" w:line="240" w:lineRule="exact"/>
        <w:jc w:val="left"/>
        <w:rPr>
          <w:rFonts w:ascii="Arial" w:hAnsi="Arial" w:cs="Arial"/>
          <w:sz w:val="18"/>
          <w:szCs w:val="18"/>
          <w:lang w:val="bg-BG"/>
        </w:rPr>
      </w:pPr>
      <w:r>
        <w:rPr>
          <w:rFonts w:ascii="Arial" w:hAnsi="Arial" w:cs="Arial"/>
          <w:sz w:val="18"/>
          <w:szCs w:val="18"/>
          <w:lang w:val="bg-BG"/>
        </w:rPr>
        <w:t xml:space="preserve">МСФО 9 влиза в сила за годишни периоди започващи на или след 1 януари 2018 г., като се позволява по-ранното му прилагане. Финалната версия на МСФО 9 обхваща всички фази на проекта по разработване на МСФО 9 и заменя МСС 39 </w:t>
      </w:r>
      <w:r>
        <w:rPr>
          <w:rFonts w:ascii="Arial" w:hAnsi="Arial" w:cs="Arial"/>
          <w:i/>
          <w:sz w:val="18"/>
          <w:szCs w:val="18"/>
          <w:lang w:val="bg-BG"/>
        </w:rPr>
        <w:t>Финансови инструменти: Признаване и оценяване</w:t>
      </w:r>
      <w:r>
        <w:rPr>
          <w:rFonts w:ascii="Arial" w:hAnsi="Arial" w:cs="Arial"/>
          <w:sz w:val="18"/>
          <w:szCs w:val="18"/>
          <w:lang w:val="bg-BG"/>
        </w:rPr>
        <w:t xml:space="preserve"> и всички предишни редакции на МСФО 9. Стандартът въвежда нови изисквания относно класификация и оценяване, обезценка и отчитане на хеджиране. Групата предстои да анализира и оцени ефектите от този стандарт върху бъдещото финансово състояние и резултати от дейността.</w:t>
      </w:r>
    </w:p>
    <w:p w14:paraId="53BB8F71" w14:textId="77777777" w:rsidR="00D52540" w:rsidRDefault="00D52540" w:rsidP="00D52540">
      <w:pPr>
        <w:spacing w:after="120" w:line="240" w:lineRule="exact"/>
        <w:jc w:val="left"/>
        <w:rPr>
          <w:rFonts w:ascii="Arial" w:hAnsi="Arial" w:cs="Arial"/>
          <w:b/>
          <w:sz w:val="18"/>
          <w:szCs w:val="18"/>
          <w:lang w:val="bg-BG"/>
        </w:rPr>
      </w:pPr>
      <w:r>
        <w:rPr>
          <w:rFonts w:ascii="Arial" w:hAnsi="Arial" w:cs="Arial"/>
          <w:b/>
          <w:sz w:val="18"/>
          <w:szCs w:val="18"/>
          <w:lang w:val="bg-BG"/>
        </w:rPr>
        <w:t xml:space="preserve">МСФО 15 </w:t>
      </w:r>
      <w:r>
        <w:rPr>
          <w:rFonts w:ascii="Arial" w:hAnsi="Arial" w:cs="Arial"/>
          <w:b/>
          <w:i/>
          <w:sz w:val="18"/>
          <w:szCs w:val="18"/>
          <w:lang w:val="bg-BG"/>
        </w:rPr>
        <w:t>Приходи по договори с клиенти</w:t>
      </w:r>
      <w:r>
        <w:rPr>
          <w:rFonts w:ascii="Arial" w:hAnsi="Arial" w:cs="Arial"/>
          <w:b/>
          <w:sz w:val="18"/>
          <w:szCs w:val="18"/>
          <w:lang w:val="bg-BG"/>
        </w:rPr>
        <w:t xml:space="preserve"> </w:t>
      </w:r>
    </w:p>
    <w:p w14:paraId="5D7AB9B7" w14:textId="23247594" w:rsidR="00D52540" w:rsidRDefault="00D52540" w:rsidP="00D52540">
      <w:pPr>
        <w:autoSpaceDE w:val="0"/>
        <w:autoSpaceDN w:val="0"/>
        <w:adjustRightInd w:val="0"/>
        <w:spacing w:after="120" w:line="240" w:lineRule="exact"/>
        <w:jc w:val="left"/>
        <w:rPr>
          <w:rFonts w:ascii="Arial" w:hAnsi="Arial" w:cs="Arial"/>
          <w:sz w:val="18"/>
          <w:szCs w:val="18"/>
          <w:lang w:val="bg-BG"/>
        </w:rPr>
      </w:pPr>
      <w:r>
        <w:rPr>
          <w:rFonts w:ascii="Arial" w:hAnsi="Arial" w:cs="Arial"/>
          <w:sz w:val="18"/>
          <w:szCs w:val="18"/>
          <w:lang w:val="bg-BG" w:eastAsia="en-GB"/>
        </w:rPr>
        <w:t xml:space="preserve">Стандартът влиза в сила </w:t>
      </w:r>
      <w:r>
        <w:rPr>
          <w:rFonts w:ascii="Arial" w:hAnsi="Arial" w:cs="Arial"/>
          <w:sz w:val="18"/>
          <w:szCs w:val="18"/>
          <w:lang w:val="bg-BG"/>
        </w:rPr>
        <w:t>за годишни периоди, започващи на или след 1 януари 201</w:t>
      </w:r>
      <w:r>
        <w:rPr>
          <w:rFonts w:ascii="Arial" w:hAnsi="Arial" w:cs="Arial"/>
          <w:sz w:val="18"/>
          <w:szCs w:val="18"/>
        </w:rPr>
        <w:t>8</w:t>
      </w:r>
      <w:r>
        <w:rPr>
          <w:rFonts w:ascii="Arial" w:hAnsi="Arial" w:cs="Arial"/>
          <w:sz w:val="18"/>
          <w:szCs w:val="18"/>
          <w:lang w:val="bg-BG"/>
        </w:rPr>
        <w:t xml:space="preserve"> г. МСФО 15 въвежда модел от пет стъпки, който е приложим към приходите по договори с клиенти (с малки изключения), независимо от типа на сделката или дейността. </w:t>
      </w:r>
      <w:r>
        <w:rPr>
          <w:rFonts w:ascii="Arial" w:hAnsi="Arial" w:cs="Arial"/>
          <w:sz w:val="18"/>
          <w:szCs w:val="18"/>
          <w:lang w:val="bg-BG" w:eastAsia="en-GB"/>
        </w:rPr>
        <w:t xml:space="preserve">Стандартът ще се прилага и по отношение на признаването и оценяването на печалби и загуби от продажба на някои нефинансови активи, които произтичат от нерегулярни дейности (например продажба на имоти, машини и съоръжения или нематериални активи). Ще се изискват по-детайлни оповестявания, включително разбивки на общите приходи, информация за отделните задължения за изпълнение, изменение в салдата на отчетените активи и пасиви по договори с клиенти, както и ключови преценки и оценки. </w:t>
      </w:r>
      <w:r>
        <w:rPr>
          <w:rFonts w:ascii="Arial" w:hAnsi="Arial" w:cs="Arial"/>
          <w:sz w:val="18"/>
          <w:szCs w:val="18"/>
          <w:lang w:val="bg-BG"/>
        </w:rPr>
        <w:t>Групата предстои да анализира и оцени ефектите от този стандарт върху бъдещото финансово състояние и резултати от дейността.</w:t>
      </w:r>
    </w:p>
    <w:p w14:paraId="48338F40" w14:textId="77777777" w:rsidR="00D52540" w:rsidRDefault="00D52540" w:rsidP="00D52540">
      <w:pPr>
        <w:autoSpaceDE w:val="0"/>
        <w:autoSpaceDN w:val="0"/>
        <w:adjustRightInd w:val="0"/>
        <w:spacing w:after="120" w:line="240" w:lineRule="auto"/>
        <w:jc w:val="left"/>
        <w:rPr>
          <w:rFonts w:ascii="Arial" w:hAnsi="Arial" w:cs="Arial"/>
          <w:bCs/>
          <w:sz w:val="18"/>
          <w:szCs w:val="18"/>
          <w:lang w:eastAsia="el-GR"/>
        </w:rPr>
      </w:pPr>
      <w:r>
        <w:rPr>
          <w:rFonts w:ascii="Arial" w:hAnsi="Arial" w:cs="Arial"/>
          <w:b/>
          <w:sz w:val="18"/>
          <w:szCs w:val="18"/>
        </w:rPr>
        <w:t>МСФО 15 Приходи по договори с клиенти (Разяснения)</w:t>
      </w:r>
      <w:r>
        <w:rPr>
          <w:rFonts w:ascii="Arial" w:hAnsi="Arial" w:cs="Arial"/>
          <w:bCs/>
          <w:sz w:val="18"/>
          <w:szCs w:val="18"/>
          <w:lang w:eastAsia="el-GR"/>
        </w:rPr>
        <w:t xml:space="preserve"> </w:t>
      </w:r>
    </w:p>
    <w:p w14:paraId="7D0B680F" w14:textId="7250C8DF" w:rsidR="00D52540" w:rsidRDefault="00D52540" w:rsidP="00D52540">
      <w:pPr>
        <w:autoSpaceDE w:val="0"/>
        <w:autoSpaceDN w:val="0"/>
        <w:adjustRightInd w:val="0"/>
        <w:spacing w:after="120" w:line="240" w:lineRule="exact"/>
        <w:jc w:val="left"/>
        <w:rPr>
          <w:rFonts w:ascii="Arial" w:hAnsi="Arial" w:cs="Arial"/>
          <w:sz w:val="18"/>
          <w:szCs w:val="18"/>
          <w:lang w:val="bg-BG" w:eastAsia="en-GB"/>
        </w:rPr>
      </w:pPr>
      <w:r>
        <w:rPr>
          <w:rFonts w:ascii="Arial" w:hAnsi="Arial" w:cs="Arial"/>
          <w:sz w:val="18"/>
          <w:szCs w:val="18"/>
          <w:lang w:val="bg-BG" w:eastAsia="en-GB"/>
        </w:rPr>
        <w:t xml:space="preserve">Разясненията влизат в сила за годишни периоди, започващи на или след 1 януари 2018 г., като се позволява по-ранното им прилагане. Целта на разясненията, е да се изяснят намеренията, при разработването на МСФО 15, по отношение на отчитането на идентифицираните задължения за изпълнение, изменение в текста на принципа „отделно разграничим“, анализ на договорености за продажби за определянето дали дружеството действа като принципал или като агент, както и прилагането на принципа за контрол, нови изисквания за лицензите предоставяйки допълнителни насоки за отчитане на интелектуалната собственост и авторските права. Разясненията също предоставят допълнителни практически насоки за прилагането на пълен ретроспективен подход и модифициран ретроспективен подход при преминаване към МСФО 15. Разясненията все още не са приети от ЕС. </w:t>
      </w:r>
      <w:r>
        <w:rPr>
          <w:rFonts w:ascii="Arial" w:hAnsi="Arial" w:cs="Arial"/>
          <w:sz w:val="18"/>
          <w:szCs w:val="18"/>
          <w:lang w:val="bg-BG"/>
        </w:rPr>
        <w:t>Групата предстои да анализира и оцени ефектите от този стандарт върху бъдещото финансово състояние и резултати от дейността.</w:t>
      </w:r>
    </w:p>
    <w:p w14:paraId="39A3F12C" w14:textId="77777777" w:rsidR="00D52540" w:rsidRDefault="00D52540" w:rsidP="00D52540">
      <w:pPr>
        <w:spacing w:after="120" w:line="240" w:lineRule="exact"/>
        <w:jc w:val="left"/>
        <w:rPr>
          <w:rFonts w:ascii="Arial" w:hAnsi="Arial" w:cs="Arial"/>
          <w:b/>
          <w:sz w:val="18"/>
          <w:szCs w:val="18"/>
        </w:rPr>
      </w:pPr>
      <w:r>
        <w:rPr>
          <w:rFonts w:ascii="Arial" w:hAnsi="Arial" w:cs="Arial"/>
          <w:b/>
          <w:sz w:val="18"/>
          <w:szCs w:val="18"/>
          <w:lang w:val="bg-BG"/>
        </w:rPr>
        <w:t xml:space="preserve">МСФО 16 </w:t>
      </w:r>
      <w:r>
        <w:rPr>
          <w:rFonts w:ascii="Arial" w:hAnsi="Arial" w:cs="Arial"/>
          <w:b/>
          <w:i/>
          <w:sz w:val="18"/>
          <w:szCs w:val="18"/>
          <w:lang w:val="bg-BG"/>
        </w:rPr>
        <w:t>Лизинг</w:t>
      </w:r>
    </w:p>
    <w:p w14:paraId="61680A36" w14:textId="7B78DBB1" w:rsidR="00D52540" w:rsidRDefault="00D52540" w:rsidP="00D52540">
      <w:pPr>
        <w:spacing w:after="120" w:line="240" w:lineRule="exact"/>
        <w:jc w:val="left"/>
        <w:rPr>
          <w:rFonts w:ascii="Arial" w:hAnsi="Arial" w:cs="Arial"/>
          <w:b/>
          <w:sz w:val="18"/>
          <w:szCs w:val="18"/>
          <w:lang w:val="bg-BG"/>
        </w:rPr>
      </w:pPr>
      <w:r>
        <w:rPr>
          <w:rFonts w:ascii="Arial" w:hAnsi="Arial" w:cs="Arial"/>
          <w:sz w:val="18"/>
          <w:szCs w:val="18"/>
          <w:lang w:val="bg-BG"/>
        </w:rPr>
        <w:t>Стандартът влиза в сила за годишни периоди, започващи на или след 1 януари 2019 г. МСФО 16 определя принципите за признаване, оценяване, представяне и оповестяване на лизинг и за двете страни по договор, т.е. клиента („лизингополучател“) и на доставчика („лизингодател“). МСФО 16 изисква лизингополучателите да отчитат повечето лизинги в баланса и да прилагат единен модел при отчитането на всички лизингови договори, с някои изключения. Отчитането при лизингодателите не се променя по същество. Стандартът все още не е приет от ЕС. Групата предстои да анализира и оцени ефектите от този стандарт върху бъдещото финансово състояние и резултати от дейността.</w:t>
      </w:r>
    </w:p>
    <w:p w14:paraId="6F5CA2AA" w14:textId="77777777" w:rsidR="00D52540" w:rsidRDefault="00D52540" w:rsidP="00D52540">
      <w:pPr>
        <w:spacing w:after="120" w:line="240" w:lineRule="exact"/>
        <w:jc w:val="left"/>
        <w:rPr>
          <w:rFonts w:ascii="Arial" w:hAnsi="Arial" w:cs="Arial"/>
          <w:b/>
          <w:sz w:val="18"/>
          <w:szCs w:val="18"/>
          <w:lang w:val="bg-BG"/>
        </w:rPr>
      </w:pPr>
      <w:r>
        <w:rPr>
          <w:rFonts w:ascii="Arial" w:hAnsi="Arial" w:cs="Arial"/>
          <w:b/>
          <w:i/>
          <w:sz w:val="18"/>
          <w:szCs w:val="18"/>
          <w:lang w:val="bg-BG"/>
        </w:rPr>
        <w:t xml:space="preserve">Изменения в </w:t>
      </w:r>
      <w:r>
        <w:rPr>
          <w:rFonts w:ascii="Arial" w:hAnsi="Arial" w:cs="Arial"/>
          <w:b/>
          <w:sz w:val="18"/>
          <w:szCs w:val="18"/>
          <w:lang w:val="bg-BG"/>
        </w:rPr>
        <w:t>МСФО 10</w:t>
      </w:r>
      <w:r>
        <w:rPr>
          <w:rFonts w:ascii="Arial" w:hAnsi="Arial" w:cs="Arial"/>
          <w:b/>
          <w:i/>
          <w:sz w:val="18"/>
          <w:szCs w:val="18"/>
          <w:lang w:val="bg-BG"/>
        </w:rPr>
        <w:t xml:space="preserve"> Консолидирани финансови отчети</w:t>
      </w:r>
      <w:r>
        <w:rPr>
          <w:rFonts w:ascii="Arial" w:hAnsi="Arial" w:cs="Arial"/>
          <w:b/>
          <w:sz w:val="18"/>
          <w:szCs w:val="18"/>
          <w:lang w:val="bg-BG"/>
        </w:rPr>
        <w:t xml:space="preserve"> и МСС 28 </w:t>
      </w:r>
      <w:r>
        <w:rPr>
          <w:rFonts w:ascii="Arial" w:hAnsi="Arial" w:cs="Arial"/>
          <w:b/>
          <w:i/>
          <w:sz w:val="18"/>
          <w:szCs w:val="18"/>
          <w:lang w:val="bg-BG"/>
        </w:rPr>
        <w:t>Инвестиции в асоциирани и съвместни предприятия</w:t>
      </w:r>
      <w:r>
        <w:rPr>
          <w:rFonts w:ascii="Arial" w:hAnsi="Arial" w:cs="Arial"/>
          <w:b/>
          <w:sz w:val="18"/>
          <w:szCs w:val="18"/>
          <w:lang w:val="bg-BG"/>
        </w:rPr>
        <w:t>: Продажба или вноска на активи със страни по сделката инвеститор и негово асоциирано или съвместно предприятие</w:t>
      </w:r>
    </w:p>
    <w:p w14:paraId="4FD946EC" w14:textId="67F85BEA" w:rsidR="00D52540" w:rsidRDefault="00D52540" w:rsidP="00D52540">
      <w:pPr>
        <w:spacing w:after="120"/>
        <w:jc w:val="left"/>
        <w:rPr>
          <w:rFonts w:ascii="Arial" w:hAnsi="Arial" w:cs="Arial"/>
          <w:sz w:val="18"/>
          <w:szCs w:val="18"/>
          <w:lang w:val="bg-BG"/>
        </w:rPr>
      </w:pPr>
      <w:r>
        <w:rPr>
          <w:rFonts w:ascii="Arial" w:hAnsi="Arial" w:cs="Arial"/>
          <w:sz w:val="18"/>
          <w:szCs w:val="18"/>
          <w:lang w:val="bg-BG"/>
        </w:rPr>
        <w:t>Измененията разглеждат установеното несъответствие между изискванията на МСФО 10 и МСС 28 при продажба или вноска на активи със страни по сделката инвеститор и негово асоциирано или съвместно предприятие. Основното следствие от измененията е, че пълна печалба или загуба се признава, когато сделката касае бизнес (независимо дали е дъщерно дружество или не). Частична печалба или загуба се признава, когато дадена сделка касае активи, които не представляват бизнес, дори ако тези активи се намират в дъщерно дружество. През декември 2015 г. БМСС отложи датата на влизане в сила на това изменение за неопределено време, в зависимост от резултата от неговия проучвателен проект, касаещ отчитане по метода на собствения капитал. Измененията все още не е приети от ЕС. Не се очаква тези изменения да имат ефект върху бъдещите финансови отчети на Групата.</w:t>
      </w:r>
    </w:p>
    <w:p w14:paraId="5D82AC9D" w14:textId="77777777" w:rsidR="00D52540" w:rsidRDefault="00D52540" w:rsidP="00D52540">
      <w:pPr>
        <w:spacing w:line="240" w:lineRule="auto"/>
        <w:jc w:val="left"/>
        <w:rPr>
          <w:rFonts w:ascii="Arial" w:hAnsi="Arial" w:cs="Arial"/>
          <w:sz w:val="18"/>
          <w:szCs w:val="18"/>
          <w:lang w:val="bg-BG"/>
        </w:rPr>
      </w:pPr>
      <w:r>
        <w:rPr>
          <w:rFonts w:ascii="Arial" w:hAnsi="Arial" w:cs="Arial"/>
          <w:sz w:val="18"/>
          <w:szCs w:val="18"/>
          <w:lang w:val="bg-BG"/>
        </w:rPr>
        <w:br w:type="page"/>
      </w:r>
    </w:p>
    <w:p w14:paraId="7924FDEA" w14:textId="77777777" w:rsidR="00D52540" w:rsidRDefault="00D52540" w:rsidP="00D52540">
      <w:pPr>
        <w:spacing w:after="60"/>
        <w:jc w:val="left"/>
        <w:rPr>
          <w:rFonts w:ascii="Arial" w:hAnsi="Arial" w:cs="Arial"/>
          <w:b/>
          <w:bCs/>
          <w:color w:val="000000"/>
          <w:lang w:val="bg-BG"/>
        </w:rPr>
      </w:pPr>
      <w:r>
        <w:rPr>
          <w:rFonts w:ascii="Arial" w:hAnsi="Arial" w:cs="Arial"/>
          <w:b/>
          <w:bCs/>
          <w:color w:val="000000"/>
          <w:lang w:val="bg-BG"/>
        </w:rPr>
        <w:t xml:space="preserve">4. Публикувани стандарти, които все още не са в сила и не са възприети по-рано </w:t>
      </w:r>
      <w:r>
        <w:rPr>
          <w:rFonts w:ascii="Arial" w:hAnsi="Arial" w:cs="Arial"/>
          <w:b/>
          <w:bCs/>
          <w:i/>
          <w:color w:val="000000"/>
          <w:lang w:val="bg-BG"/>
        </w:rPr>
        <w:t>(продължение)</w:t>
      </w:r>
    </w:p>
    <w:p w14:paraId="1B2DF604" w14:textId="77777777" w:rsidR="00D52540" w:rsidRDefault="00D52540" w:rsidP="00D52540">
      <w:pPr>
        <w:autoSpaceDE w:val="0"/>
        <w:autoSpaceDN w:val="0"/>
        <w:adjustRightInd w:val="0"/>
        <w:jc w:val="left"/>
        <w:rPr>
          <w:rFonts w:ascii="Arial" w:hAnsi="Arial" w:cs="Arial"/>
          <w:b/>
          <w:bCs/>
          <w:i/>
          <w:sz w:val="18"/>
          <w:szCs w:val="18"/>
          <w:lang w:val="bg-BG"/>
        </w:rPr>
      </w:pPr>
      <w:r>
        <w:rPr>
          <w:rFonts w:ascii="Arial" w:hAnsi="Arial" w:cs="Arial"/>
          <w:b/>
          <w:bCs/>
          <w:sz w:val="18"/>
          <w:szCs w:val="18"/>
          <w:lang w:val="bg-BG"/>
        </w:rPr>
        <w:t>МСФО</w:t>
      </w:r>
      <w:r>
        <w:rPr>
          <w:rFonts w:ascii="Arial" w:hAnsi="Arial" w:cs="Arial"/>
          <w:b/>
          <w:bCs/>
          <w:sz w:val="18"/>
          <w:szCs w:val="18"/>
        </w:rPr>
        <w:t xml:space="preserve"> 2 </w:t>
      </w:r>
      <w:r>
        <w:rPr>
          <w:rFonts w:ascii="Arial" w:hAnsi="Arial" w:cs="Arial"/>
          <w:b/>
          <w:bCs/>
          <w:i/>
          <w:sz w:val="18"/>
          <w:szCs w:val="18"/>
          <w:lang w:val="bg-BG"/>
        </w:rPr>
        <w:t xml:space="preserve">Плащане на базата на акции </w:t>
      </w:r>
      <w:r>
        <w:rPr>
          <w:rFonts w:ascii="Arial" w:hAnsi="Arial" w:cs="Arial"/>
          <w:b/>
          <w:bCs/>
          <w:iCs/>
          <w:sz w:val="18"/>
          <w:szCs w:val="18"/>
          <w:lang w:val="bg-BG"/>
        </w:rPr>
        <w:t>(Изменения)</w:t>
      </w:r>
      <w:r>
        <w:rPr>
          <w:rFonts w:ascii="Arial" w:hAnsi="Arial" w:cs="Arial"/>
          <w:b/>
          <w:bCs/>
          <w:sz w:val="18"/>
          <w:szCs w:val="18"/>
        </w:rPr>
        <w:t xml:space="preserve">: </w:t>
      </w:r>
      <w:r>
        <w:rPr>
          <w:rFonts w:ascii="Arial" w:hAnsi="Arial" w:cs="Arial"/>
          <w:b/>
          <w:bCs/>
          <w:sz w:val="18"/>
          <w:szCs w:val="18"/>
          <w:lang w:val="bg-BG"/>
        </w:rPr>
        <w:t xml:space="preserve">Класификация и оценяване на сделки с плащане на базата на акции </w:t>
      </w:r>
    </w:p>
    <w:p w14:paraId="4D43C29B" w14:textId="7DCFC559" w:rsidR="00D52540" w:rsidRDefault="00D52540" w:rsidP="00D52540">
      <w:pPr>
        <w:spacing w:after="120"/>
        <w:jc w:val="left"/>
        <w:rPr>
          <w:rFonts w:ascii="Arial" w:hAnsi="Arial" w:cs="Arial"/>
          <w:sz w:val="18"/>
          <w:szCs w:val="18"/>
          <w:lang w:val="bg-BG"/>
        </w:rPr>
      </w:pPr>
      <w:r>
        <w:rPr>
          <w:rFonts w:ascii="Arial" w:hAnsi="Arial" w:cs="Arial"/>
          <w:sz w:val="18"/>
          <w:szCs w:val="18"/>
          <w:lang w:val="bg-BG"/>
        </w:rPr>
        <w:t>Измененията влизат в сила за годишни периоди, започващи на или след 1 януари 2018 г., като се позволява по-ранното им прилагане. Измененията предвиждат изисквания за счетоводното отчитане на ефектите от условията за упражняване и неупражняване върху оценяването на сделки с плащане на базата на акции, уреждани с парични средства</w:t>
      </w:r>
      <w:r>
        <w:rPr>
          <w:rFonts w:ascii="Arial" w:hAnsi="Arial" w:cs="Arial"/>
          <w:sz w:val="18"/>
          <w:szCs w:val="18"/>
        </w:rPr>
        <w:t>;</w:t>
      </w:r>
      <w:r>
        <w:rPr>
          <w:rFonts w:ascii="Arial" w:hAnsi="Arial" w:cs="Arial"/>
          <w:sz w:val="18"/>
          <w:szCs w:val="18"/>
          <w:lang w:val="bg-BG"/>
        </w:rPr>
        <w:t xml:space="preserve"> за плащане на базата на акции с възможност за нетно от задълженията за данък при източника уреждане и за изменения на условията за плащане на базата на акции, което променя класификацията от сделка</w:t>
      </w:r>
      <w:r>
        <w:rPr>
          <w:rFonts w:ascii="Arial" w:hAnsi="Arial" w:cs="Arial"/>
          <w:sz w:val="18"/>
          <w:szCs w:val="18"/>
        </w:rPr>
        <w:t>,</w:t>
      </w:r>
      <w:r>
        <w:rPr>
          <w:rFonts w:ascii="Arial" w:hAnsi="Arial" w:cs="Arial"/>
          <w:sz w:val="18"/>
          <w:szCs w:val="18"/>
          <w:lang w:val="bg-BG"/>
        </w:rPr>
        <w:t xml:space="preserve"> уреждана с парични средства</w:t>
      </w:r>
      <w:r>
        <w:rPr>
          <w:rFonts w:ascii="Arial" w:hAnsi="Arial" w:cs="Arial"/>
          <w:sz w:val="18"/>
          <w:szCs w:val="18"/>
        </w:rPr>
        <w:t>,</w:t>
      </w:r>
      <w:r>
        <w:rPr>
          <w:rFonts w:ascii="Arial" w:hAnsi="Arial" w:cs="Arial"/>
          <w:sz w:val="18"/>
          <w:szCs w:val="18"/>
          <w:lang w:val="bg-BG"/>
        </w:rPr>
        <w:t xml:space="preserve"> в сделка, уреждана чрез издаване на инструменти на собствения капитал. Измененията все още не са приети от ЕС. Не се очаква тези изменения да имат ефект върху бъдещите финансови отчети на Групата.</w:t>
      </w:r>
    </w:p>
    <w:p w14:paraId="3B8D9544" w14:textId="77777777" w:rsidR="00D52540" w:rsidRDefault="00D52540" w:rsidP="00D52540">
      <w:pPr>
        <w:autoSpaceDE w:val="0"/>
        <w:autoSpaceDN w:val="0"/>
        <w:adjustRightInd w:val="0"/>
        <w:spacing w:line="240" w:lineRule="exact"/>
        <w:jc w:val="left"/>
        <w:rPr>
          <w:rFonts w:ascii="Arial" w:hAnsi="Arial" w:cs="Arial"/>
          <w:b/>
          <w:bCs/>
          <w:sz w:val="18"/>
          <w:szCs w:val="18"/>
          <w:lang w:val="bg-BG"/>
        </w:rPr>
      </w:pPr>
      <w:r>
        <w:rPr>
          <w:rFonts w:ascii="Arial" w:hAnsi="Arial" w:cs="Arial"/>
          <w:b/>
          <w:bCs/>
          <w:sz w:val="18"/>
          <w:szCs w:val="18"/>
          <w:lang w:val="bg-BG"/>
        </w:rPr>
        <w:t xml:space="preserve">МСС 40 </w:t>
      </w:r>
      <w:r>
        <w:rPr>
          <w:rFonts w:ascii="Arial" w:hAnsi="Arial" w:cs="Arial"/>
          <w:b/>
          <w:bCs/>
          <w:i/>
          <w:sz w:val="18"/>
          <w:szCs w:val="18"/>
          <w:lang w:val="bg-BG"/>
        </w:rPr>
        <w:t xml:space="preserve">Инвестиционни имоти </w:t>
      </w:r>
      <w:r>
        <w:rPr>
          <w:rFonts w:ascii="Arial" w:hAnsi="Arial" w:cs="Arial"/>
          <w:b/>
          <w:bCs/>
          <w:sz w:val="18"/>
          <w:szCs w:val="18"/>
          <w:lang w:val="bg-BG"/>
        </w:rPr>
        <w:t xml:space="preserve">(Изменения): Прехвърляне на инвестиционен имот </w:t>
      </w:r>
    </w:p>
    <w:p w14:paraId="41A42D31" w14:textId="05C110A9" w:rsidR="00D52540" w:rsidRDefault="00D52540" w:rsidP="00D52540">
      <w:pPr>
        <w:autoSpaceDE w:val="0"/>
        <w:autoSpaceDN w:val="0"/>
        <w:adjustRightInd w:val="0"/>
        <w:spacing w:after="120"/>
        <w:jc w:val="left"/>
        <w:rPr>
          <w:rFonts w:ascii="Arial" w:hAnsi="Arial" w:cs="Arial"/>
          <w:sz w:val="18"/>
          <w:szCs w:val="18"/>
          <w:lang w:val="bg-BG"/>
        </w:rPr>
      </w:pPr>
      <w:r>
        <w:rPr>
          <w:rFonts w:ascii="Arial" w:hAnsi="Arial" w:cs="Arial"/>
          <w:sz w:val="18"/>
          <w:szCs w:val="18"/>
          <w:lang w:val="bg-BG"/>
        </w:rPr>
        <w:t>Измененията влизат в сила за годишни периоди, започващи на или след 1 януари 2018 г., като се позволява по-ранното им прилагане. Измененията поясняват кога предприятието трябва да прехвърли имущество, включително имущество в процес на изграждане или разработване, от или към инвестиционен имот. Измененията гласят, че промяна в употребата възниква, когато имуществото отговаря или престане да отговаря на определението за инвестиционен имот и съществуват доказателства за промяна в употребата. Обикновена промяна в намеренията на ръководството за използване на имот не дава доказателства за промяна в употребата. Измененията все още не са приети от ЕС. Не се очаква тези изменения да имат ефект върху бъдещите финансови отчети на Групата.</w:t>
      </w:r>
    </w:p>
    <w:p w14:paraId="52668252" w14:textId="77777777" w:rsidR="00D52540" w:rsidRDefault="00D52540" w:rsidP="00D52540">
      <w:pPr>
        <w:autoSpaceDE w:val="0"/>
        <w:autoSpaceDN w:val="0"/>
        <w:adjustRightInd w:val="0"/>
        <w:jc w:val="left"/>
        <w:rPr>
          <w:rFonts w:ascii="Arial" w:hAnsi="Arial" w:cs="Arial"/>
          <w:b/>
          <w:bCs/>
          <w:sz w:val="18"/>
          <w:szCs w:val="18"/>
        </w:rPr>
      </w:pPr>
      <w:r>
        <w:rPr>
          <w:rFonts w:ascii="Arial" w:hAnsi="Arial" w:cs="Arial"/>
          <w:b/>
          <w:bCs/>
          <w:sz w:val="18"/>
          <w:szCs w:val="18"/>
        </w:rPr>
        <w:t>КРМСФО 22 Отчитане на сделки и авансови плащания по сделки в чуждестранна валута</w:t>
      </w:r>
    </w:p>
    <w:p w14:paraId="41A2759B" w14:textId="17B5B84D" w:rsidR="00D52540" w:rsidRDefault="00D52540" w:rsidP="00D52540">
      <w:pPr>
        <w:autoSpaceDE w:val="0"/>
        <w:autoSpaceDN w:val="0"/>
        <w:adjustRightInd w:val="0"/>
        <w:spacing w:after="120"/>
        <w:jc w:val="left"/>
        <w:rPr>
          <w:rFonts w:ascii="Arial" w:hAnsi="Arial" w:cs="Arial"/>
          <w:bCs/>
          <w:sz w:val="18"/>
          <w:szCs w:val="18"/>
          <w:lang w:val="bg-BG"/>
        </w:rPr>
      </w:pPr>
      <w:r>
        <w:rPr>
          <w:rFonts w:ascii="Arial" w:hAnsi="Arial" w:cs="Arial"/>
          <w:bCs/>
          <w:sz w:val="18"/>
          <w:szCs w:val="18"/>
        </w:rPr>
        <w:t>Разяснението влиза в сила за годишни периоди, започващи на или след 1 януари 2018 г., като се позволява по-ранното му прилагане</w:t>
      </w:r>
      <w:r>
        <w:rPr>
          <w:rFonts w:ascii="Arial" w:hAnsi="Arial" w:cs="Arial"/>
          <w:bCs/>
          <w:sz w:val="18"/>
          <w:szCs w:val="18"/>
          <w:lang w:val="bg-BG"/>
        </w:rPr>
        <w:t>. В разяснението се пояснява отчитането на транзакции, които включват платено или получено авансово плащане в чуждестранна валута.</w:t>
      </w:r>
      <w:r>
        <w:rPr>
          <w:rFonts w:ascii="Arial" w:hAnsi="Arial" w:cs="Arial"/>
          <w:sz w:val="18"/>
          <w:szCs w:val="18"/>
          <w:lang w:val="bg-BG"/>
        </w:rPr>
        <w:t xml:space="preserve"> </w:t>
      </w:r>
      <w:r>
        <w:rPr>
          <w:rFonts w:ascii="Arial" w:hAnsi="Arial" w:cs="Arial"/>
          <w:bCs/>
          <w:sz w:val="18"/>
          <w:szCs w:val="18"/>
          <w:lang w:val="bg-BG"/>
        </w:rPr>
        <w:t>Тълкуванието обхваща сделките в чуждестранна валута, когато предприятието признава непаричен актив или непаричен пасив, възникнал от плащането или получаването на авансово плащане преди предприятието да признае съответния актив, разход или приход.</w:t>
      </w:r>
      <w:r>
        <w:rPr>
          <w:rFonts w:ascii="Arial" w:hAnsi="Arial" w:cs="Arial"/>
          <w:sz w:val="18"/>
          <w:szCs w:val="18"/>
          <w:lang w:val="bg-BG"/>
        </w:rPr>
        <w:t xml:space="preserve"> </w:t>
      </w:r>
      <w:r>
        <w:rPr>
          <w:rFonts w:ascii="Arial" w:hAnsi="Arial" w:cs="Arial"/>
          <w:bCs/>
          <w:sz w:val="18"/>
          <w:szCs w:val="18"/>
          <w:lang w:val="bg-BG"/>
        </w:rPr>
        <w:t>В разяснението се посочва, че датата на сделката, за целите на определяне на обменния курс, е датата на първоначално признаване на непаричния предплатен актив или пасив по отсрочени приходи.</w:t>
      </w:r>
      <w:r>
        <w:rPr>
          <w:rFonts w:ascii="Arial" w:hAnsi="Arial" w:cs="Arial"/>
          <w:sz w:val="18"/>
          <w:szCs w:val="18"/>
          <w:lang w:val="bg-BG"/>
        </w:rPr>
        <w:t xml:space="preserve"> </w:t>
      </w:r>
      <w:r>
        <w:rPr>
          <w:rFonts w:ascii="Arial" w:hAnsi="Arial" w:cs="Arial"/>
          <w:bCs/>
          <w:sz w:val="18"/>
          <w:szCs w:val="18"/>
          <w:lang w:val="bg-BG"/>
        </w:rPr>
        <w:t xml:space="preserve">Ако има многократни авансови плащания или получени плащания, предприятието трябва да определи дата на транзакциите за всяко плащане или получаване на авансово плащане. </w:t>
      </w:r>
      <w:r>
        <w:rPr>
          <w:rFonts w:ascii="Arial" w:hAnsi="Arial" w:cs="Arial"/>
          <w:sz w:val="18"/>
          <w:szCs w:val="18"/>
          <w:lang w:val="bg-BG"/>
        </w:rPr>
        <w:t>Това разяснение все още не е прието от ЕС. Групата предстои да анализира и оцени ефектите от този стандарт върху бъдещото финансово състояние и резултати от дейността.</w:t>
      </w:r>
    </w:p>
    <w:p w14:paraId="108691C7" w14:textId="1DE0E786" w:rsidR="00D52540" w:rsidRDefault="00D52540" w:rsidP="00D52540">
      <w:pPr>
        <w:pStyle w:val="HTMLPreformatted"/>
        <w:shd w:val="clear" w:color="auto" w:fill="FFFFFF"/>
        <w:spacing w:after="60"/>
        <w:rPr>
          <w:rFonts w:ascii="Arial" w:hAnsi="Arial" w:cs="Arial"/>
          <w:bCs/>
          <w:sz w:val="18"/>
          <w:szCs w:val="18"/>
          <w:lang w:val="bg-BG"/>
        </w:rPr>
      </w:pPr>
      <w:r>
        <w:rPr>
          <w:rFonts w:ascii="Arial" w:hAnsi="Arial" w:cs="Arial"/>
          <w:b/>
          <w:bCs/>
          <w:sz w:val="18"/>
          <w:szCs w:val="18"/>
          <w:lang w:val="bg-BG"/>
        </w:rPr>
        <w:t>БМСС публикува годишните подобрения в МСФО – Цикъл 2014-2016 г.,</w:t>
      </w:r>
      <w:r>
        <w:rPr>
          <w:rFonts w:ascii="Arial" w:hAnsi="Arial" w:cs="Arial"/>
          <w:bCs/>
          <w:sz w:val="18"/>
          <w:szCs w:val="18"/>
          <w:lang w:val="bg-BG"/>
        </w:rPr>
        <w:t xml:space="preserve"> който е съвкупност от изменения на МСФО. Измененията влизат в сила за годишни периоди, започващи на или след 1 януари 2018 г. за МСФО 1 Прилагане за първи път на Международните стандарти за финансово отчитане и за МСС 28 Инвестиции в асоциирани и съвместни предприятия. По-ранно прилагане е разрешено за МСС 28 Инвестиции в асоциирани и съвместни предприятия. Тези годишни подобрения все още не са приети от ЕС. </w:t>
      </w:r>
      <w:r>
        <w:rPr>
          <w:rFonts w:ascii="Arial" w:hAnsi="Arial" w:cs="Arial"/>
          <w:sz w:val="18"/>
          <w:szCs w:val="18"/>
          <w:lang w:val="bg-BG"/>
        </w:rPr>
        <w:t>Групата предстои да анализира и оцени ефектите от този стандарт върху бъдещото финансово състояние и резултати от дейността.</w:t>
      </w:r>
    </w:p>
    <w:p w14:paraId="15934A4D" w14:textId="77777777" w:rsidR="00D52540" w:rsidRDefault="00D52540" w:rsidP="00D52540">
      <w:pPr>
        <w:pStyle w:val="ListParagraph"/>
        <w:numPr>
          <w:ilvl w:val="0"/>
          <w:numId w:val="32"/>
        </w:numPr>
        <w:autoSpaceDE w:val="0"/>
        <w:autoSpaceDN w:val="0"/>
        <w:adjustRightInd w:val="0"/>
        <w:spacing w:line="240" w:lineRule="auto"/>
        <w:ind w:left="643"/>
        <w:jc w:val="left"/>
        <w:rPr>
          <w:rFonts w:ascii="Arial" w:hAnsi="Arial" w:cs="Arial"/>
          <w:bCs/>
          <w:sz w:val="18"/>
          <w:szCs w:val="18"/>
          <w:lang w:eastAsia="el-GR"/>
        </w:rPr>
      </w:pPr>
      <w:r>
        <w:rPr>
          <w:rFonts w:ascii="Arial" w:hAnsi="Arial" w:cs="Arial"/>
          <w:b/>
          <w:bCs/>
          <w:i/>
          <w:sz w:val="18"/>
          <w:szCs w:val="18"/>
          <w:lang w:eastAsia="el-GR"/>
        </w:rPr>
        <w:t>МСФО 1 Прилагане за първи път на Международните стандарти за финансово отчитане:</w:t>
      </w:r>
      <w:r>
        <w:rPr>
          <w:rFonts w:ascii="Arial" w:hAnsi="Arial" w:cs="Arial"/>
          <w:bCs/>
          <w:sz w:val="18"/>
          <w:szCs w:val="18"/>
          <w:lang w:eastAsia="el-GR"/>
        </w:rPr>
        <w:t xml:space="preserve"> Това подобрение </w:t>
      </w:r>
      <w:r>
        <w:rPr>
          <w:rFonts w:ascii="Arial" w:hAnsi="Arial" w:cs="Arial"/>
          <w:bCs/>
          <w:sz w:val="18"/>
          <w:szCs w:val="18"/>
          <w:lang w:val="bg-BG" w:eastAsia="el-GR"/>
        </w:rPr>
        <w:t>заличава</w:t>
      </w:r>
      <w:r>
        <w:rPr>
          <w:rFonts w:ascii="Arial" w:hAnsi="Arial" w:cs="Arial"/>
          <w:bCs/>
          <w:sz w:val="18"/>
          <w:szCs w:val="18"/>
          <w:lang w:eastAsia="el-GR"/>
        </w:rPr>
        <w:t xml:space="preserve"> краткосрочните изключения по отношение на оповестявания относно финансови инструменти, доходи на наети лица и инвестиционни предприятия, приложими за </w:t>
      </w:r>
      <w:r>
        <w:rPr>
          <w:rFonts w:ascii="Arial" w:hAnsi="Arial" w:cs="Arial"/>
          <w:bCs/>
          <w:sz w:val="18"/>
          <w:szCs w:val="18"/>
          <w:lang w:val="bg-BG" w:eastAsia="el-GR"/>
        </w:rPr>
        <w:t>предприятия прилагащи го за първи път.</w:t>
      </w:r>
    </w:p>
    <w:p w14:paraId="4E9618A1" w14:textId="77777777" w:rsidR="00D52540" w:rsidRDefault="00D52540" w:rsidP="00D52540">
      <w:pPr>
        <w:pStyle w:val="ListParagraph"/>
        <w:numPr>
          <w:ilvl w:val="0"/>
          <w:numId w:val="32"/>
        </w:numPr>
        <w:autoSpaceDE w:val="0"/>
        <w:autoSpaceDN w:val="0"/>
        <w:adjustRightInd w:val="0"/>
        <w:spacing w:after="120" w:line="240" w:lineRule="auto"/>
        <w:ind w:left="641" w:hanging="357"/>
        <w:jc w:val="left"/>
        <w:rPr>
          <w:rFonts w:ascii="Arial" w:hAnsi="Arial" w:cs="Arial"/>
          <w:sz w:val="18"/>
          <w:szCs w:val="18"/>
        </w:rPr>
      </w:pPr>
      <w:r>
        <w:rPr>
          <w:rFonts w:ascii="Arial" w:hAnsi="Arial" w:cs="Arial"/>
          <w:b/>
          <w:bCs/>
          <w:i/>
          <w:sz w:val="18"/>
          <w:szCs w:val="18"/>
          <w:lang w:eastAsia="el-GR"/>
        </w:rPr>
        <w:t xml:space="preserve">МСС 28 Инвестиции в асоциирани и съвместни предприятия: </w:t>
      </w:r>
      <w:r>
        <w:rPr>
          <w:rFonts w:ascii="Arial" w:hAnsi="Arial" w:cs="Arial"/>
          <w:sz w:val="18"/>
          <w:szCs w:val="18"/>
        </w:rPr>
        <w:t xml:space="preserve">Измененията поясняват, че изборите за оценяване по справедлива стойност в печалбата или загубата на инвестиция в асоциирано или съвместно предприятие, държани от предприятие, което е организация </w:t>
      </w:r>
      <w:r>
        <w:rPr>
          <w:rFonts w:ascii="Arial" w:hAnsi="Arial" w:cs="Arial"/>
          <w:sz w:val="18"/>
          <w:szCs w:val="18"/>
          <w:lang w:val="bg-BG"/>
        </w:rPr>
        <w:t>с</w:t>
      </w:r>
      <w:r>
        <w:rPr>
          <w:rFonts w:ascii="Arial" w:hAnsi="Arial" w:cs="Arial"/>
          <w:sz w:val="18"/>
          <w:szCs w:val="18"/>
        </w:rPr>
        <w:t xml:space="preserve"> рисков капитал или друго квалифицирано предприятие, е налице за всяка инвестиция в асоциирано или съвместно предприятие </w:t>
      </w:r>
      <w:r>
        <w:rPr>
          <w:rFonts w:ascii="Arial" w:hAnsi="Arial" w:cs="Arial"/>
          <w:sz w:val="18"/>
          <w:szCs w:val="18"/>
          <w:lang w:val="bg-BG"/>
        </w:rPr>
        <w:t xml:space="preserve">на база инвестиция чрез </w:t>
      </w:r>
      <w:r>
        <w:rPr>
          <w:rFonts w:ascii="Arial" w:hAnsi="Arial" w:cs="Arial"/>
          <w:sz w:val="18"/>
          <w:szCs w:val="18"/>
        </w:rPr>
        <w:t>инвестиции при първоначално признаване.</w:t>
      </w:r>
    </w:p>
    <w:p w14:paraId="6F3BBC37" w14:textId="77777777" w:rsidR="00D52540" w:rsidRDefault="00D52540" w:rsidP="00D52540">
      <w:pPr>
        <w:autoSpaceDE w:val="0"/>
        <w:autoSpaceDN w:val="0"/>
        <w:adjustRightInd w:val="0"/>
        <w:spacing w:line="240" w:lineRule="auto"/>
        <w:jc w:val="left"/>
        <w:rPr>
          <w:rFonts w:ascii="Arial" w:hAnsi="Arial" w:cs="Arial"/>
          <w:b/>
          <w:bCs/>
          <w:sz w:val="18"/>
          <w:szCs w:val="18"/>
        </w:rPr>
      </w:pPr>
      <w:r>
        <w:rPr>
          <w:rFonts w:ascii="Arial" w:hAnsi="Arial" w:cs="Arial"/>
          <w:b/>
          <w:bCs/>
          <w:sz w:val="18"/>
          <w:szCs w:val="18"/>
        </w:rPr>
        <w:t>КРМСФО 23: Несигурност при третирането на данъка върху доходите</w:t>
      </w:r>
    </w:p>
    <w:p w14:paraId="61B0811D" w14:textId="308ECBE1" w:rsidR="00D52540" w:rsidRDefault="00D52540" w:rsidP="00D52540">
      <w:pPr>
        <w:spacing w:after="120"/>
        <w:jc w:val="left"/>
        <w:rPr>
          <w:rFonts w:ascii="Arial" w:hAnsi="Arial" w:cs="Arial"/>
          <w:sz w:val="18"/>
          <w:szCs w:val="18"/>
          <w:lang w:val="bg-BG"/>
        </w:rPr>
      </w:pPr>
      <w:r>
        <w:rPr>
          <w:rFonts w:ascii="Arial" w:hAnsi="Arial" w:cs="Arial"/>
          <w:bCs/>
          <w:sz w:val="18"/>
          <w:szCs w:val="18"/>
        </w:rPr>
        <w:t>Тълкуванието влиза в сила за годишни периоди, започващи на или след 1 януари 2019 г., с разрешено по-ранно прилагане. Тълкуванието се отнася до осчетоводяването на данъци върху доходите, когато данъчните облекчения предполагат несигурност, която засяга прилагането на МСС 12. Разяснението дава насоки за разглеждане</w:t>
      </w:r>
      <w:r>
        <w:rPr>
          <w:rFonts w:ascii="Arial" w:hAnsi="Arial" w:cs="Arial"/>
          <w:bCs/>
          <w:sz w:val="18"/>
          <w:szCs w:val="18"/>
          <w:lang w:val="bg-BG"/>
        </w:rPr>
        <w:t>то</w:t>
      </w:r>
      <w:r>
        <w:rPr>
          <w:rFonts w:ascii="Arial" w:hAnsi="Arial" w:cs="Arial"/>
          <w:bCs/>
          <w:sz w:val="18"/>
          <w:szCs w:val="18"/>
        </w:rPr>
        <w:t xml:space="preserve"> на несигурно данъчно третиране отделно или заедно, проверка</w:t>
      </w:r>
      <w:r>
        <w:rPr>
          <w:rFonts w:ascii="Arial" w:hAnsi="Arial" w:cs="Arial"/>
          <w:bCs/>
          <w:sz w:val="18"/>
          <w:szCs w:val="18"/>
          <w:lang w:val="bg-BG"/>
        </w:rPr>
        <w:t>та</w:t>
      </w:r>
      <w:r>
        <w:rPr>
          <w:rFonts w:ascii="Arial" w:hAnsi="Arial" w:cs="Arial"/>
          <w:bCs/>
          <w:sz w:val="18"/>
          <w:szCs w:val="18"/>
        </w:rPr>
        <w:t xml:space="preserve"> от данъчните органи, подходящ</w:t>
      </w:r>
      <w:r>
        <w:rPr>
          <w:rFonts w:ascii="Arial" w:hAnsi="Arial" w:cs="Arial"/>
          <w:bCs/>
          <w:sz w:val="18"/>
          <w:szCs w:val="18"/>
          <w:lang w:val="bg-BG"/>
        </w:rPr>
        <w:t>ият</w:t>
      </w:r>
      <w:r>
        <w:rPr>
          <w:rFonts w:ascii="Arial" w:hAnsi="Arial" w:cs="Arial"/>
          <w:bCs/>
          <w:sz w:val="18"/>
          <w:szCs w:val="18"/>
        </w:rPr>
        <w:t xml:space="preserve"> метод за отразяване на несигурността и отчитане на промени на факти и обстоятелства.</w:t>
      </w:r>
      <w:r>
        <w:rPr>
          <w:rFonts w:ascii="Arial" w:hAnsi="Arial" w:cs="Arial"/>
          <w:bCs/>
          <w:sz w:val="18"/>
          <w:szCs w:val="18"/>
          <w:lang w:val="bg-BG"/>
        </w:rPr>
        <w:t xml:space="preserve"> </w:t>
      </w:r>
      <w:r>
        <w:rPr>
          <w:rFonts w:ascii="Arial" w:hAnsi="Arial" w:cs="Arial"/>
          <w:sz w:val="18"/>
          <w:szCs w:val="18"/>
          <w:lang w:val="bg-BG"/>
        </w:rPr>
        <w:t>Това разяснение все още не е прието от ЕС. Групата предстои да анализира и оцени ефектите от този стандарт върху бъдещото финансово състояние и резултати от дейността.</w:t>
      </w:r>
      <w:r>
        <w:rPr>
          <w:rFonts w:ascii="Arial" w:hAnsi="Arial" w:cs="Arial"/>
          <w:i/>
          <w:sz w:val="18"/>
          <w:szCs w:val="18"/>
          <w:lang w:val="bg-BG"/>
        </w:rPr>
        <w:br w:type="page"/>
      </w:r>
    </w:p>
    <w:p w14:paraId="4B6A902E" w14:textId="77777777" w:rsidR="00E07C4E" w:rsidRPr="00721663" w:rsidRDefault="00E07C4E" w:rsidP="00E07C4E">
      <w:pPr>
        <w:pStyle w:val="Heading1"/>
      </w:pPr>
      <w:bookmarkStart w:id="22" w:name="_Toc490647390"/>
      <w:bookmarkEnd w:id="13"/>
      <w:bookmarkEnd w:id="14"/>
      <w:bookmarkEnd w:id="15"/>
      <w:bookmarkEnd w:id="16"/>
      <w:bookmarkEnd w:id="17"/>
      <w:bookmarkEnd w:id="18"/>
      <w:bookmarkEnd w:id="19"/>
      <w:bookmarkEnd w:id="20"/>
      <w:r w:rsidRPr="00721663">
        <w:t>5. Приходи и разходи</w:t>
      </w:r>
      <w:bookmarkEnd w:id="22"/>
    </w:p>
    <w:p w14:paraId="522A24F4" w14:textId="77777777" w:rsidR="00E07C4E" w:rsidRPr="00721663" w:rsidRDefault="00E07C4E" w:rsidP="00E07C4E">
      <w:pPr>
        <w:pStyle w:val="Heading1"/>
      </w:pPr>
      <w:bookmarkStart w:id="23" w:name="_Toc490647391"/>
      <w:r w:rsidRPr="00721663">
        <w:t>5.1. Приходи</w:t>
      </w:r>
      <w:bookmarkEnd w:id="23"/>
    </w:p>
    <w:p w14:paraId="35D8823A" w14:textId="468DD121" w:rsidR="00E07C4E" w:rsidRDefault="00E07C4E" w:rsidP="00E07C4E">
      <w:pPr>
        <w:pStyle w:val="Notesbodytext"/>
        <w:spacing w:line="240" w:lineRule="atLeast"/>
        <w:rPr>
          <w:rFonts w:ascii="Arial" w:hAnsi="Arial"/>
          <w:lang w:val="bg-BG"/>
        </w:rPr>
      </w:pPr>
      <w:r w:rsidRPr="00721663">
        <w:rPr>
          <w:rFonts w:ascii="Arial" w:hAnsi="Arial"/>
          <w:lang w:val="bg-BG"/>
        </w:rPr>
        <w:t>След придобиването на три ветрогенерат</w:t>
      </w:r>
      <w:r>
        <w:rPr>
          <w:rFonts w:ascii="Arial" w:hAnsi="Arial"/>
          <w:lang w:val="bg-BG"/>
        </w:rPr>
        <w:t>о</w:t>
      </w:r>
      <w:r w:rsidRPr="00721663">
        <w:rPr>
          <w:rFonts w:ascii="Arial" w:hAnsi="Arial"/>
          <w:lang w:val="bg-BG"/>
        </w:rPr>
        <w:t>р</w:t>
      </w:r>
      <w:r>
        <w:rPr>
          <w:rFonts w:ascii="Arial" w:hAnsi="Arial"/>
          <w:lang w:val="bg-BG"/>
        </w:rPr>
        <w:t>а</w:t>
      </w:r>
      <w:r w:rsidRPr="00721663">
        <w:rPr>
          <w:rFonts w:ascii="Arial" w:hAnsi="Arial"/>
          <w:lang w:val="bg-BG"/>
        </w:rPr>
        <w:t xml:space="preserve"> от Вестас Консорциум и въвеждането им в употреба според предназначението им на 30 ноември 2010 г., от 1 декември 2010 г., Групата започва да произвежда електрическа енергия и да я продава на Енерго-про Продажби АД въз основа на сключени договори. Приходите, генерирани от продажбите на електрическа енергия за шестмесечния период, приключващ на </w:t>
      </w:r>
      <w:r w:rsidR="00144930">
        <w:rPr>
          <w:rFonts w:ascii="Arial" w:hAnsi="Arial"/>
          <w:lang w:val="bg-BG"/>
        </w:rPr>
        <w:t>30 юни 2017</w:t>
      </w:r>
      <w:r w:rsidRPr="00721663">
        <w:rPr>
          <w:rFonts w:ascii="Arial" w:hAnsi="Arial"/>
          <w:lang w:val="bg-BG"/>
        </w:rPr>
        <w:t xml:space="preserve"> г.</w:t>
      </w:r>
      <w:r w:rsidR="00D72933">
        <w:rPr>
          <w:rFonts w:ascii="Arial" w:hAnsi="Arial"/>
          <w:lang w:val="en-US"/>
        </w:rPr>
        <w:t>,</w:t>
      </w:r>
      <w:r w:rsidRPr="00721663">
        <w:rPr>
          <w:rFonts w:ascii="Arial" w:hAnsi="Arial"/>
          <w:lang w:val="bg-BG"/>
        </w:rPr>
        <w:t xml:space="preserve"> са </w:t>
      </w:r>
      <w:r>
        <w:rPr>
          <w:rFonts w:ascii="Arial" w:hAnsi="Arial"/>
          <w:lang w:val="bg-BG"/>
        </w:rPr>
        <w:t>1</w:t>
      </w:r>
      <w:r w:rsidRPr="00721663">
        <w:rPr>
          <w:rFonts w:ascii="Arial" w:hAnsi="Arial"/>
          <w:lang w:val="bg-BG"/>
        </w:rPr>
        <w:t>,</w:t>
      </w:r>
      <w:r w:rsidR="00D52540">
        <w:rPr>
          <w:rFonts w:ascii="Arial" w:hAnsi="Arial"/>
          <w:lang w:val="bg-BG"/>
        </w:rPr>
        <w:t>977</w:t>
      </w:r>
      <w:r w:rsidRPr="00721663">
        <w:rPr>
          <w:rFonts w:ascii="Arial" w:hAnsi="Arial"/>
          <w:lang w:val="bg-BG"/>
        </w:rPr>
        <w:t xml:space="preserve"> хил. лв. (шестмесечния период, приключващ на </w:t>
      </w:r>
      <w:r w:rsidR="00144930">
        <w:rPr>
          <w:rFonts w:ascii="Arial" w:hAnsi="Arial"/>
          <w:lang w:val="bg-BG"/>
        </w:rPr>
        <w:t>30 юни 2016</w:t>
      </w:r>
      <w:r w:rsidRPr="00721663">
        <w:rPr>
          <w:rFonts w:ascii="Arial" w:hAnsi="Arial"/>
          <w:lang w:val="bg-BG"/>
        </w:rPr>
        <w:t xml:space="preserve"> г.: </w:t>
      </w:r>
      <w:r w:rsidR="00D52540">
        <w:rPr>
          <w:rFonts w:ascii="Arial" w:hAnsi="Arial"/>
          <w:lang w:val="bg-BG"/>
        </w:rPr>
        <w:t>1</w:t>
      </w:r>
      <w:r w:rsidRPr="00721663">
        <w:rPr>
          <w:rFonts w:ascii="Arial" w:hAnsi="Arial"/>
          <w:lang w:val="bg-BG"/>
        </w:rPr>
        <w:t>,</w:t>
      </w:r>
      <w:r w:rsidR="00D52540">
        <w:rPr>
          <w:rFonts w:ascii="Arial" w:hAnsi="Arial"/>
          <w:lang w:val="bg-BG"/>
        </w:rPr>
        <w:t>866</w:t>
      </w:r>
      <w:r w:rsidRPr="00721663">
        <w:rPr>
          <w:rFonts w:ascii="Arial" w:hAnsi="Arial"/>
          <w:lang w:val="bg-BG"/>
        </w:rPr>
        <w:t> хил. лв.).</w:t>
      </w:r>
    </w:p>
    <w:p w14:paraId="14644DA1" w14:textId="77777777" w:rsidR="001B315C" w:rsidRDefault="001B315C" w:rsidP="001B315C">
      <w:pPr>
        <w:pStyle w:val="Notesbodytext"/>
        <w:jc w:val="both"/>
        <w:outlineLvl w:val="0"/>
        <w:rPr>
          <w:rFonts w:ascii="Arial" w:hAnsi="Arial"/>
          <w:b/>
          <w:sz w:val="20"/>
          <w:lang w:val="bg-BG"/>
        </w:rPr>
      </w:pPr>
      <w:bookmarkStart w:id="24" w:name="_Toc488928477"/>
      <w:bookmarkStart w:id="25" w:name="_Toc490647392"/>
      <w:r>
        <w:rPr>
          <w:rFonts w:ascii="Arial" w:hAnsi="Arial"/>
          <w:b/>
          <w:sz w:val="20"/>
          <w:lang w:val="bg-BG"/>
        </w:rPr>
        <w:t>5.2. Други приходи</w:t>
      </w:r>
      <w:bookmarkEnd w:id="24"/>
      <w:bookmarkEnd w:id="25"/>
    </w:p>
    <w:p w14:paraId="6702E6F6" w14:textId="06160E0B" w:rsidR="001B315C" w:rsidRDefault="001B315C" w:rsidP="001B315C">
      <w:pPr>
        <w:pStyle w:val="Notesbodytext"/>
        <w:rPr>
          <w:rFonts w:ascii="Arial" w:hAnsi="Arial"/>
          <w:lang w:val="bg-BG"/>
        </w:rPr>
      </w:pPr>
      <w:r>
        <w:rPr>
          <w:rFonts w:ascii="Arial" w:hAnsi="Arial"/>
          <w:lang w:val="bg-BG"/>
        </w:rPr>
        <w:t>През периода, приключващ на 30 юни 2017 г. Групата е отписала задължения в размер на 5 хил. лв. Те са представени като други приходи в отчета за всеобхватния доход.</w:t>
      </w:r>
    </w:p>
    <w:p w14:paraId="75636486" w14:textId="2DA87BB2" w:rsidR="001B315C" w:rsidRDefault="001B315C" w:rsidP="001B315C">
      <w:pPr>
        <w:spacing w:after="120"/>
        <w:jc w:val="left"/>
        <w:rPr>
          <w:lang w:val="bg-BG"/>
        </w:rPr>
      </w:pPr>
      <w:r>
        <w:rPr>
          <w:rFonts w:ascii="Arial" w:hAnsi="Arial" w:cs="Arial"/>
          <w:sz w:val="18"/>
          <w:szCs w:val="18"/>
          <w:lang w:val="bg-BG"/>
        </w:rPr>
        <w:t xml:space="preserve">През 2016 г. </w:t>
      </w:r>
      <w:r>
        <w:rPr>
          <w:rStyle w:val="p"/>
          <w:rFonts w:ascii="Arial" w:hAnsi="Arial" w:cs="Arial"/>
          <w:sz w:val="18"/>
          <w:szCs w:val="18"/>
          <w:lang w:val="bg-BG"/>
        </w:rPr>
        <w:t xml:space="preserve">ВГЕ-1 е подало искова молба срещу „Енерго-Про Мрежи АД“. </w:t>
      </w:r>
      <w:r>
        <w:rPr>
          <w:rFonts w:ascii="Arial" w:hAnsi="Arial" w:cs="Arial"/>
          <w:sz w:val="18"/>
          <w:szCs w:val="18"/>
          <w:lang w:val="bg-BG"/>
        </w:rPr>
        <w:t>Съгласно решение на съда №</w:t>
      </w:r>
      <w:r>
        <w:rPr>
          <w:rFonts w:ascii="Arial" w:hAnsi="Arial" w:cs="Arial"/>
          <w:sz w:val="18"/>
          <w:szCs w:val="18"/>
        </w:rPr>
        <w:t xml:space="preserve"> 957 </w:t>
      </w:r>
      <w:r>
        <w:rPr>
          <w:rFonts w:ascii="Arial" w:hAnsi="Arial" w:cs="Arial"/>
          <w:sz w:val="18"/>
          <w:szCs w:val="18"/>
          <w:lang w:val="bg-BG"/>
        </w:rPr>
        <w:t xml:space="preserve">от 28.12.2016 г. делото е спечелено от ВГЕ-1 ЕООД и </w:t>
      </w:r>
      <w:r>
        <w:rPr>
          <w:rStyle w:val="p"/>
          <w:rFonts w:ascii="Arial" w:hAnsi="Arial" w:cs="Arial"/>
          <w:sz w:val="18"/>
          <w:szCs w:val="18"/>
          <w:lang w:val="bg-BG"/>
        </w:rPr>
        <w:t xml:space="preserve">Енерго-Про Мрежи АД е осъдено да заплати сумата в размер на 165 хил. лв., представляваща временна цена за достъп до електроразпределител-ната мрежа, лихви за забава и законна лихва за забава върху посочената сума от датата на подаване на исковата молба до окончателното й заплащане. Сумата </w:t>
      </w:r>
      <w:r>
        <w:rPr>
          <w:rFonts w:ascii="Arial" w:hAnsi="Arial" w:cs="Arial"/>
          <w:sz w:val="18"/>
          <w:szCs w:val="18"/>
          <w:lang w:val="bg-BG"/>
        </w:rPr>
        <w:t>е изплатена през януари 2017 г. Законната лихва за забава от началото на 2017 г. до датата на плащането е отразена като други приходи в отчета за всеобхватния доход.</w:t>
      </w:r>
    </w:p>
    <w:tbl>
      <w:tblPr>
        <w:tblW w:w="8646" w:type="dxa"/>
        <w:tblLayout w:type="fixed"/>
        <w:tblCellMar>
          <w:left w:w="0" w:type="dxa"/>
          <w:right w:w="0" w:type="dxa"/>
        </w:tblCellMar>
        <w:tblLook w:val="04A0" w:firstRow="1" w:lastRow="0" w:firstColumn="1" w:lastColumn="0" w:noHBand="0" w:noVBand="1"/>
      </w:tblPr>
      <w:tblGrid>
        <w:gridCol w:w="4820"/>
        <w:gridCol w:w="145"/>
        <w:gridCol w:w="1839"/>
        <w:gridCol w:w="144"/>
        <w:gridCol w:w="1698"/>
      </w:tblGrid>
      <w:tr w:rsidR="001B315C" w14:paraId="0B7EE0AC" w14:textId="77777777" w:rsidTr="001B315C">
        <w:trPr>
          <w:cantSplit/>
          <w:trHeight w:val="270"/>
        </w:trPr>
        <w:tc>
          <w:tcPr>
            <w:tcW w:w="4820" w:type="dxa"/>
            <w:noWrap/>
            <w:vAlign w:val="bottom"/>
          </w:tcPr>
          <w:p w14:paraId="01145DDF" w14:textId="77777777" w:rsidR="001B315C" w:rsidRDefault="001B315C">
            <w:pPr>
              <w:rPr>
                <w:rFonts w:ascii="Arial" w:eastAsia="Arial Unicode MS" w:hAnsi="Arial" w:cs="Arial"/>
                <w:szCs w:val="22"/>
                <w:lang w:val="bg-BG" w:eastAsia="bg-BG"/>
              </w:rPr>
            </w:pPr>
          </w:p>
        </w:tc>
        <w:tc>
          <w:tcPr>
            <w:tcW w:w="145" w:type="dxa"/>
          </w:tcPr>
          <w:p w14:paraId="0561EACA" w14:textId="77777777" w:rsidR="001B315C" w:rsidRDefault="001B315C">
            <w:pPr>
              <w:rPr>
                <w:rFonts w:ascii="Arial" w:hAnsi="Arial" w:cs="Arial"/>
                <w:lang w:val="bg-BG" w:eastAsia="bg-BG"/>
              </w:rPr>
            </w:pPr>
          </w:p>
        </w:tc>
        <w:tc>
          <w:tcPr>
            <w:tcW w:w="1839" w:type="dxa"/>
            <w:tcBorders>
              <w:top w:val="nil"/>
              <w:left w:val="nil"/>
              <w:bottom w:val="single" w:sz="4" w:space="0" w:color="auto"/>
              <w:right w:val="nil"/>
            </w:tcBorders>
            <w:vAlign w:val="bottom"/>
            <w:hideMark/>
          </w:tcPr>
          <w:p w14:paraId="1878F265" w14:textId="77777777" w:rsidR="001B315C" w:rsidRDefault="001B315C">
            <w:pPr>
              <w:ind w:right="141"/>
              <w:jc w:val="right"/>
              <w:rPr>
                <w:rFonts w:ascii="Arial" w:hAnsi="Arial" w:cs="Arial"/>
                <w:b/>
                <w:bCs/>
                <w:sz w:val="18"/>
                <w:szCs w:val="18"/>
                <w:lang w:val="bg-BG" w:eastAsia="bg-BG"/>
              </w:rPr>
            </w:pPr>
            <w:r>
              <w:rPr>
                <w:rFonts w:ascii="Arial" w:hAnsi="Arial" w:cs="Arial"/>
                <w:b/>
                <w:bCs/>
                <w:sz w:val="18"/>
                <w:szCs w:val="18"/>
                <w:lang w:val="bg-BG" w:eastAsia="bg-BG"/>
              </w:rPr>
              <w:t>30 юни 2017</w:t>
            </w:r>
          </w:p>
        </w:tc>
        <w:tc>
          <w:tcPr>
            <w:tcW w:w="144" w:type="dxa"/>
            <w:vAlign w:val="bottom"/>
          </w:tcPr>
          <w:p w14:paraId="72F7D5B4" w14:textId="77777777" w:rsidR="001B315C" w:rsidRDefault="001B315C">
            <w:pPr>
              <w:ind w:right="141"/>
              <w:jc w:val="right"/>
              <w:rPr>
                <w:rFonts w:ascii="Arial" w:hAnsi="Arial" w:cs="Arial"/>
                <w:b/>
                <w:bCs/>
                <w:sz w:val="18"/>
                <w:szCs w:val="18"/>
                <w:lang w:val="bg-BG" w:eastAsia="bg-BG"/>
              </w:rPr>
            </w:pPr>
          </w:p>
        </w:tc>
        <w:tc>
          <w:tcPr>
            <w:tcW w:w="1698" w:type="dxa"/>
            <w:tcBorders>
              <w:top w:val="nil"/>
              <w:left w:val="nil"/>
              <w:bottom w:val="single" w:sz="4" w:space="0" w:color="auto"/>
              <w:right w:val="nil"/>
            </w:tcBorders>
            <w:noWrap/>
            <w:vAlign w:val="bottom"/>
            <w:hideMark/>
          </w:tcPr>
          <w:p w14:paraId="28CE4020" w14:textId="77777777" w:rsidR="001B315C" w:rsidRDefault="001B315C">
            <w:pPr>
              <w:ind w:right="141"/>
              <w:jc w:val="right"/>
              <w:rPr>
                <w:rFonts w:ascii="Arial" w:hAnsi="Arial" w:cs="Arial"/>
                <w:b/>
                <w:bCs/>
                <w:sz w:val="18"/>
                <w:szCs w:val="18"/>
                <w:lang w:val="bg-BG" w:eastAsia="bg-BG"/>
              </w:rPr>
            </w:pPr>
            <w:r>
              <w:rPr>
                <w:rFonts w:ascii="Arial" w:hAnsi="Arial" w:cs="Arial"/>
                <w:b/>
                <w:bCs/>
                <w:sz w:val="18"/>
                <w:szCs w:val="18"/>
                <w:lang w:val="bg-BG" w:eastAsia="bg-BG"/>
              </w:rPr>
              <w:t>30 юни 2016</w:t>
            </w:r>
          </w:p>
        </w:tc>
      </w:tr>
      <w:tr w:rsidR="001B315C" w14:paraId="2D04532B" w14:textId="77777777" w:rsidTr="001B315C">
        <w:trPr>
          <w:trHeight w:hRule="exact" w:val="284"/>
        </w:trPr>
        <w:tc>
          <w:tcPr>
            <w:tcW w:w="4820" w:type="dxa"/>
            <w:noWrap/>
            <w:vAlign w:val="bottom"/>
          </w:tcPr>
          <w:p w14:paraId="1D7DE02E" w14:textId="77777777" w:rsidR="001B315C" w:rsidRDefault="001B315C">
            <w:pPr>
              <w:rPr>
                <w:rFonts w:ascii="Arial" w:eastAsia="Arial Unicode MS" w:hAnsi="Arial" w:cs="Arial"/>
                <w:szCs w:val="22"/>
                <w:lang w:val="bg-BG" w:eastAsia="bg-BG"/>
              </w:rPr>
            </w:pPr>
          </w:p>
        </w:tc>
        <w:tc>
          <w:tcPr>
            <w:tcW w:w="145" w:type="dxa"/>
          </w:tcPr>
          <w:p w14:paraId="010E194F" w14:textId="77777777" w:rsidR="001B315C" w:rsidRDefault="001B315C">
            <w:pPr>
              <w:rPr>
                <w:rFonts w:ascii="Arial" w:eastAsia="Arial Unicode MS" w:hAnsi="Arial" w:cs="Arial"/>
                <w:szCs w:val="22"/>
                <w:lang w:val="bg-BG" w:eastAsia="bg-BG"/>
              </w:rPr>
            </w:pPr>
          </w:p>
        </w:tc>
        <w:tc>
          <w:tcPr>
            <w:tcW w:w="1839" w:type="dxa"/>
            <w:tcBorders>
              <w:top w:val="single" w:sz="4" w:space="0" w:color="auto"/>
              <w:left w:val="nil"/>
              <w:bottom w:val="nil"/>
              <w:right w:val="nil"/>
            </w:tcBorders>
            <w:vAlign w:val="bottom"/>
            <w:hideMark/>
          </w:tcPr>
          <w:p w14:paraId="14EDA1F3" w14:textId="77777777" w:rsidR="001B315C" w:rsidRDefault="001B315C">
            <w:pPr>
              <w:jc w:val="right"/>
              <w:rPr>
                <w:rFonts w:ascii="Arial" w:eastAsia="Arial Unicode MS" w:hAnsi="Arial" w:cs="Arial"/>
                <w:b/>
                <w:sz w:val="18"/>
                <w:szCs w:val="18"/>
                <w:lang w:val="bg-BG" w:eastAsia="bg-BG"/>
              </w:rPr>
            </w:pPr>
            <w:r>
              <w:rPr>
                <w:rFonts w:ascii="Arial" w:eastAsia="Arial Unicode MS" w:hAnsi="Arial" w:cs="Arial"/>
                <w:b/>
                <w:sz w:val="18"/>
                <w:szCs w:val="18"/>
                <w:lang w:val="bg-BG" w:eastAsia="bg-BG"/>
              </w:rPr>
              <w:t>хил. лв.</w:t>
            </w:r>
          </w:p>
        </w:tc>
        <w:tc>
          <w:tcPr>
            <w:tcW w:w="144" w:type="dxa"/>
            <w:vAlign w:val="bottom"/>
          </w:tcPr>
          <w:p w14:paraId="7B6AAE3B" w14:textId="77777777" w:rsidR="001B315C" w:rsidRDefault="001B315C">
            <w:pPr>
              <w:jc w:val="right"/>
              <w:rPr>
                <w:rFonts w:ascii="Arial" w:eastAsia="Arial Unicode MS" w:hAnsi="Arial" w:cs="Arial"/>
                <w:b/>
                <w:sz w:val="18"/>
                <w:szCs w:val="18"/>
                <w:lang w:val="bg-BG" w:eastAsia="bg-BG"/>
              </w:rPr>
            </w:pPr>
          </w:p>
        </w:tc>
        <w:tc>
          <w:tcPr>
            <w:tcW w:w="1698" w:type="dxa"/>
            <w:tcBorders>
              <w:top w:val="single" w:sz="4" w:space="0" w:color="auto"/>
              <w:left w:val="nil"/>
              <w:bottom w:val="nil"/>
              <w:right w:val="nil"/>
            </w:tcBorders>
            <w:noWrap/>
            <w:vAlign w:val="bottom"/>
            <w:hideMark/>
          </w:tcPr>
          <w:p w14:paraId="46AB19A9" w14:textId="77777777" w:rsidR="001B315C" w:rsidRDefault="001B315C">
            <w:pPr>
              <w:jc w:val="right"/>
              <w:rPr>
                <w:rFonts w:ascii="Arial" w:eastAsia="Arial Unicode MS" w:hAnsi="Arial" w:cs="Arial"/>
                <w:b/>
                <w:sz w:val="18"/>
                <w:szCs w:val="18"/>
                <w:lang w:val="bg-BG" w:eastAsia="bg-BG"/>
              </w:rPr>
            </w:pPr>
            <w:r>
              <w:rPr>
                <w:rFonts w:ascii="Arial" w:eastAsia="Arial Unicode MS" w:hAnsi="Arial" w:cs="Arial"/>
                <w:b/>
                <w:sz w:val="18"/>
                <w:szCs w:val="18"/>
                <w:lang w:val="bg-BG" w:eastAsia="bg-BG"/>
              </w:rPr>
              <w:t>хил. лв.</w:t>
            </w:r>
          </w:p>
        </w:tc>
      </w:tr>
      <w:tr w:rsidR="001B315C" w14:paraId="24CBA313" w14:textId="77777777" w:rsidTr="001B315C">
        <w:trPr>
          <w:trHeight w:hRule="exact" w:val="320"/>
        </w:trPr>
        <w:tc>
          <w:tcPr>
            <w:tcW w:w="4820" w:type="dxa"/>
            <w:noWrap/>
            <w:vAlign w:val="center"/>
            <w:hideMark/>
          </w:tcPr>
          <w:p w14:paraId="5990C8F3" w14:textId="77777777" w:rsidR="001B315C" w:rsidRDefault="001B315C" w:rsidP="001B315C">
            <w:pPr>
              <w:jc w:val="left"/>
              <w:rPr>
                <w:rFonts w:ascii="Arial" w:eastAsia="Arial Unicode MS" w:hAnsi="Arial" w:cs="Arial"/>
                <w:sz w:val="18"/>
                <w:szCs w:val="18"/>
                <w:lang w:val="bg-BG" w:eastAsia="bg-BG"/>
              </w:rPr>
            </w:pPr>
            <w:r>
              <w:rPr>
                <w:rFonts w:ascii="Arial" w:eastAsia="Arial Unicode MS" w:hAnsi="Arial" w:cs="Arial"/>
                <w:sz w:val="18"/>
                <w:szCs w:val="18"/>
                <w:lang w:val="bg-BG" w:eastAsia="bg-BG"/>
              </w:rPr>
              <w:t>Продажба на дълготраен актив</w:t>
            </w:r>
          </w:p>
        </w:tc>
        <w:tc>
          <w:tcPr>
            <w:tcW w:w="145" w:type="dxa"/>
          </w:tcPr>
          <w:p w14:paraId="2279EA78" w14:textId="77777777" w:rsidR="001B315C" w:rsidRDefault="001B315C" w:rsidP="001B315C">
            <w:pPr>
              <w:ind w:right="127"/>
              <w:rPr>
                <w:rFonts w:ascii="Arial" w:hAnsi="Arial" w:cs="Arial"/>
                <w:sz w:val="18"/>
                <w:szCs w:val="18"/>
                <w:lang w:val="bg-BG" w:eastAsia="bg-BG"/>
              </w:rPr>
            </w:pPr>
          </w:p>
        </w:tc>
        <w:tc>
          <w:tcPr>
            <w:tcW w:w="1839" w:type="dxa"/>
            <w:vAlign w:val="center"/>
            <w:hideMark/>
          </w:tcPr>
          <w:p w14:paraId="3A24CF6B" w14:textId="3A6F4405" w:rsidR="001B315C" w:rsidRDefault="001B315C" w:rsidP="001B315C">
            <w:pPr>
              <w:ind w:right="127"/>
              <w:jc w:val="right"/>
              <w:rPr>
                <w:rFonts w:ascii="Arial" w:hAnsi="Arial" w:cs="Arial"/>
                <w:sz w:val="18"/>
                <w:szCs w:val="18"/>
                <w:lang w:val="bg-BG" w:eastAsia="bg-BG"/>
              </w:rPr>
            </w:pPr>
            <w:r>
              <w:rPr>
                <w:rFonts w:ascii="Arial" w:hAnsi="Arial" w:cs="Arial"/>
                <w:sz w:val="18"/>
                <w:szCs w:val="18"/>
                <w:lang w:val="bg-BG" w:eastAsia="bg-BG"/>
              </w:rPr>
              <w:t>9</w:t>
            </w:r>
          </w:p>
        </w:tc>
        <w:tc>
          <w:tcPr>
            <w:tcW w:w="144" w:type="dxa"/>
            <w:vAlign w:val="center"/>
          </w:tcPr>
          <w:p w14:paraId="3135FCD6" w14:textId="77777777" w:rsidR="001B315C" w:rsidRDefault="001B315C" w:rsidP="001B315C">
            <w:pPr>
              <w:ind w:right="127"/>
              <w:jc w:val="right"/>
              <w:rPr>
                <w:rFonts w:ascii="Arial" w:hAnsi="Arial" w:cs="Arial"/>
                <w:sz w:val="18"/>
                <w:szCs w:val="18"/>
                <w:lang w:val="bg-BG" w:eastAsia="bg-BG"/>
              </w:rPr>
            </w:pPr>
          </w:p>
        </w:tc>
        <w:tc>
          <w:tcPr>
            <w:tcW w:w="1698" w:type="dxa"/>
            <w:noWrap/>
            <w:vAlign w:val="center"/>
            <w:hideMark/>
          </w:tcPr>
          <w:p w14:paraId="7F3163B9" w14:textId="77777777" w:rsidR="001B315C" w:rsidRDefault="001B315C" w:rsidP="001B315C">
            <w:pPr>
              <w:ind w:right="127"/>
              <w:jc w:val="right"/>
              <w:rPr>
                <w:rFonts w:ascii="Arial" w:hAnsi="Arial" w:cs="Arial"/>
                <w:sz w:val="18"/>
                <w:szCs w:val="18"/>
                <w:lang w:val="bg-BG" w:eastAsia="bg-BG"/>
              </w:rPr>
            </w:pPr>
            <w:r>
              <w:rPr>
                <w:rFonts w:ascii="Arial" w:hAnsi="Arial" w:cs="Arial"/>
                <w:sz w:val="18"/>
                <w:szCs w:val="18"/>
                <w:lang w:val="bg-BG" w:eastAsia="bg-BG"/>
              </w:rPr>
              <w:t>-</w:t>
            </w:r>
          </w:p>
        </w:tc>
      </w:tr>
      <w:tr w:rsidR="001B315C" w14:paraId="499239EA" w14:textId="77777777" w:rsidTr="001B315C">
        <w:trPr>
          <w:trHeight w:hRule="exact" w:val="320"/>
        </w:trPr>
        <w:tc>
          <w:tcPr>
            <w:tcW w:w="4820" w:type="dxa"/>
            <w:noWrap/>
            <w:vAlign w:val="center"/>
            <w:hideMark/>
          </w:tcPr>
          <w:p w14:paraId="333BD4EA" w14:textId="77777777" w:rsidR="001B315C" w:rsidRDefault="001B315C" w:rsidP="001B315C">
            <w:pPr>
              <w:jc w:val="left"/>
              <w:rPr>
                <w:rFonts w:ascii="Arial" w:eastAsia="Arial Unicode MS" w:hAnsi="Arial" w:cs="Arial"/>
                <w:sz w:val="18"/>
                <w:szCs w:val="18"/>
                <w:lang w:val="bg-BG" w:eastAsia="bg-BG"/>
              </w:rPr>
            </w:pPr>
            <w:r>
              <w:rPr>
                <w:rFonts w:ascii="Arial" w:eastAsia="Arial Unicode MS" w:hAnsi="Arial" w:cs="Arial"/>
                <w:sz w:val="18"/>
                <w:szCs w:val="18"/>
                <w:lang w:val="bg-BG" w:eastAsia="bg-BG"/>
              </w:rPr>
              <w:t>Приходи от отписани задължения</w:t>
            </w:r>
          </w:p>
        </w:tc>
        <w:tc>
          <w:tcPr>
            <w:tcW w:w="145" w:type="dxa"/>
          </w:tcPr>
          <w:p w14:paraId="1963D3A7" w14:textId="77777777" w:rsidR="001B315C" w:rsidRDefault="001B315C" w:rsidP="001B315C">
            <w:pPr>
              <w:ind w:right="127"/>
              <w:rPr>
                <w:rFonts w:ascii="Arial" w:hAnsi="Arial" w:cs="Arial"/>
                <w:sz w:val="18"/>
                <w:szCs w:val="18"/>
                <w:lang w:val="bg-BG" w:eastAsia="bg-BG"/>
              </w:rPr>
            </w:pPr>
          </w:p>
        </w:tc>
        <w:tc>
          <w:tcPr>
            <w:tcW w:w="1839" w:type="dxa"/>
            <w:vAlign w:val="center"/>
            <w:hideMark/>
          </w:tcPr>
          <w:p w14:paraId="25BB5B73" w14:textId="36099B74" w:rsidR="001B315C" w:rsidRDefault="001B315C" w:rsidP="001B315C">
            <w:pPr>
              <w:ind w:right="127"/>
              <w:jc w:val="right"/>
              <w:rPr>
                <w:rFonts w:ascii="Arial" w:hAnsi="Arial" w:cs="Arial"/>
                <w:sz w:val="18"/>
                <w:szCs w:val="18"/>
                <w:lang w:val="bg-BG" w:eastAsia="bg-BG"/>
              </w:rPr>
            </w:pPr>
            <w:r>
              <w:rPr>
                <w:rFonts w:ascii="Arial" w:hAnsi="Arial" w:cs="Arial"/>
                <w:sz w:val="18"/>
                <w:szCs w:val="18"/>
                <w:lang w:val="bg-BG" w:eastAsia="bg-BG"/>
              </w:rPr>
              <w:t>5</w:t>
            </w:r>
          </w:p>
        </w:tc>
        <w:tc>
          <w:tcPr>
            <w:tcW w:w="144" w:type="dxa"/>
            <w:vAlign w:val="center"/>
          </w:tcPr>
          <w:p w14:paraId="1FB023F2" w14:textId="77777777" w:rsidR="001B315C" w:rsidRDefault="001B315C" w:rsidP="001B315C">
            <w:pPr>
              <w:ind w:right="127"/>
              <w:jc w:val="right"/>
              <w:rPr>
                <w:rFonts w:ascii="Arial" w:hAnsi="Arial" w:cs="Arial"/>
                <w:sz w:val="18"/>
                <w:szCs w:val="18"/>
                <w:lang w:val="bg-BG" w:eastAsia="bg-BG"/>
              </w:rPr>
            </w:pPr>
          </w:p>
        </w:tc>
        <w:tc>
          <w:tcPr>
            <w:tcW w:w="1698" w:type="dxa"/>
            <w:noWrap/>
            <w:vAlign w:val="center"/>
            <w:hideMark/>
          </w:tcPr>
          <w:p w14:paraId="435FB43C" w14:textId="77777777" w:rsidR="001B315C" w:rsidRDefault="001B315C" w:rsidP="001B315C">
            <w:pPr>
              <w:ind w:right="127"/>
              <w:jc w:val="right"/>
              <w:rPr>
                <w:rFonts w:ascii="Arial" w:hAnsi="Arial" w:cs="Arial"/>
                <w:sz w:val="18"/>
                <w:szCs w:val="18"/>
                <w:lang w:val="bg-BG" w:eastAsia="bg-BG"/>
              </w:rPr>
            </w:pPr>
            <w:r>
              <w:rPr>
                <w:rFonts w:ascii="Arial" w:hAnsi="Arial" w:cs="Arial"/>
                <w:sz w:val="18"/>
                <w:szCs w:val="18"/>
                <w:lang w:val="bg-BG" w:eastAsia="bg-BG"/>
              </w:rPr>
              <w:t>-</w:t>
            </w:r>
          </w:p>
        </w:tc>
      </w:tr>
      <w:tr w:rsidR="001B315C" w14:paraId="7C6107AF" w14:textId="77777777" w:rsidTr="001B315C">
        <w:trPr>
          <w:trHeight w:hRule="exact" w:val="284"/>
        </w:trPr>
        <w:tc>
          <w:tcPr>
            <w:tcW w:w="4820" w:type="dxa"/>
            <w:noWrap/>
            <w:vAlign w:val="center"/>
            <w:hideMark/>
          </w:tcPr>
          <w:p w14:paraId="09C490DD" w14:textId="77777777" w:rsidR="001B315C" w:rsidRDefault="001B315C" w:rsidP="001B315C">
            <w:pPr>
              <w:jc w:val="left"/>
              <w:rPr>
                <w:rFonts w:ascii="Arial" w:eastAsia="Arial Unicode MS" w:hAnsi="Arial" w:cs="Arial"/>
                <w:sz w:val="18"/>
                <w:szCs w:val="18"/>
                <w:lang w:val="bg-BG" w:eastAsia="bg-BG"/>
              </w:rPr>
            </w:pPr>
            <w:r>
              <w:rPr>
                <w:rFonts w:ascii="Arial" w:eastAsia="Arial Unicode MS" w:hAnsi="Arial" w:cs="Arial"/>
                <w:sz w:val="18"/>
                <w:szCs w:val="18"/>
                <w:lang w:val="bg-BG" w:eastAsia="bg-BG"/>
              </w:rPr>
              <w:t>Приходи от лихви за забава</w:t>
            </w:r>
          </w:p>
        </w:tc>
        <w:tc>
          <w:tcPr>
            <w:tcW w:w="145" w:type="dxa"/>
          </w:tcPr>
          <w:p w14:paraId="54F6335E" w14:textId="77777777" w:rsidR="001B315C" w:rsidRDefault="001B315C" w:rsidP="001B315C">
            <w:pPr>
              <w:ind w:right="127"/>
              <w:rPr>
                <w:rFonts w:ascii="Arial" w:hAnsi="Arial" w:cs="Arial"/>
                <w:sz w:val="18"/>
                <w:szCs w:val="18"/>
                <w:lang w:val="bg-BG" w:eastAsia="bg-BG"/>
              </w:rPr>
            </w:pPr>
          </w:p>
        </w:tc>
        <w:tc>
          <w:tcPr>
            <w:tcW w:w="1839" w:type="dxa"/>
            <w:vAlign w:val="center"/>
            <w:hideMark/>
          </w:tcPr>
          <w:p w14:paraId="041D8920" w14:textId="1C81EA01" w:rsidR="001B315C" w:rsidRDefault="001B315C" w:rsidP="001B315C">
            <w:pPr>
              <w:ind w:right="127"/>
              <w:jc w:val="right"/>
              <w:rPr>
                <w:rFonts w:ascii="Arial" w:hAnsi="Arial" w:cs="Arial"/>
                <w:sz w:val="18"/>
                <w:szCs w:val="18"/>
                <w:lang w:val="bg-BG" w:eastAsia="bg-BG"/>
              </w:rPr>
            </w:pPr>
            <w:r>
              <w:rPr>
                <w:rFonts w:ascii="Arial" w:hAnsi="Arial" w:cs="Arial"/>
                <w:sz w:val="18"/>
                <w:szCs w:val="18"/>
                <w:lang w:val="bg-BG" w:eastAsia="bg-BG"/>
              </w:rPr>
              <w:t>1</w:t>
            </w:r>
          </w:p>
        </w:tc>
        <w:tc>
          <w:tcPr>
            <w:tcW w:w="144" w:type="dxa"/>
            <w:vAlign w:val="center"/>
          </w:tcPr>
          <w:p w14:paraId="7C223A48" w14:textId="77777777" w:rsidR="001B315C" w:rsidRDefault="001B315C" w:rsidP="001B315C">
            <w:pPr>
              <w:ind w:right="127"/>
              <w:jc w:val="right"/>
              <w:rPr>
                <w:rFonts w:ascii="Arial" w:hAnsi="Arial" w:cs="Arial"/>
                <w:sz w:val="18"/>
                <w:szCs w:val="18"/>
                <w:lang w:val="bg-BG" w:eastAsia="bg-BG"/>
              </w:rPr>
            </w:pPr>
          </w:p>
        </w:tc>
        <w:tc>
          <w:tcPr>
            <w:tcW w:w="1698" w:type="dxa"/>
            <w:noWrap/>
            <w:vAlign w:val="center"/>
            <w:hideMark/>
          </w:tcPr>
          <w:p w14:paraId="4822DC0F" w14:textId="77777777" w:rsidR="001B315C" w:rsidRDefault="001B315C" w:rsidP="001B315C">
            <w:pPr>
              <w:ind w:right="127"/>
              <w:jc w:val="right"/>
              <w:rPr>
                <w:rFonts w:ascii="Arial" w:hAnsi="Arial" w:cs="Arial"/>
                <w:sz w:val="18"/>
                <w:szCs w:val="18"/>
                <w:lang w:val="bg-BG" w:eastAsia="bg-BG"/>
              </w:rPr>
            </w:pPr>
            <w:r>
              <w:rPr>
                <w:rFonts w:ascii="Arial" w:hAnsi="Arial" w:cs="Arial"/>
                <w:sz w:val="18"/>
                <w:szCs w:val="18"/>
                <w:lang w:val="bg-BG" w:eastAsia="bg-BG"/>
              </w:rPr>
              <w:t>-</w:t>
            </w:r>
          </w:p>
        </w:tc>
      </w:tr>
      <w:tr w:rsidR="001B315C" w14:paraId="4CE46027" w14:textId="77777777" w:rsidTr="001B315C">
        <w:trPr>
          <w:trHeight w:hRule="exact" w:val="344"/>
        </w:trPr>
        <w:tc>
          <w:tcPr>
            <w:tcW w:w="4820" w:type="dxa"/>
            <w:noWrap/>
            <w:vAlign w:val="center"/>
          </w:tcPr>
          <w:p w14:paraId="3170B56B" w14:textId="77777777" w:rsidR="001B315C" w:rsidRDefault="001B315C" w:rsidP="001B315C">
            <w:pPr>
              <w:pStyle w:val="head"/>
              <w:rPr>
                <w:rFonts w:eastAsia="Arial Unicode MS" w:cs="Arial"/>
                <w:b w:val="0"/>
                <w:sz w:val="18"/>
                <w:szCs w:val="18"/>
                <w:lang w:val="bg-BG" w:eastAsia="bg-BG"/>
              </w:rPr>
            </w:pPr>
          </w:p>
        </w:tc>
        <w:tc>
          <w:tcPr>
            <w:tcW w:w="145" w:type="dxa"/>
          </w:tcPr>
          <w:p w14:paraId="4BEC92A0" w14:textId="77777777" w:rsidR="001B315C" w:rsidRDefault="001B315C" w:rsidP="001B315C">
            <w:pPr>
              <w:ind w:right="127"/>
              <w:rPr>
                <w:rFonts w:ascii="Arial" w:eastAsia="Arial Unicode MS" w:hAnsi="Arial" w:cs="Arial"/>
                <w:b/>
                <w:sz w:val="18"/>
                <w:szCs w:val="18"/>
                <w:lang w:val="bg-BG" w:eastAsia="bg-BG"/>
              </w:rPr>
            </w:pPr>
          </w:p>
        </w:tc>
        <w:tc>
          <w:tcPr>
            <w:tcW w:w="1839" w:type="dxa"/>
            <w:tcBorders>
              <w:top w:val="single" w:sz="4" w:space="0" w:color="auto"/>
              <w:left w:val="nil"/>
              <w:bottom w:val="double" w:sz="4" w:space="0" w:color="auto"/>
              <w:right w:val="nil"/>
            </w:tcBorders>
            <w:vAlign w:val="center"/>
            <w:hideMark/>
          </w:tcPr>
          <w:p w14:paraId="4DC1EC46" w14:textId="3A82A540" w:rsidR="001B315C" w:rsidRDefault="001B315C" w:rsidP="001B315C">
            <w:pPr>
              <w:ind w:right="127"/>
              <w:jc w:val="right"/>
              <w:rPr>
                <w:rFonts w:ascii="Arial" w:eastAsia="Arial Unicode MS" w:hAnsi="Arial" w:cs="Arial"/>
                <w:b/>
                <w:sz w:val="18"/>
                <w:szCs w:val="18"/>
                <w:lang w:val="bg-BG" w:eastAsia="bg-BG"/>
              </w:rPr>
            </w:pPr>
            <w:r>
              <w:rPr>
                <w:rFonts w:ascii="Arial" w:eastAsia="Arial Unicode MS" w:hAnsi="Arial" w:cs="Arial"/>
                <w:b/>
                <w:sz w:val="18"/>
                <w:szCs w:val="18"/>
                <w:lang w:val="bg-BG" w:eastAsia="bg-BG"/>
              </w:rPr>
              <w:t>15</w:t>
            </w:r>
          </w:p>
        </w:tc>
        <w:tc>
          <w:tcPr>
            <w:tcW w:w="144" w:type="dxa"/>
            <w:vAlign w:val="center"/>
          </w:tcPr>
          <w:p w14:paraId="239225B4" w14:textId="77777777" w:rsidR="001B315C" w:rsidRDefault="001B315C" w:rsidP="001B315C">
            <w:pPr>
              <w:ind w:right="127"/>
              <w:jc w:val="right"/>
              <w:rPr>
                <w:rFonts w:ascii="Arial" w:eastAsia="Arial Unicode MS" w:hAnsi="Arial" w:cs="Arial"/>
                <w:b/>
                <w:sz w:val="18"/>
                <w:szCs w:val="18"/>
                <w:lang w:val="bg-BG" w:eastAsia="bg-BG"/>
              </w:rPr>
            </w:pPr>
          </w:p>
        </w:tc>
        <w:tc>
          <w:tcPr>
            <w:tcW w:w="1698" w:type="dxa"/>
            <w:tcBorders>
              <w:top w:val="single" w:sz="4" w:space="0" w:color="auto"/>
              <w:left w:val="nil"/>
              <w:bottom w:val="double" w:sz="4" w:space="0" w:color="auto"/>
              <w:right w:val="nil"/>
            </w:tcBorders>
            <w:noWrap/>
            <w:vAlign w:val="center"/>
            <w:hideMark/>
          </w:tcPr>
          <w:p w14:paraId="38BD2FED" w14:textId="57018CD6" w:rsidR="001B315C" w:rsidRDefault="001B315C" w:rsidP="001B315C">
            <w:pPr>
              <w:ind w:right="127"/>
              <w:jc w:val="right"/>
              <w:rPr>
                <w:rFonts w:ascii="Arial" w:eastAsia="Arial Unicode MS" w:hAnsi="Arial" w:cs="Arial"/>
                <w:b/>
                <w:sz w:val="18"/>
                <w:szCs w:val="18"/>
                <w:lang w:val="bg-BG" w:eastAsia="bg-BG"/>
              </w:rPr>
            </w:pPr>
            <w:r>
              <w:rPr>
                <w:rFonts w:ascii="Arial" w:eastAsia="Arial Unicode MS" w:hAnsi="Arial" w:cs="Arial"/>
                <w:b/>
                <w:sz w:val="18"/>
                <w:szCs w:val="18"/>
                <w:lang w:val="bg-BG" w:eastAsia="bg-BG"/>
              </w:rPr>
              <w:t>-</w:t>
            </w:r>
          </w:p>
        </w:tc>
      </w:tr>
    </w:tbl>
    <w:p w14:paraId="4096F370" w14:textId="77777777" w:rsidR="001B315C" w:rsidRPr="00721663" w:rsidRDefault="001B315C" w:rsidP="00E07C4E">
      <w:pPr>
        <w:pStyle w:val="Notesbodytext"/>
        <w:spacing w:line="240" w:lineRule="atLeast"/>
        <w:rPr>
          <w:rFonts w:ascii="Arial" w:hAnsi="Arial"/>
          <w:lang w:val="bg-BG"/>
        </w:rPr>
      </w:pPr>
    </w:p>
    <w:p w14:paraId="4E08BFE3" w14:textId="450BCD6B" w:rsidR="00E07C4E" w:rsidRPr="00721663" w:rsidRDefault="00E07C4E" w:rsidP="00E07C4E">
      <w:pPr>
        <w:pStyle w:val="Heading1"/>
      </w:pPr>
      <w:bookmarkStart w:id="26" w:name="_Toc490647393"/>
      <w:r w:rsidRPr="00721663">
        <w:t>5.</w:t>
      </w:r>
      <w:r w:rsidR="001B315C">
        <w:t>3</w:t>
      </w:r>
      <w:r w:rsidRPr="00721663">
        <w:t>. Разходи за материали</w:t>
      </w:r>
      <w:bookmarkEnd w:id="26"/>
    </w:p>
    <w:tbl>
      <w:tblPr>
        <w:tblW w:w="8364" w:type="dxa"/>
        <w:tblLayout w:type="fixed"/>
        <w:tblCellMar>
          <w:left w:w="0" w:type="dxa"/>
          <w:right w:w="0" w:type="dxa"/>
        </w:tblCellMar>
        <w:tblLook w:val="0000" w:firstRow="0" w:lastRow="0" w:firstColumn="0" w:lastColumn="0" w:noHBand="0" w:noVBand="0"/>
      </w:tblPr>
      <w:tblGrid>
        <w:gridCol w:w="4253"/>
        <w:gridCol w:w="709"/>
        <w:gridCol w:w="1701"/>
        <w:gridCol w:w="141"/>
        <w:gridCol w:w="1560"/>
      </w:tblGrid>
      <w:tr w:rsidR="00E07C4E" w:rsidRPr="00721663" w14:paraId="0A3E7234" w14:textId="77777777" w:rsidTr="00017A0C">
        <w:trPr>
          <w:cantSplit/>
          <w:trHeight w:val="270"/>
        </w:trPr>
        <w:tc>
          <w:tcPr>
            <w:tcW w:w="4253" w:type="dxa"/>
            <w:tcBorders>
              <w:top w:val="nil"/>
              <w:left w:val="nil"/>
              <w:right w:val="nil"/>
            </w:tcBorders>
            <w:noWrap/>
            <w:vAlign w:val="bottom"/>
          </w:tcPr>
          <w:p w14:paraId="40B658FB" w14:textId="77777777" w:rsidR="00E07C4E" w:rsidRPr="00721663" w:rsidRDefault="00E07C4E" w:rsidP="00551604">
            <w:pPr>
              <w:jc w:val="left"/>
              <w:rPr>
                <w:rFonts w:ascii="Arial" w:eastAsia="Arial Unicode MS" w:hAnsi="Arial" w:cs="Arial"/>
                <w:szCs w:val="22"/>
                <w:lang w:val="bg-BG"/>
              </w:rPr>
            </w:pPr>
          </w:p>
        </w:tc>
        <w:tc>
          <w:tcPr>
            <w:tcW w:w="709" w:type="dxa"/>
            <w:tcBorders>
              <w:top w:val="nil"/>
              <w:left w:val="nil"/>
              <w:right w:val="nil"/>
            </w:tcBorders>
          </w:tcPr>
          <w:p w14:paraId="2E807624" w14:textId="77777777" w:rsidR="00E07C4E" w:rsidRPr="00721663" w:rsidRDefault="00E07C4E" w:rsidP="00551604">
            <w:pPr>
              <w:jc w:val="left"/>
              <w:rPr>
                <w:rFonts w:ascii="Arial" w:hAnsi="Arial" w:cs="Arial"/>
                <w:lang w:val="bg-BG"/>
              </w:rPr>
            </w:pPr>
          </w:p>
        </w:tc>
        <w:tc>
          <w:tcPr>
            <w:tcW w:w="3402" w:type="dxa"/>
            <w:gridSpan w:val="3"/>
            <w:tcBorders>
              <w:top w:val="nil"/>
              <w:left w:val="nil"/>
              <w:bottom w:val="single" w:sz="4" w:space="0" w:color="auto"/>
              <w:right w:val="nil"/>
            </w:tcBorders>
            <w:vAlign w:val="bottom"/>
          </w:tcPr>
          <w:p w14:paraId="11411E92" w14:textId="77777777" w:rsidR="00E07C4E" w:rsidRPr="00721663" w:rsidRDefault="00E07C4E" w:rsidP="00551604">
            <w:pPr>
              <w:jc w:val="center"/>
              <w:rPr>
                <w:rFonts w:ascii="Arial" w:hAnsi="Arial" w:cs="Arial"/>
                <w:b/>
                <w:sz w:val="18"/>
                <w:szCs w:val="18"/>
                <w:lang w:val="bg-BG"/>
              </w:rPr>
            </w:pPr>
            <w:r w:rsidRPr="00721663">
              <w:rPr>
                <w:rFonts w:ascii="Arial" w:hAnsi="Arial" w:cs="Arial"/>
                <w:b/>
                <w:sz w:val="18"/>
                <w:szCs w:val="18"/>
                <w:lang w:val="bg-BG"/>
              </w:rPr>
              <w:t>Шестмесечен период, приключващ на</w:t>
            </w:r>
          </w:p>
        </w:tc>
      </w:tr>
      <w:tr w:rsidR="00E07C4E" w:rsidRPr="00721663" w14:paraId="680CEDFD" w14:textId="77777777" w:rsidTr="00017A0C">
        <w:trPr>
          <w:cantSplit/>
          <w:trHeight w:val="270"/>
        </w:trPr>
        <w:tc>
          <w:tcPr>
            <w:tcW w:w="4253" w:type="dxa"/>
            <w:tcBorders>
              <w:top w:val="nil"/>
              <w:left w:val="nil"/>
              <w:right w:val="nil"/>
            </w:tcBorders>
            <w:noWrap/>
            <w:vAlign w:val="bottom"/>
          </w:tcPr>
          <w:p w14:paraId="18AFD9FC" w14:textId="77777777" w:rsidR="00E07C4E" w:rsidRPr="00721663" w:rsidRDefault="00E07C4E" w:rsidP="00551604">
            <w:pPr>
              <w:jc w:val="left"/>
              <w:rPr>
                <w:rFonts w:ascii="Arial" w:eastAsia="Arial Unicode MS" w:hAnsi="Arial" w:cs="Arial"/>
                <w:szCs w:val="22"/>
                <w:lang w:val="bg-BG"/>
              </w:rPr>
            </w:pPr>
          </w:p>
        </w:tc>
        <w:tc>
          <w:tcPr>
            <w:tcW w:w="709" w:type="dxa"/>
            <w:tcBorders>
              <w:top w:val="nil"/>
              <w:left w:val="nil"/>
              <w:right w:val="nil"/>
            </w:tcBorders>
          </w:tcPr>
          <w:p w14:paraId="2D4A48A7" w14:textId="77777777" w:rsidR="00E07C4E" w:rsidRPr="00721663" w:rsidRDefault="00E07C4E" w:rsidP="00551604">
            <w:pPr>
              <w:jc w:val="left"/>
              <w:rPr>
                <w:rFonts w:ascii="Arial" w:hAnsi="Arial" w:cs="Arial"/>
                <w:lang w:val="bg-BG"/>
              </w:rPr>
            </w:pPr>
          </w:p>
        </w:tc>
        <w:tc>
          <w:tcPr>
            <w:tcW w:w="1701" w:type="dxa"/>
            <w:tcBorders>
              <w:top w:val="nil"/>
              <w:left w:val="nil"/>
              <w:bottom w:val="single" w:sz="4" w:space="0" w:color="auto"/>
              <w:right w:val="nil"/>
            </w:tcBorders>
            <w:vAlign w:val="bottom"/>
          </w:tcPr>
          <w:p w14:paraId="15D1F9AD" w14:textId="54963BCF" w:rsidR="00E07C4E" w:rsidRPr="00721663" w:rsidRDefault="00144930" w:rsidP="00551604">
            <w:pPr>
              <w:tabs>
                <w:tab w:val="left" w:pos="1725"/>
              </w:tabs>
              <w:jc w:val="right"/>
              <w:rPr>
                <w:rFonts w:ascii="Arial" w:hAnsi="Arial" w:cs="Arial"/>
                <w:b/>
                <w:sz w:val="18"/>
                <w:szCs w:val="18"/>
                <w:lang w:val="bg-BG"/>
              </w:rPr>
            </w:pPr>
            <w:r>
              <w:rPr>
                <w:rFonts w:ascii="Arial" w:hAnsi="Arial" w:cs="Arial"/>
                <w:b/>
                <w:sz w:val="18"/>
                <w:szCs w:val="18"/>
                <w:lang w:val="bg-BG"/>
              </w:rPr>
              <w:t>30 юни 2017</w:t>
            </w:r>
          </w:p>
        </w:tc>
        <w:tc>
          <w:tcPr>
            <w:tcW w:w="141" w:type="dxa"/>
            <w:tcBorders>
              <w:top w:val="nil"/>
              <w:left w:val="nil"/>
              <w:right w:val="nil"/>
            </w:tcBorders>
            <w:vAlign w:val="bottom"/>
          </w:tcPr>
          <w:p w14:paraId="33640E82" w14:textId="77777777" w:rsidR="00E07C4E" w:rsidRPr="00721663" w:rsidRDefault="00E07C4E" w:rsidP="00551604">
            <w:pPr>
              <w:jc w:val="right"/>
              <w:rPr>
                <w:rFonts w:ascii="Arial" w:hAnsi="Arial" w:cs="Arial"/>
                <w:b/>
                <w:sz w:val="18"/>
                <w:szCs w:val="18"/>
                <w:lang w:val="bg-BG"/>
              </w:rPr>
            </w:pPr>
          </w:p>
        </w:tc>
        <w:tc>
          <w:tcPr>
            <w:tcW w:w="1560" w:type="dxa"/>
            <w:tcBorders>
              <w:top w:val="nil"/>
              <w:left w:val="nil"/>
              <w:bottom w:val="single" w:sz="4" w:space="0" w:color="auto"/>
              <w:right w:val="nil"/>
            </w:tcBorders>
            <w:vAlign w:val="bottom"/>
          </w:tcPr>
          <w:p w14:paraId="208D4E98" w14:textId="22959945" w:rsidR="00E07C4E" w:rsidRPr="00C92909" w:rsidRDefault="00144930" w:rsidP="00551604">
            <w:pPr>
              <w:jc w:val="right"/>
              <w:rPr>
                <w:rFonts w:ascii="Arial" w:hAnsi="Arial" w:cs="Arial"/>
                <w:b/>
                <w:sz w:val="18"/>
                <w:szCs w:val="18"/>
                <w:lang w:val="bg-BG"/>
              </w:rPr>
            </w:pPr>
            <w:r>
              <w:rPr>
                <w:rFonts w:ascii="Arial" w:hAnsi="Arial" w:cs="Arial"/>
                <w:b/>
                <w:sz w:val="18"/>
                <w:szCs w:val="18"/>
                <w:lang w:val="bg-BG"/>
              </w:rPr>
              <w:t>30 юни 2016</w:t>
            </w:r>
          </w:p>
        </w:tc>
      </w:tr>
      <w:tr w:rsidR="00E07C4E" w:rsidRPr="00721663" w14:paraId="7FCF8618" w14:textId="77777777" w:rsidTr="00017A0C">
        <w:trPr>
          <w:trHeight w:hRule="exact" w:val="263"/>
        </w:trPr>
        <w:tc>
          <w:tcPr>
            <w:tcW w:w="4253" w:type="dxa"/>
            <w:tcBorders>
              <w:top w:val="nil"/>
              <w:left w:val="nil"/>
              <w:bottom w:val="nil"/>
              <w:right w:val="nil"/>
            </w:tcBorders>
            <w:noWrap/>
            <w:vAlign w:val="center"/>
          </w:tcPr>
          <w:p w14:paraId="5312FBC5" w14:textId="77777777" w:rsidR="00E07C4E" w:rsidRPr="00721663" w:rsidRDefault="00E07C4E" w:rsidP="00551604">
            <w:pPr>
              <w:jc w:val="left"/>
              <w:rPr>
                <w:rFonts w:ascii="Arial" w:eastAsia="Arial Unicode MS" w:hAnsi="Arial" w:cs="Arial"/>
                <w:sz w:val="18"/>
                <w:szCs w:val="18"/>
                <w:lang w:val="bg-BG"/>
              </w:rPr>
            </w:pPr>
          </w:p>
        </w:tc>
        <w:tc>
          <w:tcPr>
            <w:tcW w:w="709" w:type="dxa"/>
            <w:tcBorders>
              <w:top w:val="nil"/>
              <w:left w:val="nil"/>
              <w:right w:val="nil"/>
            </w:tcBorders>
          </w:tcPr>
          <w:p w14:paraId="1A518DE2" w14:textId="77777777" w:rsidR="00E07C4E" w:rsidRPr="00721663" w:rsidRDefault="00E07C4E" w:rsidP="00551604">
            <w:pPr>
              <w:ind w:right="127"/>
              <w:jc w:val="left"/>
              <w:rPr>
                <w:rFonts w:ascii="Arial" w:hAnsi="Arial" w:cs="Arial"/>
                <w:sz w:val="18"/>
                <w:szCs w:val="18"/>
                <w:lang w:val="bg-BG"/>
              </w:rPr>
            </w:pPr>
          </w:p>
        </w:tc>
        <w:tc>
          <w:tcPr>
            <w:tcW w:w="1701" w:type="dxa"/>
            <w:tcBorders>
              <w:top w:val="nil"/>
              <w:left w:val="nil"/>
              <w:right w:val="nil"/>
            </w:tcBorders>
            <w:vAlign w:val="bottom"/>
          </w:tcPr>
          <w:p w14:paraId="45BCDE5C"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141" w:type="dxa"/>
            <w:tcBorders>
              <w:top w:val="nil"/>
              <w:left w:val="nil"/>
              <w:right w:val="nil"/>
            </w:tcBorders>
          </w:tcPr>
          <w:p w14:paraId="79AB3F4B"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560" w:type="dxa"/>
            <w:tcBorders>
              <w:top w:val="nil"/>
              <w:left w:val="nil"/>
              <w:right w:val="nil"/>
            </w:tcBorders>
            <w:vAlign w:val="bottom"/>
          </w:tcPr>
          <w:p w14:paraId="39A81236"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r>
      <w:tr w:rsidR="001B315C" w:rsidRPr="00721663" w14:paraId="3D407042" w14:textId="77777777" w:rsidTr="00017A0C">
        <w:trPr>
          <w:trHeight w:hRule="exact" w:val="284"/>
        </w:trPr>
        <w:tc>
          <w:tcPr>
            <w:tcW w:w="4253" w:type="dxa"/>
            <w:tcBorders>
              <w:top w:val="nil"/>
              <w:left w:val="nil"/>
              <w:bottom w:val="nil"/>
              <w:right w:val="nil"/>
            </w:tcBorders>
            <w:noWrap/>
            <w:vAlign w:val="center"/>
          </w:tcPr>
          <w:p w14:paraId="575836CF" w14:textId="77777777" w:rsidR="001B315C" w:rsidRPr="00721663" w:rsidRDefault="001B315C" w:rsidP="001B315C">
            <w:pPr>
              <w:jc w:val="left"/>
              <w:rPr>
                <w:rFonts w:ascii="Arial" w:eastAsia="Arial Unicode MS" w:hAnsi="Arial" w:cs="Arial"/>
                <w:sz w:val="18"/>
                <w:szCs w:val="18"/>
                <w:lang w:val="bg-BG"/>
              </w:rPr>
            </w:pPr>
            <w:r w:rsidRPr="00721663">
              <w:rPr>
                <w:rFonts w:ascii="Arial" w:eastAsia="Arial Unicode MS" w:hAnsi="Arial" w:cs="Arial"/>
                <w:sz w:val="18"/>
                <w:szCs w:val="18"/>
                <w:lang w:val="bg-BG"/>
              </w:rPr>
              <w:t>Електрическа енергия</w:t>
            </w:r>
          </w:p>
        </w:tc>
        <w:tc>
          <w:tcPr>
            <w:tcW w:w="709" w:type="dxa"/>
            <w:tcBorders>
              <w:top w:val="nil"/>
              <w:left w:val="nil"/>
              <w:right w:val="nil"/>
            </w:tcBorders>
          </w:tcPr>
          <w:p w14:paraId="6E3B9935" w14:textId="77777777" w:rsidR="001B315C" w:rsidRPr="00721663" w:rsidRDefault="001B315C" w:rsidP="001B315C">
            <w:pPr>
              <w:ind w:right="127"/>
              <w:jc w:val="left"/>
              <w:rPr>
                <w:rFonts w:ascii="Arial" w:hAnsi="Arial" w:cs="Arial"/>
                <w:sz w:val="18"/>
                <w:szCs w:val="18"/>
                <w:lang w:val="bg-BG"/>
              </w:rPr>
            </w:pPr>
          </w:p>
        </w:tc>
        <w:tc>
          <w:tcPr>
            <w:tcW w:w="1701" w:type="dxa"/>
            <w:tcBorders>
              <w:top w:val="nil"/>
              <w:left w:val="nil"/>
              <w:right w:val="nil"/>
            </w:tcBorders>
            <w:vAlign w:val="center"/>
          </w:tcPr>
          <w:p w14:paraId="7F7189AD" w14:textId="66A6AA47" w:rsidR="001B315C" w:rsidRPr="00721663" w:rsidRDefault="001B315C" w:rsidP="001B315C">
            <w:pPr>
              <w:ind w:right="127"/>
              <w:jc w:val="right"/>
              <w:rPr>
                <w:rFonts w:ascii="Arial" w:hAnsi="Arial" w:cs="Arial"/>
                <w:sz w:val="18"/>
                <w:szCs w:val="18"/>
                <w:lang w:val="bg-BG"/>
              </w:rPr>
            </w:pPr>
            <w:r>
              <w:rPr>
                <w:rFonts w:ascii="Arial" w:hAnsi="Arial" w:cs="Arial"/>
                <w:sz w:val="18"/>
                <w:szCs w:val="18"/>
                <w:lang w:val="en-GB" w:eastAsia="bg-BG"/>
              </w:rPr>
              <w:t>(247)</w:t>
            </w:r>
          </w:p>
        </w:tc>
        <w:tc>
          <w:tcPr>
            <w:tcW w:w="141" w:type="dxa"/>
            <w:tcBorders>
              <w:top w:val="nil"/>
              <w:left w:val="nil"/>
              <w:right w:val="nil"/>
            </w:tcBorders>
            <w:vAlign w:val="center"/>
          </w:tcPr>
          <w:p w14:paraId="41BBA2C4" w14:textId="77777777" w:rsidR="001B315C" w:rsidRPr="00721663" w:rsidRDefault="001B315C" w:rsidP="001B315C">
            <w:pPr>
              <w:ind w:right="127"/>
              <w:jc w:val="right"/>
              <w:rPr>
                <w:rFonts w:ascii="Arial" w:hAnsi="Arial" w:cs="Arial"/>
                <w:sz w:val="18"/>
                <w:szCs w:val="18"/>
                <w:lang w:val="bg-BG"/>
              </w:rPr>
            </w:pPr>
          </w:p>
        </w:tc>
        <w:tc>
          <w:tcPr>
            <w:tcW w:w="1560" w:type="dxa"/>
            <w:tcBorders>
              <w:top w:val="nil"/>
              <w:left w:val="nil"/>
              <w:right w:val="nil"/>
            </w:tcBorders>
            <w:vAlign w:val="center"/>
          </w:tcPr>
          <w:p w14:paraId="566008DA" w14:textId="6E9821F9" w:rsidR="001B315C" w:rsidRPr="00721663" w:rsidRDefault="001B315C" w:rsidP="001B315C">
            <w:pPr>
              <w:ind w:right="127"/>
              <w:jc w:val="right"/>
              <w:rPr>
                <w:rFonts w:ascii="Arial" w:hAnsi="Arial" w:cs="Arial"/>
                <w:sz w:val="18"/>
                <w:szCs w:val="18"/>
                <w:lang w:val="bg-BG"/>
              </w:rPr>
            </w:pPr>
            <w:r>
              <w:rPr>
                <w:rFonts w:ascii="Arial" w:hAnsi="Arial" w:cs="Arial"/>
                <w:sz w:val="18"/>
                <w:szCs w:val="18"/>
                <w:lang w:val="en-GB" w:eastAsia="bg-BG"/>
              </w:rPr>
              <w:t>(307)</w:t>
            </w:r>
          </w:p>
        </w:tc>
      </w:tr>
      <w:tr w:rsidR="001B315C" w:rsidRPr="00721663" w14:paraId="7DDE44C3" w14:textId="77777777" w:rsidTr="00017A0C">
        <w:trPr>
          <w:trHeight w:hRule="exact" w:val="372"/>
        </w:trPr>
        <w:tc>
          <w:tcPr>
            <w:tcW w:w="4253" w:type="dxa"/>
            <w:tcBorders>
              <w:top w:val="nil"/>
              <w:left w:val="nil"/>
              <w:bottom w:val="nil"/>
              <w:right w:val="nil"/>
            </w:tcBorders>
            <w:noWrap/>
            <w:vAlign w:val="center"/>
          </w:tcPr>
          <w:p w14:paraId="6C1F5E61" w14:textId="77777777" w:rsidR="001B315C" w:rsidRPr="00721663" w:rsidRDefault="001B315C" w:rsidP="001B315C">
            <w:pPr>
              <w:jc w:val="left"/>
              <w:rPr>
                <w:rFonts w:ascii="Arial" w:eastAsia="Arial Unicode MS" w:hAnsi="Arial" w:cs="Arial"/>
                <w:sz w:val="18"/>
                <w:szCs w:val="18"/>
                <w:lang w:val="bg-BG"/>
              </w:rPr>
            </w:pPr>
            <w:r w:rsidRPr="00721663">
              <w:rPr>
                <w:rFonts w:ascii="Arial" w:eastAsia="Arial Unicode MS" w:hAnsi="Arial" w:cs="Arial"/>
                <w:sz w:val="18"/>
                <w:szCs w:val="18"/>
                <w:lang w:val="bg-BG"/>
              </w:rPr>
              <w:t>Разходи за гориво и поддръжка на автомобил</w:t>
            </w:r>
          </w:p>
        </w:tc>
        <w:tc>
          <w:tcPr>
            <w:tcW w:w="709" w:type="dxa"/>
            <w:tcBorders>
              <w:top w:val="nil"/>
              <w:left w:val="nil"/>
              <w:right w:val="nil"/>
            </w:tcBorders>
          </w:tcPr>
          <w:p w14:paraId="0A74973E" w14:textId="77777777" w:rsidR="001B315C" w:rsidRPr="00721663" w:rsidRDefault="001B315C" w:rsidP="001B315C">
            <w:pPr>
              <w:ind w:right="127"/>
              <w:jc w:val="left"/>
              <w:rPr>
                <w:rFonts w:ascii="Arial" w:hAnsi="Arial" w:cs="Arial"/>
                <w:sz w:val="18"/>
                <w:szCs w:val="18"/>
                <w:lang w:val="bg-BG"/>
              </w:rPr>
            </w:pPr>
          </w:p>
        </w:tc>
        <w:tc>
          <w:tcPr>
            <w:tcW w:w="1701" w:type="dxa"/>
            <w:tcBorders>
              <w:top w:val="nil"/>
              <w:left w:val="nil"/>
              <w:bottom w:val="single" w:sz="4" w:space="0" w:color="auto"/>
              <w:right w:val="nil"/>
            </w:tcBorders>
            <w:vAlign w:val="center"/>
          </w:tcPr>
          <w:p w14:paraId="35DADD7F" w14:textId="346D7425" w:rsidR="001B315C" w:rsidRPr="00721663" w:rsidRDefault="001B315C" w:rsidP="001B315C">
            <w:pPr>
              <w:ind w:right="127"/>
              <w:jc w:val="right"/>
              <w:rPr>
                <w:rFonts w:ascii="Arial" w:hAnsi="Arial" w:cs="Arial"/>
                <w:sz w:val="18"/>
                <w:szCs w:val="18"/>
                <w:lang w:val="bg-BG"/>
              </w:rPr>
            </w:pPr>
            <w:r>
              <w:rPr>
                <w:rFonts w:ascii="Arial" w:hAnsi="Arial" w:cs="Arial"/>
                <w:sz w:val="18"/>
                <w:szCs w:val="18"/>
                <w:lang w:val="en-GB" w:eastAsia="bg-BG"/>
              </w:rPr>
              <w:t>(2)</w:t>
            </w:r>
          </w:p>
        </w:tc>
        <w:tc>
          <w:tcPr>
            <w:tcW w:w="141" w:type="dxa"/>
            <w:tcBorders>
              <w:top w:val="nil"/>
              <w:left w:val="nil"/>
              <w:right w:val="nil"/>
            </w:tcBorders>
            <w:vAlign w:val="center"/>
          </w:tcPr>
          <w:p w14:paraId="28701EEA" w14:textId="77777777" w:rsidR="001B315C" w:rsidRPr="00721663" w:rsidRDefault="001B315C" w:rsidP="001B315C">
            <w:pPr>
              <w:ind w:right="127"/>
              <w:jc w:val="right"/>
              <w:rPr>
                <w:rFonts w:ascii="Arial" w:hAnsi="Arial" w:cs="Arial"/>
                <w:sz w:val="18"/>
                <w:szCs w:val="18"/>
                <w:lang w:val="bg-BG"/>
              </w:rPr>
            </w:pPr>
          </w:p>
        </w:tc>
        <w:tc>
          <w:tcPr>
            <w:tcW w:w="1560" w:type="dxa"/>
            <w:tcBorders>
              <w:top w:val="nil"/>
              <w:left w:val="nil"/>
              <w:bottom w:val="single" w:sz="4" w:space="0" w:color="auto"/>
              <w:right w:val="nil"/>
            </w:tcBorders>
            <w:vAlign w:val="center"/>
          </w:tcPr>
          <w:p w14:paraId="705EBF50" w14:textId="312FF721" w:rsidR="001B315C" w:rsidRPr="00721663" w:rsidRDefault="001B315C" w:rsidP="001B315C">
            <w:pPr>
              <w:ind w:right="127"/>
              <w:jc w:val="right"/>
              <w:rPr>
                <w:rFonts w:ascii="Arial" w:hAnsi="Arial" w:cs="Arial"/>
                <w:sz w:val="18"/>
                <w:szCs w:val="18"/>
                <w:lang w:val="bg-BG"/>
              </w:rPr>
            </w:pPr>
            <w:r>
              <w:rPr>
                <w:rFonts w:ascii="Arial" w:hAnsi="Arial" w:cs="Arial"/>
                <w:sz w:val="18"/>
                <w:szCs w:val="18"/>
                <w:lang w:val="en-GB" w:eastAsia="bg-BG"/>
              </w:rPr>
              <w:t>(2)</w:t>
            </w:r>
          </w:p>
        </w:tc>
      </w:tr>
      <w:tr w:rsidR="001B315C" w:rsidRPr="00721663" w14:paraId="6BF70D91" w14:textId="77777777" w:rsidTr="00017A0C">
        <w:trPr>
          <w:trHeight w:hRule="exact" w:val="284"/>
        </w:trPr>
        <w:tc>
          <w:tcPr>
            <w:tcW w:w="4253" w:type="dxa"/>
            <w:tcBorders>
              <w:left w:val="nil"/>
              <w:bottom w:val="nil"/>
              <w:right w:val="nil"/>
            </w:tcBorders>
            <w:noWrap/>
            <w:vAlign w:val="center"/>
          </w:tcPr>
          <w:p w14:paraId="5300F1D6" w14:textId="77777777" w:rsidR="001B315C" w:rsidRPr="00721663" w:rsidRDefault="001B315C" w:rsidP="001B315C">
            <w:pPr>
              <w:pStyle w:val="head"/>
              <w:jc w:val="left"/>
              <w:rPr>
                <w:rFonts w:eastAsia="Arial Unicode MS" w:cs="Arial"/>
                <w:b w:val="0"/>
                <w:sz w:val="18"/>
                <w:szCs w:val="18"/>
                <w:lang w:val="bg-BG"/>
              </w:rPr>
            </w:pPr>
          </w:p>
        </w:tc>
        <w:tc>
          <w:tcPr>
            <w:tcW w:w="709" w:type="dxa"/>
            <w:tcBorders>
              <w:left w:val="nil"/>
              <w:right w:val="nil"/>
            </w:tcBorders>
          </w:tcPr>
          <w:p w14:paraId="664A8877" w14:textId="77777777" w:rsidR="001B315C" w:rsidRPr="00721663" w:rsidRDefault="001B315C" w:rsidP="001B315C">
            <w:pPr>
              <w:ind w:right="127"/>
              <w:jc w:val="left"/>
              <w:rPr>
                <w:rFonts w:ascii="Arial" w:eastAsia="Arial Unicode MS" w:hAnsi="Arial" w:cs="Arial"/>
                <w:b/>
                <w:sz w:val="18"/>
                <w:szCs w:val="18"/>
                <w:lang w:val="bg-BG"/>
              </w:rPr>
            </w:pPr>
          </w:p>
        </w:tc>
        <w:tc>
          <w:tcPr>
            <w:tcW w:w="1701" w:type="dxa"/>
            <w:tcBorders>
              <w:top w:val="single" w:sz="4" w:space="0" w:color="auto"/>
              <w:left w:val="nil"/>
              <w:bottom w:val="double" w:sz="4" w:space="0" w:color="auto"/>
              <w:right w:val="nil"/>
            </w:tcBorders>
            <w:vAlign w:val="center"/>
          </w:tcPr>
          <w:p w14:paraId="54622262" w14:textId="516BF025" w:rsidR="001B315C" w:rsidRPr="00721663" w:rsidRDefault="001B315C" w:rsidP="001B315C">
            <w:pPr>
              <w:ind w:right="127"/>
              <w:jc w:val="right"/>
              <w:rPr>
                <w:rFonts w:ascii="Arial" w:eastAsia="Arial Unicode MS" w:hAnsi="Arial" w:cs="Arial"/>
                <w:b/>
                <w:sz w:val="18"/>
                <w:szCs w:val="18"/>
                <w:lang w:val="bg-BG"/>
              </w:rPr>
            </w:pPr>
            <w:r>
              <w:rPr>
                <w:rFonts w:ascii="Arial" w:eastAsia="Arial Unicode MS" w:hAnsi="Arial" w:cs="Arial"/>
                <w:b/>
                <w:sz w:val="18"/>
                <w:szCs w:val="18"/>
                <w:lang w:val="en-GB" w:eastAsia="bg-BG"/>
              </w:rPr>
              <w:t>(249)</w:t>
            </w:r>
          </w:p>
        </w:tc>
        <w:tc>
          <w:tcPr>
            <w:tcW w:w="141" w:type="dxa"/>
            <w:tcBorders>
              <w:left w:val="nil"/>
              <w:right w:val="nil"/>
            </w:tcBorders>
            <w:vAlign w:val="center"/>
          </w:tcPr>
          <w:p w14:paraId="53CDEBAF" w14:textId="77777777" w:rsidR="001B315C" w:rsidRPr="00721663" w:rsidRDefault="001B315C" w:rsidP="001B315C">
            <w:pPr>
              <w:ind w:right="127"/>
              <w:jc w:val="right"/>
              <w:rPr>
                <w:rFonts w:ascii="Arial" w:eastAsia="Arial Unicode MS" w:hAnsi="Arial" w:cs="Arial"/>
                <w:b/>
                <w:sz w:val="18"/>
                <w:szCs w:val="18"/>
                <w:lang w:val="bg-BG"/>
              </w:rPr>
            </w:pPr>
          </w:p>
        </w:tc>
        <w:tc>
          <w:tcPr>
            <w:tcW w:w="1560" w:type="dxa"/>
            <w:tcBorders>
              <w:top w:val="single" w:sz="4" w:space="0" w:color="auto"/>
              <w:left w:val="nil"/>
              <w:bottom w:val="double" w:sz="4" w:space="0" w:color="auto"/>
              <w:right w:val="nil"/>
            </w:tcBorders>
            <w:vAlign w:val="center"/>
          </w:tcPr>
          <w:p w14:paraId="1DD76980" w14:textId="58CDC72C" w:rsidR="001B315C" w:rsidRPr="00721663" w:rsidRDefault="001B315C" w:rsidP="001B315C">
            <w:pPr>
              <w:ind w:right="127"/>
              <w:jc w:val="right"/>
              <w:rPr>
                <w:rFonts w:ascii="Arial" w:eastAsia="Arial Unicode MS" w:hAnsi="Arial" w:cs="Arial"/>
                <w:b/>
                <w:sz w:val="18"/>
                <w:szCs w:val="18"/>
                <w:lang w:val="bg-BG"/>
              </w:rPr>
            </w:pPr>
            <w:r>
              <w:rPr>
                <w:rFonts w:ascii="Arial" w:eastAsia="Arial Unicode MS" w:hAnsi="Arial" w:cs="Arial"/>
                <w:b/>
                <w:sz w:val="18"/>
                <w:szCs w:val="18"/>
                <w:lang w:val="en-GB" w:eastAsia="bg-BG"/>
              </w:rPr>
              <w:t>(309)</w:t>
            </w:r>
          </w:p>
        </w:tc>
      </w:tr>
    </w:tbl>
    <w:p w14:paraId="7FD06B1C" w14:textId="77777777" w:rsidR="00E07C4E" w:rsidRPr="00721663" w:rsidRDefault="00E07C4E" w:rsidP="00E07C4E">
      <w:pPr>
        <w:spacing w:line="240" w:lineRule="auto"/>
        <w:jc w:val="left"/>
        <w:rPr>
          <w:rFonts w:ascii="Arial" w:hAnsi="Arial" w:cs="Arial"/>
          <w:b/>
          <w:lang w:val="bg-BG"/>
        </w:rPr>
      </w:pPr>
    </w:p>
    <w:p w14:paraId="79A9FFB0" w14:textId="75D755C8" w:rsidR="00E07C4E" w:rsidRPr="00721663" w:rsidRDefault="00E07C4E" w:rsidP="00E07C4E">
      <w:pPr>
        <w:pStyle w:val="Heading1"/>
      </w:pPr>
      <w:bookmarkStart w:id="27" w:name="_Toc490647394"/>
      <w:r w:rsidRPr="00721663">
        <w:t>5.</w:t>
      </w:r>
      <w:r w:rsidR="001B315C">
        <w:t>4</w:t>
      </w:r>
      <w:r w:rsidRPr="00721663">
        <w:t>. Разходи за външни услуги</w:t>
      </w:r>
      <w:bookmarkEnd w:id="27"/>
    </w:p>
    <w:tbl>
      <w:tblPr>
        <w:tblW w:w="8364" w:type="dxa"/>
        <w:tblLayout w:type="fixed"/>
        <w:tblCellMar>
          <w:left w:w="0" w:type="dxa"/>
          <w:right w:w="0" w:type="dxa"/>
        </w:tblCellMar>
        <w:tblLook w:val="0000" w:firstRow="0" w:lastRow="0" w:firstColumn="0" w:lastColumn="0" w:noHBand="0" w:noVBand="0"/>
      </w:tblPr>
      <w:tblGrid>
        <w:gridCol w:w="4962"/>
        <w:gridCol w:w="1701"/>
        <w:gridCol w:w="141"/>
        <w:gridCol w:w="1560"/>
      </w:tblGrid>
      <w:tr w:rsidR="00E07C4E" w:rsidRPr="00721663" w14:paraId="4A21EC62" w14:textId="77777777" w:rsidTr="00017A0C">
        <w:trPr>
          <w:cantSplit/>
          <w:trHeight w:val="270"/>
        </w:trPr>
        <w:tc>
          <w:tcPr>
            <w:tcW w:w="4962" w:type="dxa"/>
            <w:tcBorders>
              <w:top w:val="nil"/>
              <w:left w:val="nil"/>
              <w:right w:val="nil"/>
            </w:tcBorders>
            <w:noWrap/>
            <w:vAlign w:val="bottom"/>
          </w:tcPr>
          <w:p w14:paraId="09C30025" w14:textId="77777777" w:rsidR="00E07C4E" w:rsidRPr="00721663" w:rsidRDefault="00E07C4E" w:rsidP="00551604">
            <w:pPr>
              <w:jc w:val="left"/>
              <w:rPr>
                <w:rFonts w:ascii="Arial" w:eastAsia="Arial Unicode MS" w:hAnsi="Arial" w:cs="Arial"/>
                <w:szCs w:val="22"/>
                <w:lang w:val="bg-BG"/>
              </w:rPr>
            </w:pPr>
          </w:p>
        </w:tc>
        <w:tc>
          <w:tcPr>
            <w:tcW w:w="3402" w:type="dxa"/>
            <w:gridSpan w:val="3"/>
            <w:tcBorders>
              <w:top w:val="nil"/>
              <w:left w:val="nil"/>
              <w:bottom w:val="single" w:sz="4" w:space="0" w:color="auto"/>
              <w:right w:val="nil"/>
            </w:tcBorders>
            <w:vAlign w:val="bottom"/>
          </w:tcPr>
          <w:p w14:paraId="18E95300" w14:textId="77777777" w:rsidR="00E07C4E" w:rsidRPr="00721663" w:rsidRDefault="00E07C4E" w:rsidP="00551604">
            <w:pPr>
              <w:jc w:val="center"/>
              <w:rPr>
                <w:rFonts w:ascii="Arial" w:hAnsi="Arial" w:cs="Arial"/>
                <w:b/>
                <w:sz w:val="18"/>
                <w:szCs w:val="18"/>
                <w:lang w:val="bg-BG"/>
              </w:rPr>
            </w:pPr>
            <w:r w:rsidRPr="00721663">
              <w:rPr>
                <w:rFonts w:ascii="Arial" w:hAnsi="Arial" w:cs="Arial"/>
                <w:b/>
                <w:sz w:val="18"/>
                <w:szCs w:val="18"/>
                <w:lang w:val="bg-BG"/>
              </w:rPr>
              <w:t>Шестмесечен период, приключващ на</w:t>
            </w:r>
          </w:p>
        </w:tc>
      </w:tr>
      <w:tr w:rsidR="00E07C4E" w:rsidRPr="00721663" w14:paraId="6B894696" w14:textId="77777777" w:rsidTr="00017A0C">
        <w:trPr>
          <w:cantSplit/>
          <w:trHeight w:val="270"/>
        </w:trPr>
        <w:tc>
          <w:tcPr>
            <w:tcW w:w="4962" w:type="dxa"/>
            <w:tcBorders>
              <w:top w:val="nil"/>
              <w:left w:val="nil"/>
              <w:right w:val="nil"/>
            </w:tcBorders>
            <w:noWrap/>
            <w:vAlign w:val="bottom"/>
          </w:tcPr>
          <w:p w14:paraId="12764D16" w14:textId="77777777" w:rsidR="00E07C4E" w:rsidRPr="00721663" w:rsidRDefault="00E07C4E" w:rsidP="00551604">
            <w:pPr>
              <w:jc w:val="left"/>
              <w:rPr>
                <w:rFonts w:ascii="Arial" w:eastAsia="Arial Unicode MS" w:hAnsi="Arial" w:cs="Arial"/>
                <w:szCs w:val="22"/>
                <w:lang w:val="bg-BG"/>
              </w:rPr>
            </w:pPr>
            <w:bookmarkStart w:id="28" w:name="_Hlk220232361"/>
          </w:p>
        </w:tc>
        <w:tc>
          <w:tcPr>
            <w:tcW w:w="1701" w:type="dxa"/>
            <w:tcBorders>
              <w:top w:val="single" w:sz="4" w:space="0" w:color="auto"/>
              <w:left w:val="nil"/>
              <w:bottom w:val="single" w:sz="4" w:space="0" w:color="auto"/>
              <w:right w:val="nil"/>
            </w:tcBorders>
            <w:vAlign w:val="bottom"/>
          </w:tcPr>
          <w:p w14:paraId="5F780488" w14:textId="562B60D6" w:rsidR="00E07C4E" w:rsidRPr="00721663" w:rsidRDefault="00144930" w:rsidP="00551604">
            <w:pPr>
              <w:tabs>
                <w:tab w:val="left" w:pos="1725"/>
              </w:tabs>
              <w:jc w:val="right"/>
              <w:rPr>
                <w:rFonts w:ascii="Arial" w:hAnsi="Arial" w:cs="Arial"/>
                <w:b/>
                <w:sz w:val="18"/>
                <w:szCs w:val="18"/>
                <w:lang w:val="bg-BG"/>
              </w:rPr>
            </w:pPr>
            <w:r>
              <w:rPr>
                <w:rFonts w:ascii="Arial" w:hAnsi="Arial" w:cs="Arial"/>
                <w:b/>
                <w:sz w:val="18"/>
                <w:szCs w:val="18"/>
                <w:lang w:val="bg-BG"/>
              </w:rPr>
              <w:t>30 юни 2017</w:t>
            </w:r>
          </w:p>
        </w:tc>
        <w:tc>
          <w:tcPr>
            <w:tcW w:w="141" w:type="dxa"/>
            <w:tcBorders>
              <w:top w:val="single" w:sz="4" w:space="0" w:color="auto"/>
              <w:left w:val="nil"/>
              <w:right w:val="nil"/>
            </w:tcBorders>
            <w:vAlign w:val="bottom"/>
          </w:tcPr>
          <w:p w14:paraId="1A52B072" w14:textId="77777777" w:rsidR="00E07C4E" w:rsidRPr="00721663" w:rsidRDefault="00E07C4E" w:rsidP="00551604">
            <w:pPr>
              <w:jc w:val="right"/>
              <w:rPr>
                <w:rFonts w:ascii="Arial" w:hAnsi="Arial" w:cs="Arial"/>
                <w:b/>
                <w:sz w:val="18"/>
                <w:szCs w:val="18"/>
                <w:lang w:val="bg-BG"/>
              </w:rPr>
            </w:pPr>
          </w:p>
        </w:tc>
        <w:tc>
          <w:tcPr>
            <w:tcW w:w="1560" w:type="dxa"/>
            <w:tcBorders>
              <w:top w:val="single" w:sz="4" w:space="0" w:color="auto"/>
              <w:left w:val="nil"/>
              <w:bottom w:val="single" w:sz="4" w:space="0" w:color="auto"/>
              <w:right w:val="nil"/>
            </w:tcBorders>
            <w:vAlign w:val="bottom"/>
          </w:tcPr>
          <w:p w14:paraId="7147D37D" w14:textId="22D5D616" w:rsidR="00E07C4E" w:rsidRPr="00721663" w:rsidRDefault="00144930" w:rsidP="00551604">
            <w:pPr>
              <w:jc w:val="right"/>
              <w:rPr>
                <w:rFonts w:ascii="Arial" w:hAnsi="Arial" w:cs="Arial"/>
                <w:b/>
                <w:bCs/>
                <w:sz w:val="18"/>
                <w:szCs w:val="18"/>
                <w:lang w:val="bg-BG"/>
              </w:rPr>
            </w:pPr>
            <w:r>
              <w:rPr>
                <w:rFonts w:ascii="Arial" w:hAnsi="Arial" w:cs="Arial"/>
                <w:b/>
                <w:sz w:val="18"/>
                <w:szCs w:val="18"/>
                <w:lang w:val="bg-BG"/>
              </w:rPr>
              <w:t>30 юни 2016</w:t>
            </w:r>
          </w:p>
        </w:tc>
      </w:tr>
      <w:tr w:rsidR="00E07C4E" w:rsidRPr="00721663" w14:paraId="7834F4EA" w14:textId="77777777" w:rsidTr="00017A0C">
        <w:trPr>
          <w:trHeight w:hRule="exact" w:val="284"/>
        </w:trPr>
        <w:tc>
          <w:tcPr>
            <w:tcW w:w="4962" w:type="dxa"/>
            <w:tcBorders>
              <w:top w:val="nil"/>
              <w:left w:val="nil"/>
              <w:bottom w:val="nil"/>
              <w:right w:val="nil"/>
            </w:tcBorders>
            <w:noWrap/>
            <w:vAlign w:val="center"/>
          </w:tcPr>
          <w:p w14:paraId="0C65E327" w14:textId="77777777" w:rsidR="00E07C4E" w:rsidRPr="00721663" w:rsidRDefault="00E07C4E" w:rsidP="00551604">
            <w:pPr>
              <w:jc w:val="left"/>
              <w:rPr>
                <w:rFonts w:ascii="Arial" w:eastAsia="Arial Unicode MS" w:hAnsi="Arial" w:cs="Arial"/>
                <w:sz w:val="18"/>
                <w:szCs w:val="18"/>
                <w:lang w:val="bg-BG"/>
              </w:rPr>
            </w:pPr>
          </w:p>
        </w:tc>
        <w:tc>
          <w:tcPr>
            <w:tcW w:w="1701" w:type="dxa"/>
            <w:tcBorders>
              <w:top w:val="nil"/>
              <w:left w:val="nil"/>
              <w:right w:val="nil"/>
            </w:tcBorders>
            <w:vAlign w:val="bottom"/>
          </w:tcPr>
          <w:p w14:paraId="3BC80FFB"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141" w:type="dxa"/>
            <w:tcBorders>
              <w:top w:val="nil"/>
              <w:left w:val="nil"/>
              <w:right w:val="nil"/>
            </w:tcBorders>
          </w:tcPr>
          <w:p w14:paraId="0519EE99"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560" w:type="dxa"/>
            <w:tcBorders>
              <w:top w:val="nil"/>
              <w:left w:val="nil"/>
              <w:right w:val="nil"/>
            </w:tcBorders>
            <w:vAlign w:val="bottom"/>
          </w:tcPr>
          <w:p w14:paraId="4EE311F6"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r>
      <w:tr w:rsidR="001B315C" w:rsidRPr="00721663" w14:paraId="2350BE7D" w14:textId="77777777" w:rsidTr="00017A0C">
        <w:trPr>
          <w:trHeight w:hRule="exact" w:val="284"/>
        </w:trPr>
        <w:tc>
          <w:tcPr>
            <w:tcW w:w="4962" w:type="dxa"/>
            <w:tcBorders>
              <w:top w:val="nil"/>
              <w:left w:val="nil"/>
              <w:bottom w:val="nil"/>
              <w:right w:val="nil"/>
            </w:tcBorders>
            <w:noWrap/>
            <w:vAlign w:val="center"/>
          </w:tcPr>
          <w:p w14:paraId="22A49A17" w14:textId="77777777" w:rsidR="001B315C" w:rsidRPr="00721663" w:rsidRDefault="001B315C" w:rsidP="001B315C">
            <w:pPr>
              <w:jc w:val="left"/>
              <w:rPr>
                <w:rFonts w:ascii="Arial" w:eastAsia="Arial Unicode MS" w:hAnsi="Arial" w:cs="Arial"/>
                <w:sz w:val="18"/>
                <w:szCs w:val="18"/>
                <w:lang w:val="bg-BG"/>
              </w:rPr>
            </w:pPr>
            <w:r w:rsidRPr="00721663">
              <w:rPr>
                <w:rFonts w:ascii="Arial" w:eastAsia="Arial Unicode MS" w:hAnsi="Arial" w:cs="Arial"/>
                <w:sz w:val="18"/>
                <w:szCs w:val="18"/>
                <w:lang w:val="bg-BG"/>
              </w:rPr>
              <w:t>Поддръжка на ветрогенератори</w:t>
            </w:r>
          </w:p>
        </w:tc>
        <w:tc>
          <w:tcPr>
            <w:tcW w:w="1701" w:type="dxa"/>
            <w:tcBorders>
              <w:top w:val="nil"/>
              <w:left w:val="nil"/>
              <w:right w:val="nil"/>
            </w:tcBorders>
          </w:tcPr>
          <w:p w14:paraId="1FB8192F" w14:textId="5B14C0D0" w:rsidR="001B315C" w:rsidRPr="00721663" w:rsidRDefault="001B315C" w:rsidP="001B315C">
            <w:pPr>
              <w:ind w:right="127"/>
              <w:jc w:val="right"/>
              <w:rPr>
                <w:rFonts w:ascii="Arial" w:hAnsi="Arial" w:cs="Arial"/>
                <w:sz w:val="18"/>
                <w:szCs w:val="18"/>
                <w:lang w:val="bg-BG"/>
              </w:rPr>
            </w:pPr>
            <w:r>
              <w:rPr>
                <w:rFonts w:ascii="Arial" w:hAnsi="Arial" w:cs="Arial"/>
                <w:sz w:val="18"/>
                <w:szCs w:val="18"/>
                <w:lang w:val="en-GB" w:eastAsia="bg-BG"/>
              </w:rPr>
              <w:t>(168)</w:t>
            </w:r>
          </w:p>
        </w:tc>
        <w:tc>
          <w:tcPr>
            <w:tcW w:w="141" w:type="dxa"/>
            <w:tcBorders>
              <w:top w:val="nil"/>
              <w:left w:val="nil"/>
              <w:right w:val="nil"/>
            </w:tcBorders>
          </w:tcPr>
          <w:p w14:paraId="74AAD5B8" w14:textId="77777777" w:rsidR="001B315C" w:rsidRPr="00721663" w:rsidRDefault="001B315C" w:rsidP="001B315C">
            <w:pPr>
              <w:ind w:right="127"/>
              <w:jc w:val="right"/>
              <w:rPr>
                <w:rFonts w:ascii="Arial" w:hAnsi="Arial" w:cs="Arial"/>
                <w:sz w:val="18"/>
                <w:szCs w:val="18"/>
                <w:lang w:val="bg-BG"/>
              </w:rPr>
            </w:pPr>
          </w:p>
        </w:tc>
        <w:tc>
          <w:tcPr>
            <w:tcW w:w="1560" w:type="dxa"/>
            <w:tcBorders>
              <w:top w:val="nil"/>
              <w:left w:val="nil"/>
              <w:right w:val="nil"/>
            </w:tcBorders>
          </w:tcPr>
          <w:p w14:paraId="58D5F625" w14:textId="19052508" w:rsidR="001B315C" w:rsidRPr="00721663" w:rsidRDefault="001B315C" w:rsidP="001B315C">
            <w:pPr>
              <w:ind w:right="127"/>
              <w:jc w:val="right"/>
              <w:rPr>
                <w:rFonts w:ascii="Arial" w:hAnsi="Arial" w:cs="Arial"/>
                <w:sz w:val="18"/>
                <w:szCs w:val="18"/>
                <w:lang w:val="bg-BG"/>
              </w:rPr>
            </w:pPr>
            <w:r>
              <w:rPr>
                <w:rFonts w:ascii="Arial" w:hAnsi="Arial" w:cs="Arial"/>
                <w:sz w:val="18"/>
                <w:szCs w:val="18"/>
                <w:lang w:val="en-GB" w:eastAsia="bg-BG"/>
              </w:rPr>
              <w:t>(170)</w:t>
            </w:r>
          </w:p>
        </w:tc>
      </w:tr>
      <w:tr w:rsidR="001B315C" w:rsidRPr="00721663" w14:paraId="362F4E8A" w14:textId="77777777" w:rsidTr="00017A0C">
        <w:trPr>
          <w:trHeight w:hRule="exact" w:val="284"/>
        </w:trPr>
        <w:tc>
          <w:tcPr>
            <w:tcW w:w="4962" w:type="dxa"/>
            <w:tcBorders>
              <w:top w:val="nil"/>
              <w:left w:val="nil"/>
              <w:bottom w:val="nil"/>
              <w:right w:val="nil"/>
            </w:tcBorders>
            <w:noWrap/>
            <w:vAlign w:val="center"/>
          </w:tcPr>
          <w:p w14:paraId="6BA87B1A" w14:textId="77777777" w:rsidR="001B315C" w:rsidRPr="00721663" w:rsidRDefault="001B315C" w:rsidP="001B315C">
            <w:pPr>
              <w:jc w:val="left"/>
              <w:rPr>
                <w:rFonts w:ascii="Arial" w:eastAsia="Arial Unicode MS" w:hAnsi="Arial" w:cs="Arial"/>
                <w:sz w:val="18"/>
                <w:szCs w:val="18"/>
                <w:lang w:val="bg-BG"/>
              </w:rPr>
            </w:pPr>
            <w:r w:rsidRPr="00721663">
              <w:rPr>
                <w:rFonts w:ascii="Arial" w:eastAsia="Arial Unicode MS" w:hAnsi="Arial" w:cs="Arial"/>
                <w:sz w:val="18"/>
                <w:szCs w:val="18"/>
                <w:lang w:val="bg-BG"/>
              </w:rPr>
              <w:t>Консултантски и други професионални услуги</w:t>
            </w:r>
          </w:p>
        </w:tc>
        <w:tc>
          <w:tcPr>
            <w:tcW w:w="1701" w:type="dxa"/>
            <w:tcBorders>
              <w:top w:val="nil"/>
              <w:left w:val="nil"/>
              <w:right w:val="nil"/>
            </w:tcBorders>
          </w:tcPr>
          <w:p w14:paraId="39878F67" w14:textId="0C733318" w:rsidR="001B315C" w:rsidRPr="00721663" w:rsidRDefault="001B315C" w:rsidP="001B315C">
            <w:pPr>
              <w:ind w:right="127"/>
              <w:jc w:val="right"/>
              <w:rPr>
                <w:rFonts w:ascii="Arial" w:hAnsi="Arial" w:cs="Arial"/>
                <w:sz w:val="18"/>
                <w:szCs w:val="18"/>
                <w:lang w:val="bg-BG"/>
              </w:rPr>
            </w:pPr>
            <w:r>
              <w:rPr>
                <w:rFonts w:ascii="Arial" w:hAnsi="Arial" w:cs="Arial"/>
                <w:sz w:val="18"/>
                <w:szCs w:val="18"/>
                <w:lang w:val="en-GB" w:eastAsia="bg-BG"/>
              </w:rPr>
              <w:t>(48)</w:t>
            </w:r>
          </w:p>
        </w:tc>
        <w:tc>
          <w:tcPr>
            <w:tcW w:w="141" w:type="dxa"/>
            <w:tcBorders>
              <w:top w:val="nil"/>
              <w:left w:val="nil"/>
              <w:right w:val="nil"/>
            </w:tcBorders>
          </w:tcPr>
          <w:p w14:paraId="20953F1B" w14:textId="77777777" w:rsidR="001B315C" w:rsidRPr="00721663" w:rsidRDefault="001B315C" w:rsidP="001B315C">
            <w:pPr>
              <w:ind w:right="127"/>
              <w:jc w:val="right"/>
              <w:rPr>
                <w:rFonts w:ascii="Arial" w:hAnsi="Arial" w:cs="Arial"/>
                <w:sz w:val="18"/>
                <w:szCs w:val="18"/>
                <w:lang w:val="bg-BG"/>
              </w:rPr>
            </w:pPr>
          </w:p>
        </w:tc>
        <w:tc>
          <w:tcPr>
            <w:tcW w:w="1560" w:type="dxa"/>
            <w:tcBorders>
              <w:top w:val="nil"/>
              <w:left w:val="nil"/>
              <w:right w:val="nil"/>
            </w:tcBorders>
          </w:tcPr>
          <w:p w14:paraId="18A2BCBD" w14:textId="3D789EC8" w:rsidR="001B315C" w:rsidRPr="00721663" w:rsidRDefault="001B315C" w:rsidP="001B315C">
            <w:pPr>
              <w:ind w:right="127"/>
              <w:jc w:val="right"/>
              <w:rPr>
                <w:rFonts w:ascii="Arial" w:hAnsi="Arial" w:cs="Arial"/>
                <w:sz w:val="18"/>
                <w:szCs w:val="18"/>
                <w:lang w:val="bg-BG"/>
              </w:rPr>
            </w:pPr>
            <w:r>
              <w:rPr>
                <w:rFonts w:ascii="Arial" w:hAnsi="Arial" w:cs="Arial"/>
                <w:sz w:val="18"/>
                <w:szCs w:val="18"/>
                <w:lang w:val="en-GB" w:eastAsia="bg-BG"/>
              </w:rPr>
              <w:t>(76)</w:t>
            </w:r>
          </w:p>
        </w:tc>
      </w:tr>
      <w:tr w:rsidR="001B315C" w:rsidRPr="00721663" w14:paraId="6B1A27E5" w14:textId="77777777" w:rsidTr="00017A0C">
        <w:trPr>
          <w:trHeight w:hRule="exact" w:val="284"/>
        </w:trPr>
        <w:tc>
          <w:tcPr>
            <w:tcW w:w="4962" w:type="dxa"/>
            <w:tcBorders>
              <w:top w:val="nil"/>
              <w:left w:val="nil"/>
              <w:bottom w:val="nil"/>
              <w:right w:val="nil"/>
            </w:tcBorders>
            <w:noWrap/>
            <w:vAlign w:val="center"/>
          </w:tcPr>
          <w:p w14:paraId="4FE4E098" w14:textId="77777777" w:rsidR="001B315C" w:rsidRPr="00721663" w:rsidRDefault="001B315C" w:rsidP="001B315C">
            <w:pPr>
              <w:jc w:val="left"/>
              <w:rPr>
                <w:rFonts w:ascii="Arial" w:eastAsia="Arial Unicode MS" w:hAnsi="Arial" w:cs="Arial"/>
                <w:sz w:val="18"/>
                <w:szCs w:val="18"/>
                <w:lang w:val="bg-BG"/>
              </w:rPr>
            </w:pPr>
            <w:r w:rsidRPr="00721663">
              <w:rPr>
                <w:rFonts w:ascii="Arial" w:eastAsia="Arial Unicode MS" w:hAnsi="Arial" w:cs="Arial"/>
                <w:sz w:val="18"/>
                <w:szCs w:val="18"/>
                <w:lang w:val="bg-BG"/>
              </w:rPr>
              <w:t>Застрахователни услуги</w:t>
            </w:r>
          </w:p>
        </w:tc>
        <w:tc>
          <w:tcPr>
            <w:tcW w:w="1701" w:type="dxa"/>
            <w:tcBorders>
              <w:top w:val="nil"/>
              <w:left w:val="nil"/>
              <w:right w:val="nil"/>
            </w:tcBorders>
          </w:tcPr>
          <w:p w14:paraId="1A89069B" w14:textId="073FB14C" w:rsidR="001B315C" w:rsidRPr="00721663" w:rsidRDefault="001B315C" w:rsidP="001B315C">
            <w:pPr>
              <w:ind w:right="127"/>
              <w:jc w:val="right"/>
              <w:rPr>
                <w:rFonts w:ascii="Arial" w:hAnsi="Arial" w:cs="Arial"/>
                <w:sz w:val="18"/>
                <w:szCs w:val="18"/>
                <w:lang w:val="bg-BG"/>
              </w:rPr>
            </w:pPr>
            <w:r>
              <w:rPr>
                <w:rFonts w:ascii="Arial" w:hAnsi="Arial" w:cs="Arial"/>
                <w:sz w:val="18"/>
                <w:szCs w:val="18"/>
                <w:lang w:val="en-GB" w:eastAsia="bg-BG"/>
              </w:rPr>
              <w:t>(33)</w:t>
            </w:r>
          </w:p>
        </w:tc>
        <w:tc>
          <w:tcPr>
            <w:tcW w:w="141" w:type="dxa"/>
            <w:tcBorders>
              <w:top w:val="nil"/>
              <w:left w:val="nil"/>
              <w:right w:val="nil"/>
            </w:tcBorders>
          </w:tcPr>
          <w:p w14:paraId="15CF248E" w14:textId="77777777" w:rsidR="001B315C" w:rsidRPr="00721663" w:rsidRDefault="001B315C" w:rsidP="001B315C">
            <w:pPr>
              <w:ind w:right="127"/>
              <w:jc w:val="right"/>
              <w:rPr>
                <w:rFonts w:ascii="Arial" w:hAnsi="Arial" w:cs="Arial"/>
                <w:sz w:val="18"/>
                <w:szCs w:val="18"/>
                <w:lang w:val="bg-BG"/>
              </w:rPr>
            </w:pPr>
          </w:p>
        </w:tc>
        <w:tc>
          <w:tcPr>
            <w:tcW w:w="1560" w:type="dxa"/>
            <w:tcBorders>
              <w:top w:val="nil"/>
              <w:left w:val="nil"/>
              <w:right w:val="nil"/>
            </w:tcBorders>
          </w:tcPr>
          <w:p w14:paraId="46BA108F" w14:textId="495FCEE4" w:rsidR="001B315C" w:rsidRPr="00721663" w:rsidRDefault="001B315C" w:rsidP="001B315C">
            <w:pPr>
              <w:ind w:right="127"/>
              <w:jc w:val="right"/>
              <w:rPr>
                <w:rFonts w:ascii="Arial" w:hAnsi="Arial" w:cs="Arial"/>
                <w:sz w:val="18"/>
                <w:szCs w:val="18"/>
                <w:lang w:val="bg-BG"/>
              </w:rPr>
            </w:pPr>
            <w:r>
              <w:rPr>
                <w:rFonts w:ascii="Arial" w:hAnsi="Arial" w:cs="Arial"/>
                <w:sz w:val="18"/>
                <w:szCs w:val="18"/>
                <w:lang w:val="en-GB" w:eastAsia="bg-BG"/>
              </w:rPr>
              <w:t>(42)</w:t>
            </w:r>
          </w:p>
        </w:tc>
      </w:tr>
      <w:tr w:rsidR="001B315C" w:rsidRPr="00721663" w14:paraId="7476D419" w14:textId="77777777" w:rsidTr="00017A0C">
        <w:trPr>
          <w:trHeight w:hRule="exact" w:val="284"/>
        </w:trPr>
        <w:tc>
          <w:tcPr>
            <w:tcW w:w="4962" w:type="dxa"/>
            <w:tcBorders>
              <w:top w:val="nil"/>
              <w:left w:val="nil"/>
              <w:bottom w:val="nil"/>
              <w:right w:val="nil"/>
            </w:tcBorders>
            <w:noWrap/>
            <w:vAlign w:val="center"/>
          </w:tcPr>
          <w:p w14:paraId="6579763F" w14:textId="77777777" w:rsidR="001B315C" w:rsidRPr="00721663" w:rsidRDefault="001B315C" w:rsidP="001B315C">
            <w:pPr>
              <w:jc w:val="left"/>
              <w:rPr>
                <w:rFonts w:ascii="Arial" w:eastAsia="Arial Unicode MS" w:hAnsi="Arial" w:cs="Arial"/>
                <w:sz w:val="18"/>
                <w:szCs w:val="18"/>
                <w:lang w:val="bg-BG"/>
              </w:rPr>
            </w:pPr>
            <w:r w:rsidRPr="00721663">
              <w:rPr>
                <w:rFonts w:ascii="Arial" w:eastAsia="Arial Unicode MS" w:hAnsi="Arial" w:cs="Arial"/>
                <w:sz w:val="18"/>
                <w:szCs w:val="18"/>
                <w:lang w:val="bg-BG"/>
              </w:rPr>
              <w:t>Такса достъп до електроразпределителна мрежа</w:t>
            </w:r>
          </w:p>
        </w:tc>
        <w:tc>
          <w:tcPr>
            <w:tcW w:w="1701" w:type="dxa"/>
            <w:tcBorders>
              <w:top w:val="nil"/>
              <w:left w:val="nil"/>
              <w:right w:val="nil"/>
            </w:tcBorders>
          </w:tcPr>
          <w:p w14:paraId="7FBA4B0A" w14:textId="00A89235" w:rsidR="001B315C" w:rsidRPr="00721663" w:rsidRDefault="001B315C" w:rsidP="001B315C">
            <w:pPr>
              <w:ind w:right="127"/>
              <w:jc w:val="right"/>
              <w:rPr>
                <w:rFonts w:ascii="Arial" w:hAnsi="Arial" w:cs="Arial"/>
                <w:sz w:val="18"/>
                <w:szCs w:val="18"/>
                <w:lang w:val="bg-BG"/>
              </w:rPr>
            </w:pPr>
            <w:r>
              <w:rPr>
                <w:rFonts w:ascii="Arial" w:hAnsi="Arial" w:cs="Arial"/>
                <w:sz w:val="18"/>
                <w:szCs w:val="18"/>
                <w:lang w:val="en-GB" w:eastAsia="bg-BG"/>
              </w:rPr>
              <w:t>(73)</w:t>
            </w:r>
          </w:p>
        </w:tc>
        <w:tc>
          <w:tcPr>
            <w:tcW w:w="141" w:type="dxa"/>
            <w:tcBorders>
              <w:top w:val="nil"/>
              <w:left w:val="nil"/>
              <w:right w:val="nil"/>
            </w:tcBorders>
          </w:tcPr>
          <w:p w14:paraId="28DDBE03" w14:textId="77777777" w:rsidR="001B315C" w:rsidRPr="00721663" w:rsidRDefault="001B315C" w:rsidP="001B315C">
            <w:pPr>
              <w:ind w:right="127"/>
              <w:jc w:val="right"/>
              <w:rPr>
                <w:rFonts w:ascii="Arial" w:hAnsi="Arial" w:cs="Arial"/>
                <w:sz w:val="18"/>
                <w:szCs w:val="18"/>
                <w:lang w:val="bg-BG"/>
              </w:rPr>
            </w:pPr>
          </w:p>
        </w:tc>
        <w:tc>
          <w:tcPr>
            <w:tcW w:w="1560" w:type="dxa"/>
            <w:tcBorders>
              <w:top w:val="nil"/>
              <w:left w:val="nil"/>
              <w:right w:val="nil"/>
            </w:tcBorders>
          </w:tcPr>
          <w:p w14:paraId="5DCF4AD6" w14:textId="6A587442" w:rsidR="001B315C" w:rsidRPr="00721663" w:rsidRDefault="001B315C" w:rsidP="001B315C">
            <w:pPr>
              <w:ind w:right="127"/>
              <w:jc w:val="right"/>
              <w:rPr>
                <w:rFonts w:ascii="Arial" w:hAnsi="Arial" w:cs="Arial"/>
                <w:sz w:val="18"/>
                <w:szCs w:val="18"/>
                <w:lang w:val="bg-BG"/>
              </w:rPr>
            </w:pPr>
            <w:r>
              <w:rPr>
                <w:rFonts w:ascii="Arial" w:hAnsi="Arial" w:cs="Arial"/>
                <w:sz w:val="18"/>
                <w:szCs w:val="18"/>
                <w:lang w:val="en-GB" w:eastAsia="bg-BG"/>
              </w:rPr>
              <w:t>(71)</w:t>
            </w:r>
          </w:p>
        </w:tc>
      </w:tr>
      <w:tr w:rsidR="001B315C" w:rsidRPr="00721663" w14:paraId="1CA4C116" w14:textId="77777777" w:rsidTr="00017A0C">
        <w:trPr>
          <w:trHeight w:hRule="exact" w:val="284"/>
        </w:trPr>
        <w:tc>
          <w:tcPr>
            <w:tcW w:w="4962" w:type="dxa"/>
            <w:tcBorders>
              <w:top w:val="nil"/>
              <w:left w:val="nil"/>
              <w:bottom w:val="nil"/>
              <w:right w:val="nil"/>
            </w:tcBorders>
            <w:noWrap/>
            <w:vAlign w:val="center"/>
          </w:tcPr>
          <w:p w14:paraId="0DB3B38E" w14:textId="77777777" w:rsidR="001B315C" w:rsidRPr="00721663" w:rsidRDefault="001B315C" w:rsidP="001B315C">
            <w:pPr>
              <w:jc w:val="left"/>
              <w:rPr>
                <w:rFonts w:ascii="Arial" w:eastAsia="Arial Unicode MS" w:hAnsi="Arial" w:cs="Arial"/>
                <w:sz w:val="18"/>
                <w:szCs w:val="18"/>
                <w:lang w:val="bg-BG"/>
              </w:rPr>
            </w:pPr>
            <w:r w:rsidRPr="00721663">
              <w:rPr>
                <w:rFonts w:ascii="Arial" w:eastAsia="Arial Unicode MS" w:hAnsi="Arial" w:cs="Arial"/>
                <w:sz w:val="18"/>
                <w:szCs w:val="18"/>
                <w:lang w:val="bg-BG"/>
              </w:rPr>
              <w:t xml:space="preserve">Разходи </w:t>
            </w:r>
            <w:r w:rsidRPr="006F0D5E">
              <w:rPr>
                <w:rFonts w:ascii="Arial" w:eastAsia="Arial Unicode MS" w:hAnsi="Arial" w:cs="Arial"/>
                <w:sz w:val="18"/>
                <w:szCs w:val="18"/>
                <w:lang w:val="bg-BG"/>
              </w:rPr>
              <w:t>за наем</w:t>
            </w:r>
            <w:r w:rsidRPr="00721663">
              <w:rPr>
                <w:rFonts w:ascii="Arial" w:eastAsia="Arial Unicode MS" w:hAnsi="Arial" w:cs="Arial"/>
                <w:sz w:val="18"/>
                <w:szCs w:val="18"/>
                <w:lang w:val="bg-BG"/>
              </w:rPr>
              <w:t xml:space="preserve"> на офис</w:t>
            </w:r>
          </w:p>
        </w:tc>
        <w:tc>
          <w:tcPr>
            <w:tcW w:w="1701" w:type="dxa"/>
            <w:tcBorders>
              <w:top w:val="nil"/>
              <w:left w:val="nil"/>
              <w:right w:val="nil"/>
            </w:tcBorders>
          </w:tcPr>
          <w:p w14:paraId="41FBF46D" w14:textId="2CE9F136" w:rsidR="001B315C" w:rsidRPr="00721663" w:rsidRDefault="001B315C" w:rsidP="001B315C">
            <w:pPr>
              <w:ind w:right="127"/>
              <w:jc w:val="right"/>
              <w:rPr>
                <w:rFonts w:ascii="Arial" w:hAnsi="Arial" w:cs="Arial"/>
                <w:sz w:val="18"/>
                <w:szCs w:val="18"/>
                <w:lang w:val="bg-BG"/>
              </w:rPr>
            </w:pPr>
            <w:r>
              <w:rPr>
                <w:rFonts w:ascii="Arial" w:hAnsi="Arial" w:cs="Arial"/>
                <w:sz w:val="18"/>
                <w:szCs w:val="18"/>
                <w:lang w:val="en-GB" w:eastAsia="bg-BG"/>
              </w:rPr>
              <w:t>-</w:t>
            </w:r>
          </w:p>
        </w:tc>
        <w:tc>
          <w:tcPr>
            <w:tcW w:w="141" w:type="dxa"/>
            <w:tcBorders>
              <w:top w:val="nil"/>
              <w:left w:val="nil"/>
              <w:right w:val="nil"/>
            </w:tcBorders>
          </w:tcPr>
          <w:p w14:paraId="79DCC905" w14:textId="77777777" w:rsidR="001B315C" w:rsidRPr="00721663" w:rsidRDefault="001B315C" w:rsidP="001B315C">
            <w:pPr>
              <w:ind w:right="127"/>
              <w:jc w:val="right"/>
              <w:rPr>
                <w:rFonts w:ascii="Arial" w:hAnsi="Arial" w:cs="Arial"/>
                <w:sz w:val="18"/>
                <w:szCs w:val="18"/>
                <w:lang w:val="bg-BG"/>
              </w:rPr>
            </w:pPr>
          </w:p>
        </w:tc>
        <w:tc>
          <w:tcPr>
            <w:tcW w:w="1560" w:type="dxa"/>
            <w:tcBorders>
              <w:top w:val="nil"/>
              <w:left w:val="nil"/>
              <w:right w:val="nil"/>
            </w:tcBorders>
          </w:tcPr>
          <w:p w14:paraId="2618B356" w14:textId="528934D0" w:rsidR="001B315C" w:rsidRPr="00721663" w:rsidRDefault="001B315C" w:rsidP="001B315C">
            <w:pPr>
              <w:ind w:right="127"/>
              <w:jc w:val="right"/>
              <w:rPr>
                <w:rFonts w:ascii="Arial" w:hAnsi="Arial" w:cs="Arial"/>
                <w:sz w:val="18"/>
                <w:szCs w:val="18"/>
                <w:lang w:val="bg-BG"/>
              </w:rPr>
            </w:pPr>
            <w:r>
              <w:rPr>
                <w:rFonts w:ascii="Arial" w:hAnsi="Arial" w:cs="Arial"/>
                <w:sz w:val="18"/>
                <w:szCs w:val="18"/>
                <w:lang w:val="en-GB" w:eastAsia="bg-BG"/>
              </w:rPr>
              <w:t>(5)</w:t>
            </w:r>
          </w:p>
        </w:tc>
      </w:tr>
      <w:tr w:rsidR="001B315C" w:rsidRPr="00721663" w14:paraId="1B79BDF4" w14:textId="77777777" w:rsidTr="00017A0C">
        <w:trPr>
          <w:trHeight w:hRule="exact" w:val="284"/>
        </w:trPr>
        <w:tc>
          <w:tcPr>
            <w:tcW w:w="4962" w:type="dxa"/>
            <w:tcBorders>
              <w:top w:val="nil"/>
              <w:left w:val="nil"/>
              <w:bottom w:val="nil"/>
              <w:right w:val="nil"/>
            </w:tcBorders>
            <w:noWrap/>
            <w:vAlign w:val="center"/>
          </w:tcPr>
          <w:p w14:paraId="77903079" w14:textId="77777777" w:rsidR="001B315C" w:rsidRPr="00721663" w:rsidRDefault="001B315C" w:rsidP="001B315C">
            <w:pPr>
              <w:jc w:val="left"/>
              <w:rPr>
                <w:rFonts w:ascii="Arial" w:eastAsia="Arial Unicode MS" w:hAnsi="Arial" w:cs="Arial"/>
                <w:sz w:val="18"/>
                <w:szCs w:val="18"/>
                <w:lang w:val="bg-BG"/>
              </w:rPr>
            </w:pPr>
            <w:r w:rsidRPr="00721663">
              <w:rPr>
                <w:rFonts w:ascii="Arial" w:eastAsia="Arial Unicode MS" w:hAnsi="Arial" w:cs="Arial"/>
                <w:sz w:val="18"/>
                <w:szCs w:val="18"/>
                <w:lang w:val="bg-BG"/>
              </w:rPr>
              <w:t>Телефонни и интернет услуги</w:t>
            </w:r>
          </w:p>
        </w:tc>
        <w:tc>
          <w:tcPr>
            <w:tcW w:w="1701" w:type="dxa"/>
            <w:tcBorders>
              <w:top w:val="nil"/>
              <w:left w:val="nil"/>
              <w:right w:val="nil"/>
            </w:tcBorders>
          </w:tcPr>
          <w:p w14:paraId="71A076BC" w14:textId="6649995B" w:rsidR="001B315C" w:rsidRPr="00721663" w:rsidRDefault="001B315C" w:rsidP="001B315C">
            <w:pPr>
              <w:ind w:right="127"/>
              <w:jc w:val="right"/>
              <w:rPr>
                <w:rFonts w:ascii="Arial" w:hAnsi="Arial" w:cs="Arial"/>
                <w:sz w:val="18"/>
                <w:szCs w:val="18"/>
                <w:lang w:val="bg-BG"/>
              </w:rPr>
            </w:pPr>
            <w:r>
              <w:rPr>
                <w:rFonts w:ascii="Arial" w:hAnsi="Arial" w:cs="Arial"/>
                <w:sz w:val="18"/>
                <w:szCs w:val="18"/>
                <w:lang w:val="en-GB" w:eastAsia="bg-BG"/>
              </w:rPr>
              <w:t>(3)</w:t>
            </w:r>
          </w:p>
        </w:tc>
        <w:tc>
          <w:tcPr>
            <w:tcW w:w="141" w:type="dxa"/>
            <w:tcBorders>
              <w:top w:val="nil"/>
              <w:left w:val="nil"/>
              <w:right w:val="nil"/>
            </w:tcBorders>
          </w:tcPr>
          <w:p w14:paraId="33F7EFFA" w14:textId="77777777" w:rsidR="001B315C" w:rsidRPr="00721663" w:rsidRDefault="001B315C" w:rsidP="001B315C">
            <w:pPr>
              <w:ind w:right="127"/>
              <w:jc w:val="right"/>
              <w:rPr>
                <w:rFonts w:ascii="Arial" w:hAnsi="Arial" w:cs="Arial"/>
                <w:sz w:val="18"/>
                <w:szCs w:val="18"/>
                <w:lang w:val="bg-BG"/>
              </w:rPr>
            </w:pPr>
          </w:p>
        </w:tc>
        <w:tc>
          <w:tcPr>
            <w:tcW w:w="1560" w:type="dxa"/>
            <w:tcBorders>
              <w:top w:val="nil"/>
              <w:left w:val="nil"/>
              <w:right w:val="nil"/>
            </w:tcBorders>
          </w:tcPr>
          <w:p w14:paraId="49BE1007" w14:textId="34AE7445" w:rsidR="001B315C" w:rsidRPr="00721663" w:rsidRDefault="001B315C" w:rsidP="001B315C">
            <w:pPr>
              <w:ind w:right="127"/>
              <w:jc w:val="right"/>
              <w:rPr>
                <w:rFonts w:ascii="Arial" w:hAnsi="Arial" w:cs="Arial"/>
                <w:sz w:val="18"/>
                <w:szCs w:val="18"/>
                <w:lang w:val="bg-BG"/>
              </w:rPr>
            </w:pPr>
            <w:r>
              <w:rPr>
                <w:rFonts w:ascii="Arial" w:hAnsi="Arial" w:cs="Arial"/>
                <w:sz w:val="18"/>
                <w:szCs w:val="18"/>
                <w:lang w:val="en-GB" w:eastAsia="bg-BG"/>
              </w:rPr>
              <w:t>(3)</w:t>
            </w:r>
          </w:p>
        </w:tc>
      </w:tr>
      <w:tr w:rsidR="001B315C" w:rsidRPr="00721663" w14:paraId="79203CA6" w14:textId="77777777" w:rsidTr="00017A0C">
        <w:trPr>
          <w:trHeight w:hRule="exact" w:val="284"/>
        </w:trPr>
        <w:tc>
          <w:tcPr>
            <w:tcW w:w="4962" w:type="dxa"/>
            <w:tcBorders>
              <w:top w:val="nil"/>
              <w:left w:val="nil"/>
              <w:bottom w:val="nil"/>
              <w:right w:val="nil"/>
            </w:tcBorders>
            <w:noWrap/>
            <w:vAlign w:val="center"/>
          </w:tcPr>
          <w:p w14:paraId="26FF476B" w14:textId="77777777" w:rsidR="001B315C" w:rsidRPr="00721663" w:rsidRDefault="001B315C" w:rsidP="001B315C">
            <w:pPr>
              <w:jc w:val="left"/>
              <w:rPr>
                <w:rFonts w:ascii="Arial" w:eastAsia="Arial Unicode MS" w:hAnsi="Arial" w:cs="Arial"/>
                <w:sz w:val="18"/>
                <w:szCs w:val="18"/>
                <w:lang w:val="bg-BG"/>
              </w:rPr>
            </w:pPr>
            <w:r w:rsidRPr="00721663">
              <w:rPr>
                <w:rFonts w:ascii="Arial" w:eastAsia="Arial Unicode MS" w:hAnsi="Arial" w:cs="Arial"/>
                <w:sz w:val="18"/>
                <w:szCs w:val="18"/>
                <w:lang w:val="bg-BG"/>
              </w:rPr>
              <w:t>Куриерски услуги</w:t>
            </w:r>
          </w:p>
        </w:tc>
        <w:tc>
          <w:tcPr>
            <w:tcW w:w="1701" w:type="dxa"/>
            <w:tcBorders>
              <w:top w:val="nil"/>
              <w:left w:val="nil"/>
              <w:right w:val="nil"/>
            </w:tcBorders>
          </w:tcPr>
          <w:p w14:paraId="2A639AAE" w14:textId="19840C82" w:rsidR="001B315C" w:rsidRPr="00721663" w:rsidRDefault="001B315C" w:rsidP="001B315C">
            <w:pPr>
              <w:ind w:right="127"/>
              <w:jc w:val="right"/>
              <w:rPr>
                <w:rFonts w:ascii="Arial" w:hAnsi="Arial" w:cs="Arial"/>
                <w:sz w:val="18"/>
                <w:szCs w:val="18"/>
                <w:lang w:val="bg-BG"/>
              </w:rPr>
            </w:pPr>
            <w:r>
              <w:rPr>
                <w:rFonts w:ascii="Arial" w:hAnsi="Arial" w:cs="Arial"/>
                <w:sz w:val="18"/>
                <w:szCs w:val="18"/>
                <w:lang w:val="en-GB" w:eastAsia="bg-BG"/>
              </w:rPr>
              <w:t>(1)</w:t>
            </w:r>
          </w:p>
        </w:tc>
        <w:tc>
          <w:tcPr>
            <w:tcW w:w="141" w:type="dxa"/>
            <w:tcBorders>
              <w:top w:val="nil"/>
              <w:left w:val="nil"/>
              <w:right w:val="nil"/>
            </w:tcBorders>
          </w:tcPr>
          <w:p w14:paraId="4A31D1A3" w14:textId="77777777" w:rsidR="001B315C" w:rsidRPr="00721663" w:rsidRDefault="001B315C" w:rsidP="001B315C">
            <w:pPr>
              <w:ind w:right="127"/>
              <w:jc w:val="right"/>
              <w:rPr>
                <w:rFonts w:ascii="Arial" w:hAnsi="Arial" w:cs="Arial"/>
                <w:sz w:val="18"/>
                <w:szCs w:val="18"/>
                <w:lang w:val="bg-BG"/>
              </w:rPr>
            </w:pPr>
          </w:p>
        </w:tc>
        <w:tc>
          <w:tcPr>
            <w:tcW w:w="1560" w:type="dxa"/>
            <w:tcBorders>
              <w:top w:val="nil"/>
              <w:left w:val="nil"/>
              <w:right w:val="nil"/>
            </w:tcBorders>
          </w:tcPr>
          <w:p w14:paraId="74443E8A" w14:textId="3527B938" w:rsidR="001B315C" w:rsidRPr="00721663" w:rsidRDefault="001B315C" w:rsidP="001B315C">
            <w:pPr>
              <w:ind w:right="127"/>
              <w:jc w:val="right"/>
              <w:rPr>
                <w:rFonts w:ascii="Arial" w:hAnsi="Arial" w:cs="Arial"/>
                <w:sz w:val="18"/>
                <w:szCs w:val="18"/>
                <w:lang w:val="bg-BG"/>
              </w:rPr>
            </w:pPr>
            <w:r>
              <w:rPr>
                <w:rFonts w:ascii="Arial" w:hAnsi="Arial" w:cs="Arial"/>
                <w:sz w:val="18"/>
                <w:szCs w:val="18"/>
                <w:lang w:val="en-GB" w:eastAsia="bg-BG"/>
              </w:rPr>
              <w:t>(1)</w:t>
            </w:r>
          </w:p>
        </w:tc>
      </w:tr>
      <w:tr w:rsidR="001B315C" w:rsidRPr="00721663" w14:paraId="03F4922E" w14:textId="77777777" w:rsidTr="00017A0C">
        <w:trPr>
          <w:trHeight w:hRule="exact" w:val="284"/>
        </w:trPr>
        <w:tc>
          <w:tcPr>
            <w:tcW w:w="4962" w:type="dxa"/>
            <w:tcBorders>
              <w:top w:val="nil"/>
              <w:left w:val="nil"/>
              <w:bottom w:val="nil"/>
              <w:right w:val="nil"/>
            </w:tcBorders>
            <w:noWrap/>
            <w:vAlign w:val="center"/>
          </w:tcPr>
          <w:p w14:paraId="64C3AAB5" w14:textId="77777777" w:rsidR="001B315C" w:rsidRPr="00721663" w:rsidRDefault="001B315C" w:rsidP="001B315C">
            <w:pPr>
              <w:jc w:val="left"/>
              <w:rPr>
                <w:rFonts w:ascii="Arial" w:eastAsia="Arial Unicode MS" w:hAnsi="Arial" w:cs="Arial"/>
                <w:sz w:val="18"/>
                <w:szCs w:val="18"/>
                <w:lang w:val="bg-BG"/>
              </w:rPr>
            </w:pPr>
            <w:r w:rsidRPr="00721663">
              <w:rPr>
                <w:rFonts w:ascii="Arial" w:eastAsia="Arial Unicode MS" w:hAnsi="Arial" w:cs="Arial"/>
                <w:sz w:val="18"/>
                <w:szCs w:val="18"/>
                <w:lang w:val="bg-BG"/>
              </w:rPr>
              <w:t>Други услуги</w:t>
            </w:r>
          </w:p>
        </w:tc>
        <w:tc>
          <w:tcPr>
            <w:tcW w:w="1701" w:type="dxa"/>
            <w:tcBorders>
              <w:top w:val="nil"/>
              <w:left w:val="nil"/>
              <w:bottom w:val="single" w:sz="4" w:space="0" w:color="auto"/>
              <w:right w:val="nil"/>
            </w:tcBorders>
          </w:tcPr>
          <w:p w14:paraId="4178CC14" w14:textId="30431E0F" w:rsidR="001B315C" w:rsidRPr="00721663" w:rsidRDefault="001B315C" w:rsidP="001B315C">
            <w:pPr>
              <w:ind w:right="127"/>
              <w:jc w:val="right"/>
              <w:rPr>
                <w:rFonts w:ascii="Arial" w:hAnsi="Arial" w:cs="Arial"/>
                <w:sz w:val="18"/>
                <w:szCs w:val="18"/>
                <w:lang w:val="bg-BG"/>
              </w:rPr>
            </w:pPr>
            <w:r>
              <w:rPr>
                <w:rFonts w:ascii="Arial" w:hAnsi="Arial" w:cs="Arial"/>
                <w:sz w:val="18"/>
                <w:szCs w:val="18"/>
                <w:lang w:val="en-GB" w:eastAsia="bg-BG"/>
              </w:rPr>
              <w:t>(2)</w:t>
            </w:r>
          </w:p>
        </w:tc>
        <w:tc>
          <w:tcPr>
            <w:tcW w:w="141" w:type="dxa"/>
            <w:tcBorders>
              <w:top w:val="nil"/>
              <w:left w:val="nil"/>
              <w:right w:val="nil"/>
            </w:tcBorders>
          </w:tcPr>
          <w:p w14:paraId="5239EB70" w14:textId="77777777" w:rsidR="001B315C" w:rsidRPr="00721663" w:rsidRDefault="001B315C" w:rsidP="001B315C">
            <w:pPr>
              <w:ind w:right="127"/>
              <w:jc w:val="right"/>
              <w:rPr>
                <w:rFonts w:ascii="Arial" w:hAnsi="Arial" w:cs="Arial"/>
                <w:sz w:val="18"/>
                <w:szCs w:val="18"/>
                <w:lang w:val="bg-BG"/>
              </w:rPr>
            </w:pPr>
          </w:p>
        </w:tc>
        <w:tc>
          <w:tcPr>
            <w:tcW w:w="1560" w:type="dxa"/>
            <w:tcBorders>
              <w:top w:val="nil"/>
              <w:left w:val="nil"/>
              <w:bottom w:val="single" w:sz="4" w:space="0" w:color="auto"/>
              <w:right w:val="nil"/>
            </w:tcBorders>
          </w:tcPr>
          <w:p w14:paraId="130A0F2B" w14:textId="7CE3FC70" w:rsidR="001B315C" w:rsidRPr="00721663" w:rsidRDefault="001B315C" w:rsidP="001B315C">
            <w:pPr>
              <w:ind w:right="127"/>
              <w:jc w:val="right"/>
              <w:rPr>
                <w:rFonts w:ascii="Arial" w:hAnsi="Arial" w:cs="Arial"/>
                <w:sz w:val="18"/>
                <w:szCs w:val="18"/>
                <w:lang w:val="bg-BG"/>
              </w:rPr>
            </w:pPr>
            <w:r>
              <w:rPr>
                <w:rFonts w:ascii="Arial" w:hAnsi="Arial" w:cs="Arial"/>
                <w:sz w:val="18"/>
                <w:szCs w:val="18"/>
                <w:lang w:val="en-GB" w:eastAsia="bg-BG"/>
              </w:rPr>
              <w:t>(1)</w:t>
            </w:r>
          </w:p>
        </w:tc>
      </w:tr>
      <w:tr w:rsidR="001B315C" w:rsidRPr="00721663" w14:paraId="08F15A6A" w14:textId="77777777" w:rsidTr="00017A0C">
        <w:trPr>
          <w:trHeight w:hRule="exact" w:val="284"/>
        </w:trPr>
        <w:tc>
          <w:tcPr>
            <w:tcW w:w="4962" w:type="dxa"/>
            <w:tcBorders>
              <w:left w:val="nil"/>
              <w:bottom w:val="nil"/>
              <w:right w:val="nil"/>
            </w:tcBorders>
            <w:noWrap/>
            <w:vAlign w:val="center"/>
          </w:tcPr>
          <w:p w14:paraId="5898B2F8" w14:textId="77777777" w:rsidR="001B315C" w:rsidRPr="00721663" w:rsidRDefault="001B315C" w:rsidP="001B315C">
            <w:pPr>
              <w:pStyle w:val="head"/>
              <w:jc w:val="left"/>
              <w:rPr>
                <w:rFonts w:eastAsia="Arial Unicode MS" w:cs="Arial"/>
                <w:b w:val="0"/>
                <w:sz w:val="18"/>
                <w:szCs w:val="18"/>
                <w:lang w:val="bg-BG"/>
              </w:rPr>
            </w:pPr>
          </w:p>
        </w:tc>
        <w:tc>
          <w:tcPr>
            <w:tcW w:w="1701" w:type="dxa"/>
            <w:tcBorders>
              <w:left w:val="nil"/>
              <w:bottom w:val="double" w:sz="4" w:space="0" w:color="auto"/>
              <w:right w:val="nil"/>
            </w:tcBorders>
          </w:tcPr>
          <w:p w14:paraId="7516C023" w14:textId="7D79A3D1" w:rsidR="001B315C" w:rsidRPr="00721663" w:rsidRDefault="001B315C" w:rsidP="001B315C">
            <w:pPr>
              <w:ind w:right="127"/>
              <w:jc w:val="right"/>
              <w:rPr>
                <w:rFonts w:ascii="Arial" w:eastAsia="Arial Unicode MS" w:hAnsi="Arial" w:cs="Arial"/>
                <w:b/>
                <w:sz w:val="18"/>
                <w:szCs w:val="18"/>
                <w:lang w:val="bg-BG"/>
              </w:rPr>
            </w:pPr>
            <w:r>
              <w:rPr>
                <w:rFonts w:ascii="Arial" w:eastAsia="Arial Unicode MS" w:hAnsi="Arial" w:cs="Arial"/>
                <w:b/>
                <w:sz w:val="18"/>
                <w:szCs w:val="18"/>
                <w:lang w:val="en-GB" w:eastAsia="bg-BG"/>
              </w:rPr>
              <w:t>(328)</w:t>
            </w:r>
          </w:p>
        </w:tc>
        <w:tc>
          <w:tcPr>
            <w:tcW w:w="141" w:type="dxa"/>
            <w:tcBorders>
              <w:left w:val="nil"/>
              <w:right w:val="nil"/>
            </w:tcBorders>
          </w:tcPr>
          <w:p w14:paraId="04D5FC13" w14:textId="77777777" w:rsidR="001B315C" w:rsidRPr="00721663" w:rsidRDefault="001B315C" w:rsidP="001B315C">
            <w:pPr>
              <w:ind w:right="127"/>
              <w:jc w:val="right"/>
              <w:rPr>
                <w:rFonts w:ascii="Arial" w:eastAsia="Arial Unicode MS" w:hAnsi="Arial" w:cs="Arial"/>
                <w:b/>
                <w:sz w:val="18"/>
                <w:szCs w:val="18"/>
                <w:lang w:val="bg-BG"/>
              </w:rPr>
            </w:pPr>
          </w:p>
        </w:tc>
        <w:tc>
          <w:tcPr>
            <w:tcW w:w="1560" w:type="dxa"/>
            <w:tcBorders>
              <w:left w:val="nil"/>
              <w:bottom w:val="double" w:sz="4" w:space="0" w:color="auto"/>
              <w:right w:val="nil"/>
            </w:tcBorders>
          </w:tcPr>
          <w:p w14:paraId="20341409" w14:textId="79F0CE2F" w:rsidR="001B315C" w:rsidRPr="00721663" w:rsidRDefault="001B315C" w:rsidP="001B315C">
            <w:pPr>
              <w:ind w:right="127"/>
              <w:jc w:val="right"/>
              <w:rPr>
                <w:rFonts w:ascii="Arial" w:eastAsia="Arial Unicode MS" w:hAnsi="Arial" w:cs="Arial"/>
                <w:b/>
                <w:sz w:val="18"/>
                <w:szCs w:val="18"/>
                <w:lang w:val="bg-BG"/>
              </w:rPr>
            </w:pPr>
            <w:r>
              <w:rPr>
                <w:rFonts w:ascii="Arial" w:eastAsia="Arial Unicode MS" w:hAnsi="Arial" w:cs="Arial"/>
                <w:b/>
                <w:sz w:val="18"/>
                <w:szCs w:val="18"/>
                <w:lang w:val="en-GB" w:eastAsia="bg-BG"/>
              </w:rPr>
              <w:t>(369)</w:t>
            </w:r>
          </w:p>
        </w:tc>
      </w:tr>
      <w:bookmarkEnd w:id="28"/>
    </w:tbl>
    <w:p w14:paraId="362F311A" w14:textId="77777777" w:rsidR="00017A0C" w:rsidRDefault="00017A0C" w:rsidP="001B315C">
      <w:pPr>
        <w:rPr>
          <w:rFonts w:ascii="Arial" w:hAnsi="Arial" w:cs="Arial"/>
          <w:b/>
        </w:rPr>
      </w:pPr>
    </w:p>
    <w:p w14:paraId="59F10034" w14:textId="0DA1AA81" w:rsidR="001B315C" w:rsidRPr="001B315C" w:rsidRDefault="001B315C" w:rsidP="001B315C">
      <w:pPr>
        <w:rPr>
          <w:rFonts w:ascii="Arial" w:hAnsi="Arial" w:cs="Arial"/>
          <w:b/>
        </w:rPr>
      </w:pPr>
      <w:r w:rsidRPr="001B315C">
        <w:rPr>
          <w:rFonts w:ascii="Arial" w:hAnsi="Arial" w:cs="Arial"/>
          <w:b/>
        </w:rPr>
        <w:t xml:space="preserve">5.4. Разходи за външни услуги </w:t>
      </w:r>
      <w:r w:rsidRPr="00680E2F">
        <w:rPr>
          <w:rFonts w:ascii="Arial" w:hAnsi="Arial" w:cs="Arial"/>
          <w:b/>
          <w:i/>
        </w:rPr>
        <w:t>(продължение)</w:t>
      </w:r>
    </w:p>
    <w:p w14:paraId="34DA717D" w14:textId="2735CE00" w:rsidR="00E07C4E" w:rsidRPr="00680E2F" w:rsidRDefault="00E07C4E" w:rsidP="00680E2F">
      <w:pPr>
        <w:pStyle w:val="BodyText"/>
        <w:spacing w:before="120"/>
        <w:jc w:val="left"/>
        <w:rPr>
          <w:rFonts w:ascii="Arial" w:hAnsi="Arial" w:cs="Arial"/>
          <w:iCs/>
          <w:sz w:val="18"/>
          <w:szCs w:val="18"/>
          <w:lang w:val="bg-BG"/>
        </w:rPr>
      </w:pPr>
      <w:r w:rsidRPr="00721663">
        <w:rPr>
          <w:rFonts w:ascii="Arial" w:hAnsi="Arial" w:cs="Arial"/>
          <w:bCs/>
          <w:sz w:val="18"/>
          <w:szCs w:val="18"/>
          <w:lang w:val="bg-BG"/>
        </w:rPr>
        <w:t>Консултантски и други професионални услуги</w:t>
      </w:r>
      <w:r w:rsidRPr="00721663">
        <w:rPr>
          <w:rFonts w:ascii="Arial" w:hAnsi="Arial" w:cs="Arial"/>
          <w:sz w:val="18"/>
          <w:szCs w:val="18"/>
          <w:lang w:val="bg-BG"/>
        </w:rPr>
        <w:t xml:space="preserve"> включват: счетоводни услуги,</w:t>
      </w:r>
      <w:r w:rsidR="001B315C">
        <w:rPr>
          <w:rFonts w:ascii="Arial" w:hAnsi="Arial" w:cs="Arial"/>
          <w:sz w:val="18"/>
          <w:szCs w:val="18"/>
          <w:lang w:val="bg-BG"/>
        </w:rPr>
        <w:t xml:space="preserve"> одиторски услуги,</w:t>
      </w:r>
      <w:r w:rsidRPr="00721663">
        <w:rPr>
          <w:rFonts w:ascii="Arial" w:hAnsi="Arial" w:cs="Arial"/>
          <w:sz w:val="18"/>
          <w:szCs w:val="18"/>
          <w:lang w:val="bg-BG"/>
        </w:rPr>
        <w:t xml:space="preserve"> данъчни и правни консултантски услуги.</w:t>
      </w:r>
      <w:r w:rsidRPr="00721663">
        <w:rPr>
          <w:rFonts w:ascii="Arial" w:hAnsi="Arial" w:cs="Arial"/>
          <w:iCs/>
          <w:sz w:val="18"/>
          <w:szCs w:val="18"/>
          <w:lang w:val="bg-BG"/>
        </w:rPr>
        <w:t xml:space="preserve"> </w:t>
      </w:r>
      <w:r w:rsidR="001B315C">
        <w:rPr>
          <w:rFonts w:ascii="Arial" w:hAnsi="Arial" w:cs="Arial"/>
          <w:iCs/>
          <w:sz w:val="18"/>
          <w:szCs w:val="18"/>
          <w:lang w:val="bg-BG"/>
        </w:rPr>
        <w:t>Няма начисление за одиторски услуги за периода, приключващ на 30 юни 2017.</w:t>
      </w:r>
      <w:r w:rsidRPr="00721663">
        <w:rPr>
          <w:rFonts w:ascii="Arial" w:hAnsi="Arial" w:cs="Arial"/>
          <w:sz w:val="18"/>
          <w:szCs w:val="18"/>
          <w:lang w:val="bg-BG"/>
        </w:rPr>
        <w:t xml:space="preserve"> </w:t>
      </w:r>
      <w:r w:rsidR="001B315C">
        <w:rPr>
          <w:rFonts w:ascii="Arial" w:hAnsi="Arial" w:cs="Arial"/>
          <w:bCs/>
          <w:sz w:val="18"/>
          <w:szCs w:val="18"/>
          <w:lang w:val="bg-BG"/>
        </w:rPr>
        <w:t xml:space="preserve">Начислените услуги за периода, приключващ на 30 юни 2016 г., извършени от регистриран одитор, включват независим финансов одит – 15 хил. лв. </w:t>
      </w:r>
      <w:r w:rsidRPr="00721663">
        <w:rPr>
          <w:rFonts w:ascii="Arial" w:hAnsi="Arial" w:cs="Arial"/>
          <w:iCs/>
          <w:sz w:val="18"/>
          <w:szCs w:val="18"/>
          <w:lang w:val="bg-BG"/>
        </w:rPr>
        <w:t xml:space="preserve">Другите услуги включват: </w:t>
      </w:r>
      <w:r w:rsidR="001B315C">
        <w:rPr>
          <w:rFonts w:ascii="Arial" w:hAnsi="Arial" w:cs="Arial"/>
          <w:iCs/>
          <w:sz w:val="18"/>
          <w:szCs w:val="18"/>
          <w:lang w:val="bg-BG"/>
        </w:rPr>
        <w:t>абонаментни, нотариални такси и други</w:t>
      </w:r>
      <w:r w:rsidRPr="00721663">
        <w:rPr>
          <w:rFonts w:ascii="Arial" w:hAnsi="Arial" w:cs="Arial"/>
          <w:iCs/>
          <w:sz w:val="18"/>
          <w:szCs w:val="18"/>
          <w:lang w:val="bg-BG"/>
        </w:rPr>
        <w:t>.</w:t>
      </w:r>
    </w:p>
    <w:p w14:paraId="3869B0C3" w14:textId="5A0C5C17" w:rsidR="00E07C4E" w:rsidRPr="00721663" w:rsidRDefault="00E07C4E" w:rsidP="00680E2F">
      <w:pPr>
        <w:pStyle w:val="Heading1"/>
      </w:pPr>
      <w:bookmarkStart w:id="29" w:name="_Toc490647395"/>
      <w:r w:rsidRPr="00721663">
        <w:t>5.</w:t>
      </w:r>
      <w:r w:rsidR="001B315C">
        <w:t>5</w:t>
      </w:r>
      <w:r w:rsidRPr="00721663">
        <w:t>. Разходи за персонала</w:t>
      </w:r>
      <w:bookmarkEnd w:id="29"/>
    </w:p>
    <w:tbl>
      <w:tblPr>
        <w:tblW w:w="8364" w:type="dxa"/>
        <w:tblLayout w:type="fixed"/>
        <w:tblCellMar>
          <w:left w:w="0" w:type="dxa"/>
          <w:right w:w="0" w:type="dxa"/>
        </w:tblCellMar>
        <w:tblLook w:val="0000" w:firstRow="0" w:lastRow="0" w:firstColumn="0" w:lastColumn="0" w:noHBand="0" w:noVBand="0"/>
      </w:tblPr>
      <w:tblGrid>
        <w:gridCol w:w="4253"/>
        <w:gridCol w:w="709"/>
        <w:gridCol w:w="1701"/>
        <w:gridCol w:w="141"/>
        <w:gridCol w:w="1560"/>
      </w:tblGrid>
      <w:tr w:rsidR="00E07C4E" w:rsidRPr="00721663" w14:paraId="741B3343" w14:textId="77777777" w:rsidTr="00551604">
        <w:trPr>
          <w:cantSplit/>
          <w:trHeight w:val="270"/>
        </w:trPr>
        <w:tc>
          <w:tcPr>
            <w:tcW w:w="4253" w:type="dxa"/>
            <w:tcBorders>
              <w:top w:val="nil"/>
              <w:left w:val="nil"/>
              <w:right w:val="nil"/>
            </w:tcBorders>
            <w:noWrap/>
            <w:vAlign w:val="bottom"/>
          </w:tcPr>
          <w:p w14:paraId="49AEEED3" w14:textId="77777777" w:rsidR="00E07C4E" w:rsidRPr="00721663" w:rsidRDefault="00E07C4E" w:rsidP="00551604">
            <w:pPr>
              <w:jc w:val="left"/>
              <w:rPr>
                <w:rFonts w:ascii="Arial" w:eastAsia="Arial Unicode MS" w:hAnsi="Arial" w:cs="Arial"/>
                <w:szCs w:val="22"/>
                <w:lang w:val="bg-BG"/>
              </w:rPr>
            </w:pPr>
          </w:p>
        </w:tc>
        <w:tc>
          <w:tcPr>
            <w:tcW w:w="709" w:type="dxa"/>
            <w:tcBorders>
              <w:top w:val="nil"/>
              <w:left w:val="nil"/>
              <w:right w:val="nil"/>
            </w:tcBorders>
          </w:tcPr>
          <w:p w14:paraId="570CE127" w14:textId="77777777" w:rsidR="00E07C4E" w:rsidRPr="00721663" w:rsidRDefault="00E07C4E" w:rsidP="00551604">
            <w:pPr>
              <w:jc w:val="left"/>
              <w:rPr>
                <w:rFonts w:ascii="Arial" w:hAnsi="Arial" w:cs="Arial"/>
                <w:lang w:val="bg-BG"/>
              </w:rPr>
            </w:pPr>
          </w:p>
        </w:tc>
        <w:tc>
          <w:tcPr>
            <w:tcW w:w="3402" w:type="dxa"/>
            <w:gridSpan w:val="3"/>
            <w:tcBorders>
              <w:top w:val="nil"/>
              <w:left w:val="nil"/>
              <w:bottom w:val="single" w:sz="4" w:space="0" w:color="auto"/>
              <w:right w:val="nil"/>
            </w:tcBorders>
            <w:vAlign w:val="bottom"/>
          </w:tcPr>
          <w:p w14:paraId="24268078" w14:textId="77777777" w:rsidR="00E07C4E" w:rsidRPr="00721663" w:rsidRDefault="00E07C4E" w:rsidP="00551604">
            <w:pPr>
              <w:jc w:val="center"/>
              <w:rPr>
                <w:rFonts w:ascii="Arial" w:hAnsi="Arial" w:cs="Arial"/>
                <w:b/>
                <w:sz w:val="18"/>
                <w:szCs w:val="18"/>
                <w:lang w:val="bg-BG"/>
              </w:rPr>
            </w:pPr>
            <w:r w:rsidRPr="00721663">
              <w:rPr>
                <w:rFonts w:ascii="Arial" w:hAnsi="Arial" w:cs="Arial"/>
                <w:b/>
                <w:sz w:val="18"/>
                <w:szCs w:val="18"/>
                <w:lang w:val="bg-BG"/>
              </w:rPr>
              <w:t>Шестмесечен период, приключващ на</w:t>
            </w:r>
          </w:p>
        </w:tc>
      </w:tr>
      <w:tr w:rsidR="00E07C4E" w:rsidRPr="00721663" w14:paraId="5EDEF864" w14:textId="77777777" w:rsidTr="00551604">
        <w:trPr>
          <w:cantSplit/>
          <w:trHeight w:val="270"/>
        </w:trPr>
        <w:tc>
          <w:tcPr>
            <w:tcW w:w="4253" w:type="dxa"/>
            <w:tcBorders>
              <w:top w:val="nil"/>
              <w:left w:val="nil"/>
              <w:right w:val="nil"/>
            </w:tcBorders>
            <w:noWrap/>
            <w:vAlign w:val="bottom"/>
          </w:tcPr>
          <w:p w14:paraId="528A8FF8" w14:textId="77777777" w:rsidR="00E07C4E" w:rsidRPr="00721663" w:rsidRDefault="00E07C4E" w:rsidP="00551604">
            <w:pPr>
              <w:jc w:val="left"/>
              <w:rPr>
                <w:rFonts w:ascii="Arial" w:eastAsia="Arial Unicode MS" w:hAnsi="Arial" w:cs="Arial"/>
                <w:szCs w:val="22"/>
                <w:lang w:val="bg-BG"/>
              </w:rPr>
            </w:pPr>
          </w:p>
        </w:tc>
        <w:tc>
          <w:tcPr>
            <w:tcW w:w="709" w:type="dxa"/>
            <w:tcBorders>
              <w:top w:val="nil"/>
              <w:left w:val="nil"/>
              <w:right w:val="nil"/>
            </w:tcBorders>
          </w:tcPr>
          <w:p w14:paraId="28C1F609" w14:textId="77777777" w:rsidR="00E07C4E" w:rsidRPr="00721663" w:rsidRDefault="00E07C4E" w:rsidP="00551604">
            <w:pPr>
              <w:jc w:val="left"/>
              <w:rPr>
                <w:rFonts w:ascii="Arial" w:hAnsi="Arial" w:cs="Arial"/>
                <w:lang w:val="bg-BG"/>
              </w:rPr>
            </w:pPr>
          </w:p>
        </w:tc>
        <w:tc>
          <w:tcPr>
            <w:tcW w:w="1701" w:type="dxa"/>
            <w:tcBorders>
              <w:top w:val="nil"/>
              <w:left w:val="nil"/>
              <w:bottom w:val="single" w:sz="4" w:space="0" w:color="auto"/>
              <w:right w:val="nil"/>
            </w:tcBorders>
            <w:vAlign w:val="bottom"/>
          </w:tcPr>
          <w:p w14:paraId="3408820D" w14:textId="76D13BEE" w:rsidR="00E07C4E" w:rsidRPr="00721663" w:rsidRDefault="00144930" w:rsidP="00551604">
            <w:pPr>
              <w:tabs>
                <w:tab w:val="left" w:pos="1725"/>
              </w:tabs>
              <w:jc w:val="right"/>
              <w:rPr>
                <w:rFonts w:ascii="Arial" w:hAnsi="Arial" w:cs="Arial"/>
                <w:b/>
                <w:sz w:val="18"/>
                <w:szCs w:val="18"/>
                <w:lang w:val="bg-BG"/>
              </w:rPr>
            </w:pPr>
            <w:r>
              <w:rPr>
                <w:rFonts w:ascii="Arial" w:hAnsi="Arial" w:cs="Arial"/>
                <w:b/>
                <w:sz w:val="18"/>
                <w:szCs w:val="18"/>
                <w:lang w:val="bg-BG"/>
              </w:rPr>
              <w:t>30 юни 2017</w:t>
            </w:r>
          </w:p>
        </w:tc>
        <w:tc>
          <w:tcPr>
            <w:tcW w:w="141" w:type="dxa"/>
            <w:tcBorders>
              <w:top w:val="nil"/>
              <w:left w:val="nil"/>
              <w:right w:val="nil"/>
            </w:tcBorders>
            <w:vAlign w:val="bottom"/>
          </w:tcPr>
          <w:p w14:paraId="4571EAD7" w14:textId="77777777" w:rsidR="00E07C4E" w:rsidRPr="00721663" w:rsidRDefault="00E07C4E" w:rsidP="00551604">
            <w:pPr>
              <w:jc w:val="right"/>
              <w:rPr>
                <w:rFonts w:ascii="Arial" w:hAnsi="Arial" w:cs="Arial"/>
                <w:b/>
                <w:sz w:val="18"/>
                <w:szCs w:val="18"/>
                <w:lang w:val="bg-BG"/>
              </w:rPr>
            </w:pPr>
          </w:p>
        </w:tc>
        <w:tc>
          <w:tcPr>
            <w:tcW w:w="1560" w:type="dxa"/>
            <w:tcBorders>
              <w:top w:val="nil"/>
              <w:left w:val="nil"/>
              <w:bottom w:val="single" w:sz="4" w:space="0" w:color="auto"/>
              <w:right w:val="nil"/>
            </w:tcBorders>
            <w:vAlign w:val="bottom"/>
          </w:tcPr>
          <w:p w14:paraId="3E4B03D6" w14:textId="1B0742C8" w:rsidR="00E07C4E" w:rsidRPr="00721663" w:rsidRDefault="00144930" w:rsidP="00551604">
            <w:pPr>
              <w:jc w:val="right"/>
              <w:rPr>
                <w:rFonts w:ascii="Arial" w:hAnsi="Arial" w:cs="Arial"/>
                <w:b/>
                <w:bCs/>
                <w:sz w:val="18"/>
                <w:szCs w:val="18"/>
                <w:lang w:val="bg-BG"/>
              </w:rPr>
            </w:pPr>
            <w:r>
              <w:rPr>
                <w:rFonts w:ascii="Arial" w:hAnsi="Arial" w:cs="Arial"/>
                <w:b/>
                <w:sz w:val="18"/>
                <w:szCs w:val="18"/>
                <w:lang w:val="bg-BG"/>
              </w:rPr>
              <w:t>30 юни 2016</w:t>
            </w:r>
          </w:p>
        </w:tc>
      </w:tr>
      <w:tr w:rsidR="00E07C4E" w:rsidRPr="00721663" w14:paraId="521643CA" w14:textId="77777777" w:rsidTr="00551604">
        <w:trPr>
          <w:trHeight w:hRule="exact" w:val="284"/>
        </w:trPr>
        <w:tc>
          <w:tcPr>
            <w:tcW w:w="4253" w:type="dxa"/>
            <w:tcBorders>
              <w:top w:val="nil"/>
              <w:left w:val="nil"/>
              <w:bottom w:val="nil"/>
              <w:right w:val="nil"/>
            </w:tcBorders>
            <w:noWrap/>
            <w:vAlign w:val="center"/>
          </w:tcPr>
          <w:p w14:paraId="2AEBF164" w14:textId="77777777" w:rsidR="00E07C4E" w:rsidRPr="00721663" w:rsidRDefault="00E07C4E" w:rsidP="00551604">
            <w:pPr>
              <w:jc w:val="left"/>
              <w:rPr>
                <w:rFonts w:ascii="Arial" w:eastAsia="Arial Unicode MS" w:hAnsi="Arial" w:cs="Arial"/>
                <w:sz w:val="18"/>
                <w:szCs w:val="18"/>
                <w:lang w:val="bg-BG"/>
              </w:rPr>
            </w:pPr>
          </w:p>
        </w:tc>
        <w:tc>
          <w:tcPr>
            <w:tcW w:w="709" w:type="dxa"/>
            <w:tcBorders>
              <w:top w:val="nil"/>
              <w:left w:val="nil"/>
              <w:right w:val="nil"/>
            </w:tcBorders>
          </w:tcPr>
          <w:p w14:paraId="389853BC" w14:textId="77777777" w:rsidR="00E07C4E" w:rsidRPr="00721663" w:rsidRDefault="00E07C4E" w:rsidP="00551604">
            <w:pPr>
              <w:ind w:right="127"/>
              <w:jc w:val="left"/>
              <w:rPr>
                <w:rFonts w:ascii="Arial" w:hAnsi="Arial" w:cs="Arial"/>
                <w:sz w:val="18"/>
                <w:szCs w:val="18"/>
                <w:lang w:val="bg-BG"/>
              </w:rPr>
            </w:pPr>
          </w:p>
        </w:tc>
        <w:tc>
          <w:tcPr>
            <w:tcW w:w="1701" w:type="dxa"/>
            <w:tcBorders>
              <w:top w:val="nil"/>
              <w:left w:val="nil"/>
              <w:right w:val="nil"/>
            </w:tcBorders>
            <w:vAlign w:val="bottom"/>
          </w:tcPr>
          <w:p w14:paraId="46D114EF"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141" w:type="dxa"/>
            <w:tcBorders>
              <w:top w:val="nil"/>
              <w:left w:val="nil"/>
              <w:right w:val="nil"/>
            </w:tcBorders>
          </w:tcPr>
          <w:p w14:paraId="5E1CF328"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560" w:type="dxa"/>
            <w:tcBorders>
              <w:top w:val="nil"/>
              <w:left w:val="nil"/>
              <w:right w:val="nil"/>
            </w:tcBorders>
            <w:vAlign w:val="bottom"/>
          </w:tcPr>
          <w:p w14:paraId="17A939AC"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r>
      <w:tr w:rsidR="00E07C4E" w:rsidRPr="00721663" w14:paraId="4C7C2935" w14:textId="77777777" w:rsidTr="00551604">
        <w:trPr>
          <w:trHeight w:hRule="exact" w:val="284"/>
        </w:trPr>
        <w:tc>
          <w:tcPr>
            <w:tcW w:w="4253" w:type="dxa"/>
            <w:tcBorders>
              <w:top w:val="nil"/>
              <w:left w:val="nil"/>
              <w:bottom w:val="nil"/>
              <w:right w:val="nil"/>
            </w:tcBorders>
            <w:noWrap/>
            <w:vAlign w:val="center"/>
          </w:tcPr>
          <w:p w14:paraId="3B338116" w14:textId="77777777" w:rsidR="00E07C4E" w:rsidRPr="00721663" w:rsidRDefault="00E07C4E" w:rsidP="00551604">
            <w:pPr>
              <w:jc w:val="left"/>
              <w:rPr>
                <w:rFonts w:ascii="Arial" w:eastAsia="Arial Unicode MS" w:hAnsi="Arial" w:cs="Arial"/>
                <w:sz w:val="18"/>
                <w:szCs w:val="18"/>
                <w:lang w:val="bg-BG"/>
              </w:rPr>
            </w:pPr>
            <w:r w:rsidRPr="00721663">
              <w:rPr>
                <w:rFonts w:ascii="Arial" w:eastAsia="Arial Unicode MS" w:hAnsi="Arial" w:cs="Arial"/>
                <w:sz w:val="18"/>
                <w:szCs w:val="18"/>
                <w:lang w:val="bg-BG"/>
              </w:rPr>
              <w:t>Разходи за заплати</w:t>
            </w:r>
          </w:p>
        </w:tc>
        <w:tc>
          <w:tcPr>
            <w:tcW w:w="709" w:type="dxa"/>
            <w:tcBorders>
              <w:top w:val="nil"/>
              <w:left w:val="nil"/>
              <w:right w:val="nil"/>
            </w:tcBorders>
          </w:tcPr>
          <w:p w14:paraId="41EC07A0" w14:textId="77777777" w:rsidR="00E07C4E" w:rsidRPr="00721663" w:rsidRDefault="00E07C4E" w:rsidP="00551604">
            <w:pPr>
              <w:ind w:right="127"/>
              <w:jc w:val="left"/>
              <w:rPr>
                <w:rFonts w:ascii="Arial" w:hAnsi="Arial" w:cs="Arial"/>
                <w:sz w:val="18"/>
                <w:szCs w:val="18"/>
                <w:lang w:val="bg-BG"/>
              </w:rPr>
            </w:pPr>
          </w:p>
        </w:tc>
        <w:tc>
          <w:tcPr>
            <w:tcW w:w="1701" w:type="dxa"/>
            <w:tcBorders>
              <w:top w:val="nil"/>
              <w:left w:val="nil"/>
              <w:right w:val="nil"/>
            </w:tcBorders>
          </w:tcPr>
          <w:p w14:paraId="16ED6EC7" w14:textId="77777777" w:rsidR="00E07C4E" w:rsidRPr="00721663" w:rsidRDefault="00E07C4E" w:rsidP="00551604">
            <w:pPr>
              <w:ind w:right="127"/>
              <w:jc w:val="right"/>
              <w:rPr>
                <w:rFonts w:ascii="Arial" w:hAnsi="Arial" w:cs="Arial"/>
                <w:sz w:val="18"/>
                <w:szCs w:val="18"/>
                <w:lang w:val="bg-BG"/>
              </w:rPr>
            </w:pPr>
            <w:r w:rsidRPr="00721663">
              <w:rPr>
                <w:rFonts w:ascii="Arial" w:hAnsi="Arial" w:cs="Arial"/>
                <w:sz w:val="18"/>
                <w:szCs w:val="18"/>
                <w:lang w:val="bg-BG"/>
              </w:rPr>
              <w:t>(17)</w:t>
            </w:r>
          </w:p>
        </w:tc>
        <w:tc>
          <w:tcPr>
            <w:tcW w:w="141" w:type="dxa"/>
            <w:tcBorders>
              <w:top w:val="nil"/>
              <w:left w:val="nil"/>
              <w:right w:val="nil"/>
            </w:tcBorders>
          </w:tcPr>
          <w:p w14:paraId="2DBF801E" w14:textId="77777777" w:rsidR="00E07C4E" w:rsidRPr="00721663" w:rsidRDefault="00E07C4E" w:rsidP="00551604">
            <w:pPr>
              <w:ind w:right="127"/>
              <w:jc w:val="right"/>
              <w:rPr>
                <w:rFonts w:ascii="Arial" w:hAnsi="Arial" w:cs="Arial"/>
                <w:sz w:val="18"/>
                <w:szCs w:val="18"/>
                <w:lang w:val="bg-BG"/>
              </w:rPr>
            </w:pPr>
          </w:p>
        </w:tc>
        <w:tc>
          <w:tcPr>
            <w:tcW w:w="1560" w:type="dxa"/>
            <w:tcBorders>
              <w:top w:val="nil"/>
              <w:left w:val="nil"/>
              <w:right w:val="nil"/>
            </w:tcBorders>
          </w:tcPr>
          <w:p w14:paraId="26A2BEBD" w14:textId="77777777" w:rsidR="00E07C4E" w:rsidRPr="00721663" w:rsidRDefault="00E07C4E" w:rsidP="00551604">
            <w:pPr>
              <w:ind w:right="127"/>
              <w:jc w:val="right"/>
              <w:rPr>
                <w:rFonts w:ascii="Arial" w:hAnsi="Arial" w:cs="Arial"/>
                <w:sz w:val="18"/>
                <w:szCs w:val="18"/>
                <w:lang w:val="bg-BG"/>
              </w:rPr>
            </w:pPr>
            <w:r w:rsidRPr="00721663">
              <w:rPr>
                <w:rFonts w:ascii="Arial" w:hAnsi="Arial" w:cs="Arial"/>
                <w:sz w:val="18"/>
                <w:szCs w:val="18"/>
                <w:lang w:val="bg-BG"/>
              </w:rPr>
              <w:t>(</w:t>
            </w:r>
            <w:r>
              <w:rPr>
                <w:rFonts w:ascii="Arial" w:hAnsi="Arial" w:cs="Arial"/>
                <w:sz w:val="18"/>
                <w:szCs w:val="18"/>
                <w:lang w:val="bg-BG"/>
              </w:rPr>
              <w:t>17</w:t>
            </w:r>
            <w:r w:rsidRPr="00721663">
              <w:rPr>
                <w:rFonts w:ascii="Arial" w:hAnsi="Arial" w:cs="Arial"/>
                <w:sz w:val="18"/>
                <w:szCs w:val="18"/>
                <w:lang w:val="bg-BG"/>
              </w:rPr>
              <w:t>)</w:t>
            </w:r>
          </w:p>
        </w:tc>
      </w:tr>
      <w:tr w:rsidR="00E07C4E" w:rsidRPr="00721663" w14:paraId="2B6EE398" w14:textId="77777777" w:rsidTr="00551604">
        <w:trPr>
          <w:trHeight w:hRule="exact" w:val="284"/>
        </w:trPr>
        <w:tc>
          <w:tcPr>
            <w:tcW w:w="4253" w:type="dxa"/>
            <w:tcBorders>
              <w:top w:val="nil"/>
              <w:left w:val="nil"/>
              <w:bottom w:val="nil"/>
              <w:right w:val="nil"/>
            </w:tcBorders>
            <w:noWrap/>
            <w:vAlign w:val="center"/>
          </w:tcPr>
          <w:p w14:paraId="5245BA35" w14:textId="77777777" w:rsidR="00E07C4E" w:rsidRPr="00721663" w:rsidRDefault="00E07C4E" w:rsidP="00551604">
            <w:pPr>
              <w:jc w:val="left"/>
              <w:rPr>
                <w:rFonts w:ascii="Arial" w:eastAsia="Arial Unicode MS" w:hAnsi="Arial" w:cs="Arial"/>
                <w:sz w:val="18"/>
                <w:szCs w:val="18"/>
                <w:lang w:val="bg-BG"/>
              </w:rPr>
            </w:pPr>
            <w:r w:rsidRPr="00721663">
              <w:rPr>
                <w:rFonts w:ascii="Arial" w:eastAsia="Arial Unicode MS" w:hAnsi="Arial" w:cs="Arial"/>
                <w:sz w:val="18"/>
                <w:szCs w:val="18"/>
                <w:lang w:val="bg-BG"/>
              </w:rPr>
              <w:t>Разходи за социални осигуровки</w:t>
            </w:r>
          </w:p>
        </w:tc>
        <w:tc>
          <w:tcPr>
            <w:tcW w:w="709" w:type="dxa"/>
            <w:tcBorders>
              <w:top w:val="nil"/>
              <w:left w:val="nil"/>
              <w:right w:val="nil"/>
            </w:tcBorders>
          </w:tcPr>
          <w:p w14:paraId="580568EE" w14:textId="77777777" w:rsidR="00E07C4E" w:rsidRPr="00721663" w:rsidRDefault="00E07C4E" w:rsidP="00551604">
            <w:pPr>
              <w:ind w:right="127"/>
              <w:jc w:val="left"/>
              <w:rPr>
                <w:rFonts w:ascii="Arial" w:hAnsi="Arial" w:cs="Arial"/>
                <w:sz w:val="18"/>
                <w:szCs w:val="18"/>
                <w:lang w:val="bg-BG"/>
              </w:rPr>
            </w:pPr>
          </w:p>
        </w:tc>
        <w:tc>
          <w:tcPr>
            <w:tcW w:w="1701" w:type="dxa"/>
            <w:tcBorders>
              <w:top w:val="nil"/>
              <w:left w:val="nil"/>
              <w:bottom w:val="single" w:sz="4" w:space="0" w:color="auto"/>
              <w:right w:val="nil"/>
            </w:tcBorders>
          </w:tcPr>
          <w:p w14:paraId="62975EF5" w14:textId="77777777" w:rsidR="00E07C4E" w:rsidRPr="00721663" w:rsidRDefault="00E07C4E" w:rsidP="00551604">
            <w:pPr>
              <w:ind w:right="127"/>
              <w:jc w:val="right"/>
              <w:rPr>
                <w:rFonts w:ascii="Arial" w:hAnsi="Arial" w:cs="Arial"/>
                <w:sz w:val="18"/>
                <w:szCs w:val="18"/>
                <w:lang w:val="bg-BG"/>
              </w:rPr>
            </w:pPr>
            <w:r w:rsidRPr="00721663">
              <w:rPr>
                <w:rFonts w:ascii="Arial" w:hAnsi="Arial" w:cs="Arial"/>
                <w:sz w:val="18"/>
                <w:szCs w:val="18"/>
                <w:lang w:val="bg-BG"/>
              </w:rPr>
              <w:t>(3)</w:t>
            </w:r>
          </w:p>
        </w:tc>
        <w:tc>
          <w:tcPr>
            <w:tcW w:w="141" w:type="dxa"/>
            <w:tcBorders>
              <w:top w:val="nil"/>
              <w:left w:val="nil"/>
              <w:right w:val="nil"/>
            </w:tcBorders>
          </w:tcPr>
          <w:p w14:paraId="6422B771" w14:textId="77777777" w:rsidR="00E07C4E" w:rsidRPr="00721663" w:rsidRDefault="00E07C4E" w:rsidP="00551604">
            <w:pPr>
              <w:ind w:right="127"/>
              <w:jc w:val="right"/>
              <w:rPr>
                <w:rFonts w:ascii="Arial" w:hAnsi="Arial" w:cs="Arial"/>
                <w:sz w:val="18"/>
                <w:szCs w:val="18"/>
                <w:lang w:val="bg-BG"/>
              </w:rPr>
            </w:pPr>
          </w:p>
        </w:tc>
        <w:tc>
          <w:tcPr>
            <w:tcW w:w="1560" w:type="dxa"/>
            <w:tcBorders>
              <w:top w:val="nil"/>
              <w:left w:val="nil"/>
              <w:bottom w:val="single" w:sz="4" w:space="0" w:color="auto"/>
              <w:right w:val="nil"/>
            </w:tcBorders>
          </w:tcPr>
          <w:p w14:paraId="22E44D1C" w14:textId="77777777" w:rsidR="00E07C4E" w:rsidRPr="00721663" w:rsidRDefault="00E07C4E" w:rsidP="00551604">
            <w:pPr>
              <w:ind w:right="127"/>
              <w:jc w:val="right"/>
              <w:rPr>
                <w:rFonts w:ascii="Arial" w:hAnsi="Arial" w:cs="Arial"/>
                <w:sz w:val="18"/>
                <w:szCs w:val="18"/>
                <w:lang w:val="bg-BG"/>
              </w:rPr>
            </w:pPr>
            <w:r w:rsidRPr="00721663">
              <w:rPr>
                <w:rFonts w:ascii="Arial" w:hAnsi="Arial" w:cs="Arial"/>
                <w:sz w:val="18"/>
                <w:szCs w:val="18"/>
                <w:lang w:val="bg-BG"/>
              </w:rPr>
              <w:t>(3)</w:t>
            </w:r>
          </w:p>
        </w:tc>
      </w:tr>
      <w:tr w:rsidR="00E07C4E" w:rsidRPr="00721663" w14:paraId="2E281086" w14:textId="77777777" w:rsidTr="00551604">
        <w:trPr>
          <w:trHeight w:hRule="exact" w:val="284"/>
        </w:trPr>
        <w:tc>
          <w:tcPr>
            <w:tcW w:w="4253" w:type="dxa"/>
            <w:tcBorders>
              <w:left w:val="nil"/>
              <w:bottom w:val="nil"/>
              <w:right w:val="nil"/>
            </w:tcBorders>
            <w:noWrap/>
            <w:vAlign w:val="center"/>
          </w:tcPr>
          <w:p w14:paraId="581E0F71" w14:textId="77777777" w:rsidR="00E07C4E" w:rsidRPr="00721663" w:rsidRDefault="00E07C4E" w:rsidP="00551604">
            <w:pPr>
              <w:pStyle w:val="head"/>
              <w:jc w:val="left"/>
              <w:rPr>
                <w:rFonts w:eastAsia="Arial Unicode MS" w:cs="Arial"/>
                <w:b w:val="0"/>
                <w:sz w:val="18"/>
                <w:szCs w:val="18"/>
                <w:lang w:val="bg-BG"/>
              </w:rPr>
            </w:pPr>
          </w:p>
        </w:tc>
        <w:tc>
          <w:tcPr>
            <w:tcW w:w="709" w:type="dxa"/>
            <w:tcBorders>
              <w:left w:val="nil"/>
              <w:right w:val="nil"/>
            </w:tcBorders>
          </w:tcPr>
          <w:p w14:paraId="144337FF" w14:textId="77777777" w:rsidR="00E07C4E" w:rsidRPr="00721663" w:rsidRDefault="00E07C4E" w:rsidP="00551604">
            <w:pPr>
              <w:ind w:right="127"/>
              <w:jc w:val="left"/>
              <w:rPr>
                <w:rFonts w:ascii="Arial" w:eastAsia="Arial Unicode MS" w:hAnsi="Arial" w:cs="Arial"/>
                <w:b/>
                <w:sz w:val="18"/>
                <w:szCs w:val="18"/>
                <w:lang w:val="bg-BG"/>
              </w:rPr>
            </w:pPr>
          </w:p>
        </w:tc>
        <w:tc>
          <w:tcPr>
            <w:tcW w:w="1701" w:type="dxa"/>
            <w:tcBorders>
              <w:top w:val="single" w:sz="4" w:space="0" w:color="auto"/>
              <w:left w:val="nil"/>
              <w:bottom w:val="double" w:sz="4" w:space="0" w:color="auto"/>
              <w:right w:val="nil"/>
            </w:tcBorders>
            <w:vAlign w:val="center"/>
          </w:tcPr>
          <w:p w14:paraId="71C7F239" w14:textId="77777777" w:rsidR="00E07C4E" w:rsidRPr="00721663" w:rsidRDefault="00E07C4E" w:rsidP="00551604">
            <w:pPr>
              <w:ind w:right="127"/>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(20)</w:t>
            </w:r>
          </w:p>
        </w:tc>
        <w:tc>
          <w:tcPr>
            <w:tcW w:w="141" w:type="dxa"/>
            <w:tcBorders>
              <w:left w:val="nil"/>
              <w:right w:val="nil"/>
            </w:tcBorders>
          </w:tcPr>
          <w:p w14:paraId="1EA46494" w14:textId="77777777" w:rsidR="00E07C4E" w:rsidRPr="00721663" w:rsidRDefault="00E07C4E" w:rsidP="00551604">
            <w:pPr>
              <w:ind w:right="127"/>
              <w:jc w:val="right"/>
              <w:rPr>
                <w:rFonts w:ascii="Arial" w:eastAsia="Arial Unicode MS" w:hAnsi="Arial" w:cs="Arial"/>
                <w:b/>
                <w:sz w:val="18"/>
                <w:szCs w:val="18"/>
                <w:lang w:val="bg-BG"/>
              </w:rPr>
            </w:pPr>
          </w:p>
        </w:tc>
        <w:tc>
          <w:tcPr>
            <w:tcW w:w="1560" w:type="dxa"/>
            <w:tcBorders>
              <w:top w:val="single" w:sz="4" w:space="0" w:color="auto"/>
              <w:left w:val="nil"/>
              <w:bottom w:val="double" w:sz="4" w:space="0" w:color="auto"/>
              <w:right w:val="nil"/>
            </w:tcBorders>
            <w:vAlign w:val="center"/>
          </w:tcPr>
          <w:p w14:paraId="23B33C96" w14:textId="77777777" w:rsidR="00E07C4E" w:rsidRPr="00721663" w:rsidRDefault="00E07C4E" w:rsidP="00551604">
            <w:pPr>
              <w:ind w:right="127"/>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w:t>
            </w:r>
            <w:r>
              <w:rPr>
                <w:rFonts w:ascii="Arial" w:eastAsia="Arial Unicode MS" w:hAnsi="Arial" w:cs="Arial"/>
                <w:b/>
                <w:sz w:val="18"/>
                <w:szCs w:val="18"/>
                <w:lang w:val="bg-BG"/>
              </w:rPr>
              <w:t>20</w:t>
            </w:r>
            <w:r w:rsidRPr="00721663">
              <w:rPr>
                <w:rFonts w:ascii="Arial" w:eastAsia="Arial Unicode MS" w:hAnsi="Arial" w:cs="Arial"/>
                <w:b/>
                <w:sz w:val="18"/>
                <w:szCs w:val="18"/>
                <w:lang w:val="bg-BG"/>
              </w:rPr>
              <w:t>)</w:t>
            </w:r>
          </w:p>
        </w:tc>
      </w:tr>
    </w:tbl>
    <w:p w14:paraId="520EA9D6" w14:textId="77777777" w:rsidR="00E07C4E" w:rsidRPr="00721663" w:rsidRDefault="00E07C4E" w:rsidP="00E07C4E">
      <w:pPr>
        <w:pStyle w:val="Notesbodytext"/>
        <w:spacing w:after="0"/>
        <w:rPr>
          <w:rFonts w:ascii="Arial" w:hAnsi="Arial"/>
          <w:lang w:val="bg-BG"/>
        </w:rPr>
      </w:pPr>
    </w:p>
    <w:p w14:paraId="179669AF" w14:textId="329AF794" w:rsidR="00E07C4E" w:rsidRPr="00721663" w:rsidRDefault="00E07C4E" w:rsidP="00E07C4E">
      <w:pPr>
        <w:pStyle w:val="Heading1"/>
      </w:pPr>
      <w:bookmarkStart w:id="30" w:name="_Toc490647396"/>
      <w:r w:rsidRPr="00721663">
        <w:t>5.</w:t>
      </w:r>
      <w:r w:rsidR="00017A0C">
        <w:t>6</w:t>
      </w:r>
      <w:r w:rsidRPr="00721663">
        <w:t>. Други разходи</w:t>
      </w:r>
      <w:bookmarkEnd w:id="30"/>
    </w:p>
    <w:tbl>
      <w:tblPr>
        <w:tblW w:w="8364" w:type="dxa"/>
        <w:tblLayout w:type="fixed"/>
        <w:tblCellMar>
          <w:left w:w="0" w:type="dxa"/>
          <w:right w:w="0" w:type="dxa"/>
        </w:tblCellMar>
        <w:tblLook w:val="0000" w:firstRow="0" w:lastRow="0" w:firstColumn="0" w:lastColumn="0" w:noHBand="0" w:noVBand="0"/>
      </w:tblPr>
      <w:tblGrid>
        <w:gridCol w:w="4962"/>
        <w:gridCol w:w="1701"/>
        <w:gridCol w:w="141"/>
        <w:gridCol w:w="1560"/>
      </w:tblGrid>
      <w:tr w:rsidR="00E07C4E" w:rsidRPr="00721663" w14:paraId="72BD2A70" w14:textId="77777777" w:rsidTr="00551604">
        <w:trPr>
          <w:cantSplit/>
          <w:trHeight w:val="328"/>
        </w:trPr>
        <w:tc>
          <w:tcPr>
            <w:tcW w:w="4962" w:type="dxa"/>
            <w:tcBorders>
              <w:top w:val="nil"/>
              <w:left w:val="nil"/>
              <w:right w:val="nil"/>
            </w:tcBorders>
            <w:noWrap/>
            <w:vAlign w:val="bottom"/>
          </w:tcPr>
          <w:p w14:paraId="00612A7B" w14:textId="77777777" w:rsidR="00E07C4E" w:rsidRPr="00721663" w:rsidRDefault="00E07C4E" w:rsidP="00551604">
            <w:pPr>
              <w:jc w:val="left"/>
              <w:rPr>
                <w:rFonts w:ascii="Arial" w:eastAsia="Arial Unicode MS" w:hAnsi="Arial" w:cs="Arial"/>
                <w:szCs w:val="22"/>
                <w:lang w:val="bg-BG"/>
              </w:rPr>
            </w:pPr>
          </w:p>
        </w:tc>
        <w:tc>
          <w:tcPr>
            <w:tcW w:w="3402" w:type="dxa"/>
            <w:gridSpan w:val="3"/>
            <w:tcBorders>
              <w:top w:val="nil"/>
              <w:left w:val="nil"/>
              <w:bottom w:val="single" w:sz="4" w:space="0" w:color="auto"/>
              <w:right w:val="nil"/>
            </w:tcBorders>
            <w:vAlign w:val="bottom"/>
          </w:tcPr>
          <w:p w14:paraId="2AA7643C" w14:textId="77777777" w:rsidR="00E07C4E" w:rsidRPr="00721663" w:rsidRDefault="00E07C4E" w:rsidP="00551604">
            <w:pPr>
              <w:jc w:val="center"/>
              <w:rPr>
                <w:rFonts w:ascii="Arial" w:hAnsi="Arial" w:cs="Arial"/>
                <w:b/>
                <w:sz w:val="18"/>
                <w:szCs w:val="18"/>
                <w:lang w:val="bg-BG"/>
              </w:rPr>
            </w:pPr>
            <w:r w:rsidRPr="00721663">
              <w:rPr>
                <w:rFonts w:ascii="Arial" w:hAnsi="Arial" w:cs="Arial"/>
                <w:b/>
                <w:sz w:val="18"/>
                <w:szCs w:val="18"/>
                <w:lang w:val="bg-BG"/>
              </w:rPr>
              <w:t>Шестмесечен период, приключващ на</w:t>
            </w:r>
          </w:p>
        </w:tc>
      </w:tr>
      <w:tr w:rsidR="00E07C4E" w:rsidRPr="00721663" w14:paraId="072EC77A" w14:textId="77777777" w:rsidTr="00551604">
        <w:trPr>
          <w:cantSplit/>
          <w:trHeight w:val="328"/>
        </w:trPr>
        <w:tc>
          <w:tcPr>
            <w:tcW w:w="4962" w:type="dxa"/>
            <w:tcBorders>
              <w:top w:val="nil"/>
              <w:left w:val="nil"/>
              <w:right w:val="nil"/>
            </w:tcBorders>
            <w:noWrap/>
            <w:vAlign w:val="bottom"/>
          </w:tcPr>
          <w:p w14:paraId="5E11EE57" w14:textId="77777777" w:rsidR="00E07C4E" w:rsidRPr="00721663" w:rsidRDefault="00E07C4E" w:rsidP="00551604">
            <w:pPr>
              <w:jc w:val="left"/>
              <w:rPr>
                <w:rFonts w:ascii="Arial" w:eastAsia="Arial Unicode MS" w:hAnsi="Arial" w:cs="Arial"/>
                <w:szCs w:val="22"/>
                <w:lang w:val="bg-BG"/>
              </w:rPr>
            </w:pPr>
          </w:p>
        </w:tc>
        <w:tc>
          <w:tcPr>
            <w:tcW w:w="1701" w:type="dxa"/>
            <w:tcBorders>
              <w:top w:val="nil"/>
              <w:left w:val="nil"/>
              <w:bottom w:val="single" w:sz="4" w:space="0" w:color="auto"/>
              <w:right w:val="nil"/>
            </w:tcBorders>
            <w:vAlign w:val="bottom"/>
          </w:tcPr>
          <w:p w14:paraId="70F16FEC" w14:textId="7D259DA8" w:rsidR="00E07C4E" w:rsidRPr="00721663" w:rsidRDefault="00144930" w:rsidP="00551604">
            <w:pPr>
              <w:tabs>
                <w:tab w:val="left" w:pos="1725"/>
              </w:tabs>
              <w:jc w:val="right"/>
              <w:rPr>
                <w:rFonts w:ascii="Arial" w:hAnsi="Arial" w:cs="Arial"/>
                <w:b/>
                <w:sz w:val="18"/>
                <w:szCs w:val="18"/>
                <w:lang w:val="bg-BG"/>
              </w:rPr>
            </w:pPr>
            <w:r>
              <w:rPr>
                <w:rFonts w:ascii="Arial" w:hAnsi="Arial" w:cs="Arial"/>
                <w:b/>
                <w:sz w:val="18"/>
                <w:szCs w:val="18"/>
                <w:lang w:val="bg-BG"/>
              </w:rPr>
              <w:t>30 юни 2017</w:t>
            </w:r>
          </w:p>
        </w:tc>
        <w:tc>
          <w:tcPr>
            <w:tcW w:w="141" w:type="dxa"/>
            <w:tcBorders>
              <w:top w:val="nil"/>
              <w:left w:val="nil"/>
              <w:right w:val="nil"/>
            </w:tcBorders>
            <w:vAlign w:val="bottom"/>
          </w:tcPr>
          <w:p w14:paraId="795F9549" w14:textId="77777777" w:rsidR="00E07C4E" w:rsidRPr="00721663" w:rsidRDefault="00E07C4E" w:rsidP="00551604">
            <w:pPr>
              <w:jc w:val="right"/>
              <w:rPr>
                <w:rFonts w:ascii="Arial" w:hAnsi="Arial" w:cs="Arial"/>
                <w:b/>
                <w:sz w:val="18"/>
                <w:szCs w:val="18"/>
                <w:lang w:val="bg-BG"/>
              </w:rPr>
            </w:pPr>
          </w:p>
        </w:tc>
        <w:tc>
          <w:tcPr>
            <w:tcW w:w="1560" w:type="dxa"/>
            <w:tcBorders>
              <w:top w:val="nil"/>
              <w:left w:val="nil"/>
              <w:bottom w:val="single" w:sz="4" w:space="0" w:color="auto"/>
              <w:right w:val="nil"/>
            </w:tcBorders>
            <w:vAlign w:val="bottom"/>
          </w:tcPr>
          <w:p w14:paraId="62EF08BB" w14:textId="25FC64AF" w:rsidR="00E07C4E" w:rsidRPr="00721663" w:rsidRDefault="00144930" w:rsidP="00551604">
            <w:pPr>
              <w:jc w:val="right"/>
              <w:rPr>
                <w:rFonts w:ascii="Arial" w:hAnsi="Arial" w:cs="Arial"/>
                <w:b/>
                <w:bCs/>
                <w:sz w:val="18"/>
                <w:szCs w:val="18"/>
                <w:lang w:val="bg-BG"/>
              </w:rPr>
            </w:pPr>
            <w:r>
              <w:rPr>
                <w:rFonts w:ascii="Arial" w:hAnsi="Arial" w:cs="Arial"/>
                <w:b/>
                <w:sz w:val="18"/>
                <w:szCs w:val="18"/>
                <w:lang w:val="bg-BG"/>
              </w:rPr>
              <w:t>30 юни 2016</w:t>
            </w:r>
          </w:p>
        </w:tc>
      </w:tr>
      <w:tr w:rsidR="00E07C4E" w:rsidRPr="00721663" w14:paraId="4B5B43AF" w14:textId="77777777" w:rsidTr="00551604">
        <w:trPr>
          <w:trHeight w:hRule="exact" w:val="284"/>
        </w:trPr>
        <w:tc>
          <w:tcPr>
            <w:tcW w:w="4962" w:type="dxa"/>
            <w:tcBorders>
              <w:top w:val="nil"/>
              <w:left w:val="nil"/>
              <w:bottom w:val="nil"/>
              <w:right w:val="nil"/>
            </w:tcBorders>
            <w:noWrap/>
            <w:vAlign w:val="center"/>
          </w:tcPr>
          <w:p w14:paraId="28A7491F" w14:textId="77777777" w:rsidR="00E07C4E" w:rsidRPr="00721663" w:rsidRDefault="00E07C4E" w:rsidP="00551604">
            <w:pPr>
              <w:jc w:val="left"/>
              <w:rPr>
                <w:rFonts w:ascii="Arial" w:eastAsia="Arial Unicode MS" w:hAnsi="Arial" w:cs="Arial"/>
                <w:sz w:val="18"/>
                <w:szCs w:val="18"/>
                <w:lang w:val="bg-BG"/>
              </w:rPr>
            </w:pPr>
          </w:p>
        </w:tc>
        <w:tc>
          <w:tcPr>
            <w:tcW w:w="1701" w:type="dxa"/>
            <w:tcBorders>
              <w:top w:val="nil"/>
              <w:left w:val="nil"/>
              <w:right w:val="nil"/>
            </w:tcBorders>
            <w:vAlign w:val="bottom"/>
          </w:tcPr>
          <w:p w14:paraId="34ACEDC6"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141" w:type="dxa"/>
            <w:tcBorders>
              <w:top w:val="nil"/>
              <w:left w:val="nil"/>
              <w:right w:val="nil"/>
            </w:tcBorders>
          </w:tcPr>
          <w:p w14:paraId="692A91A7"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560" w:type="dxa"/>
            <w:tcBorders>
              <w:top w:val="nil"/>
              <w:left w:val="nil"/>
              <w:right w:val="nil"/>
            </w:tcBorders>
            <w:vAlign w:val="bottom"/>
          </w:tcPr>
          <w:p w14:paraId="2122B3DF"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r>
      <w:tr w:rsidR="00017A0C" w:rsidRPr="00721663" w14:paraId="4136C92C" w14:textId="77777777" w:rsidTr="00551604">
        <w:trPr>
          <w:trHeight w:hRule="exact" w:val="284"/>
        </w:trPr>
        <w:tc>
          <w:tcPr>
            <w:tcW w:w="4962" w:type="dxa"/>
            <w:tcBorders>
              <w:top w:val="nil"/>
              <w:left w:val="nil"/>
              <w:bottom w:val="nil"/>
              <w:right w:val="nil"/>
            </w:tcBorders>
            <w:noWrap/>
            <w:vAlign w:val="center"/>
          </w:tcPr>
          <w:p w14:paraId="074069F8" w14:textId="77777777" w:rsidR="00017A0C" w:rsidRPr="00721663" w:rsidRDefault="00017A0C" w:rsidP="00017A0C">
            <w:pPr>
              <w:jc w:val="left"/>
              <w:rPr>
                <w:rFonts w:ascii="Arial" w:eastAsia="Arial Unicode MS" w:hAnsi="Arial" w:cs="Arial"/>
                <w:sz w:val="18"/>
                <w:szCs w:val="18"/>
                <w:lang w:val="bg-BG"/>
              </w:rPr>
            </w:pPr>
            <w:r w:rsidRPr="00721663">
              <w:rPr>
                <w:rFonts w:ascii="Arial" w:eastAsia="Arial Unicode MS" w:hAnsi="Arial" w:cs="Arial"/>
                <w:sz w:val="18"/>
                <w:szCs w:val="18"/>
                <w:lang w:val="bg-BG"/>
              </w:rPr>
              <w:t>Държавни такси</w:t>
            </w:r>
          </w:p>
        </w:tc>
        <w:tc>
          <w:tcPr>
            <w:tcW w:w="1701" w:type="dxa"/>
            <w:tcBorders>
              <w:top w:val="nil"/>
              <w:left w:val="nil"/>
              <w:right w:val="nil"/>
            </w:tcBorders>
            <w:vAlign w:val="center"/>
          </w:tcPr>
          <w:p w14:paraId="4D2DF6F5" w14:textId="30B200D7" w:rsidR="00017A0C" w:rsidRPr="00721663" w:rsidRDefault="00017A0C" w:rsidP="00017A0C">
            <w:pPr>
              <w:ind w:right="127"/>
              <w:jc w:val="right"/>
              <w:rPr>
                <w:rFonts w:ascii="Arial" w:hAnsi="Arial" w:cs="Arial"/>
                <w:sz w:val="18"/>
                <w:szCs w:val="18"/>
                <w:lang w:val="bg-BG"/>
              </w:rPr>
            </w:pPr>
            <w:r>
              <w:rPr>
                <w:rFonts w:ascii="Arial" w:hAnsi="Arial" w:cs="Arial"/>
                <w:sz w:val="18"/>
                <w:szCs w:val="18"/>
                <w:lang w:val="en-GB" w:eastAsia="bg-BG"/>
              </w:rPr>
              <w:t>(90)</w:t>
            </w:r>
          </w:p>
        </w:tc>
        <w:tc>
          <w:tcPr>
            <w:tcW w:w="141" w:type="dxa"/>
            <w:tcBorders>
              <w:top w:val="nil"/>
              <w:left w:val="nil"/>
              <w:right w:val="nil"/>
            </w:tcBorders>
            <w:vAlign w:val="center"/>
          </w:tcPr>
          <w:p w14:paraId="7767E0C1" w14:textId="77777777" w:rsidR="00017A0C" w:rsidRPr="00721663" w:rsidRDefault="00017A0C" w:rsidP="00017A0C">
            <w:pPr>
              <w:ind w:right="127"/>
              <w:jc w:val="right"/>
              <w:rPr>
                <w:rFonts w:ascii="Arial" w:hAnsi="Arial" w:cs="Arial"/>
                <w:sz w:val="18"/>
                <w:szCs w:val="18"/>
                <w:lang w:val="bg-BG"/>
              </w:rPr>
            </w:pPr>
          </w:p>
        </w:tc>
        <w:tc>
          <w:tcPr>
            <w:tcW w:w="1560" w:type="dxa"/>
            <w:tcBorders>
              <w:top w:val="nil"/>
              <w:left w:val="nil"/>
              <w:right w:val="nil"/>
            </w:tcBorders>
            <w:vAlign w:val="center"/>
          </w:tcPr>
          <w:p w14:paraId="67263E74" w14:textId="4C54B693" w:rsidR="00017A0C" w:rsidRPr="00721663" w:rsidRDefault="00017A0C" w:rsidP="00017A0C">
            <w:pPr>
              <w:ind w:right="127"/>
              <w:jc w:val="right"/>
              <w:rPr>
                <w:rFonts w:ascii="Arial" w:hAnsi="Arial" w:cs="Arial"/>
                <w:sz w:val="18"/>
                <w:szCs w:val="18"/>
                <w:lang w:val="bg-BG"/>
              </w:rPr>
            </w:pPr>
            <w:r>
              <w:rPr>
                <w:rFonts w:ascii="Arial" w:hAnsi="Arial" w:cs="Arial"/>
                <w:sz w:val="18"/>
                <w:szCs w:val="18"/>
                <w:lang w:val="en-GB" w:eastAsia="bg-BG"/>
              </w:rPr>
              <w:t>(99)</w:t>
            </w:r>
          </w:p>
        </w:tc>
      </w:tr>
      <w:tr w:rsidR="00017A0C" w:rsidRPr="00721663" w14:paraId="1BBE3F28" w14:textId="77777777" w:rsidTr="00551604">
        <w:trPr>
          <w:trHeight w:hRule="exact" w:val="300"/>
        </w:trPr>
        <w:tc>
          <w:tcPr>
            <w:tcW w:w="4962" w:type="dxa"/>
            <w:tcBorders>
              <w:top w:val="nil"/>
              <w:left w:val="nil"/>
              <w:bottom w:val="nil"/>
              <w:right w:val="nil"/>
            </w:tcBorders>
            <w:noWrap/>
            <w:vAlign w:val="center"/>
          </w:tcPr>
          <w:p w14:paraId="6DD07F70" w14:textId="77777777" w:rsidR="00017A0C" w:rsidRPr="00721663" w:rsidRDefault="00017A0C" w:rsidP="00017A0C">
            <w:pPr>
              <w:jc w:val="left"/>
              <w:rPr>
                <w:rFonts w:ascii="Arial" w:eastAsia="Arial Unicode MS" w:hAnsi="Arial" w:cs="Arial"/>
                <w:sz w:val="18"/>
                <w:szCs w:val="18"/>
                <w:lang w:val="bg-BG"/>
              </w:rPr>
            </w:pPr>
            <w:r w:rsidRPr="00721663">
              <w:rPr>
                <w:rFonts w:ascii="Arial" w:eastAsia="Arial Unicode MS" w:hAnsi="Arial" w:cs="Arial"/>
                <w:sz w:val="18"/>
                <w:szCs w:val="18"/>
                <w:lang w:val="bg-BG"/>
              </w:rPr>
              <w:t>Представителни разходи</w:t>
            </w:r>
          </w:p>
        </w:tc>
        <w:tc>
          <w:tcPr>
            <w:tcW w:w="1701" w:type="dxa"/>
            <w:tcBorders>
              <w:top w:val="nil"/>
              <w:left w:val="nil"/>
              <w:right w:val="nil"/>
            </w:tcBorders>
            <w:vAlign w:val="center"/>
          </w:tcPr>
          <w:p w14:paraId="72B5DF73" w14:textId="6805B3D0" w:rsidR="00017A0C" w:rsidRPr="00721663" w:rsidRDefault="00017A0C" w:rsidP="00017A0C">
            <w:pPr>
              <w:ind w:right="127"/>
              <w:jc w:val="right"/>
              <w:rPr>
                <w:rFonts w:ascii="Arial" w:hAnsi="Arial" w:cs="Arial"/>
                <w:sz w:val="18"/>
                <w:szCs w:val="18"/>
                <w:lang w:val="bg-BG"/>
              </w:rPr>
            </w:pPr>
            <w:r>
              <w:rPr>
                <w:rFonts w:ascii="Arial" w:hAnsi="Arial" w:cs="Arial"/>
                <w:sz w:val="18"/>
                <w:szCs w:val="18"/>
                <w:lang w:val="en-GB" w:eastAsia="bg-BG"/>
              </w:rPr>
              <w:t>-</w:t>
            </w:r>
          </w:p>
        </w:tc>
        <w:tc>
          <w:tcPr>
            <w:tcW w:w="141" w:type="dxa"/>
            <w:tcBorders>
              <w:top w:val="nil"/>
              <w:left w:val="nil"/>
              <w:right w:val="nil"/>
            </w:tcBorders>
            <w:vAlign w:val="center"/>
          </w:tcPr>
          <w:p w14:paraId="464A310B" w14:textId="77777777" w:rsidR="00017A0C" w:rsidRPr="00721663" w:rsidRDefault="00017A0C" w:rsidP="00017A0C">
            <w:pPr>
              <w:ind w:right="127"/>
              <w:jc w:val="right"/>
              <w:rPr>
                <w:rFonts w:ascii="Arial" w:hAnsi="Arial" w:cs="Arial"/>
                <w:sz w:val="18"/>
                <w:szCs w:val="18"/>
                <w:lang w:val="bg-BG"/>
              </w:rPr>
            </w:pPr>
          </w:p>
        </w:tc>
        <w:tc>
          <w:tcPr>
            <w:tcW w:w="1560" w:type="dxa"/>
            <w:tcBorders>
              <w:top w:val="nil"/>
              <w:left w:val="nil"/>
              <w:right w:val="nil"/>
            </w:tcBorders>
            <w:vAlign w:val="center"/>
          </w:tcPr>
          <w:p w14:paraId="27484CFD" w14:textId="748C39A7" w:rsidR="00017A0C" w:rsidRPr="00721663" w:rsidRDefault="00017A0C" w:rsidP="00017A0C">
            <w:pPr>
              <w:ind w:right="127"/>
              <w:jc w:val="right"/>
              <w:rPr>
                <w:rFonts w:ascii="Arial" w:hAnsi="Arial" w:cs="Arial"/>
                <w:sz w:val="18"/>
                <w:szCs w:val="18"/>
                <w:lang w:val="bg-BG"/>
              </w:rPr>
            </w:pPr>
            <w:r>
              <w:rPr>
                <w:rFonts w:ascii="Arial" w:hAnsi="Arial" w:cs="Arial"/>
                <w:sz w:val="18"/>
                <w:szCs w:val="18"/>
                <w:lang w:val="en-GB" w:eastAsia="bg-BG"/>
              </w:rPr>
              <w:t>(1)</w:t>
            </w:r>
          </w:p>
        </w:tc>
      </w:tr>
      <w:tr w:rsidR="00017A0C" w:rsidRPr="00721663" w14:paraId="5099A710" w14:textId="77777777" w:rsidTr="00551604">
        <w:trPr>
          <w:trHeight w:hRule="exact" w:val="284"/>
        </w:trPr>
        <w:tc>
          <w:tcPr>
            <w:tcW w:w="4962" w:type="dxa"/>
            <w:tcBorders>
              <w:top w:val="nil"/>
              <w:left w:val="nil"/>
              <w:bottom w:val="nil"/>
              <w:right w:val="nil"/>
            </w:tcBorders>
            <w:noWrap/>
            <w:vAlign w:val="center"/>
          </w:tcPr>
          <w:p w14:paraId="1E95C90D" w14:textId="77777777" w:rsidR="00017A0C" w:rsidRPr="00721663" w:rsidRDefault="00017A0C" w:rsidP="00017A0C">
            <w:pPr>
              <w:jc w:val="left"/>
              <w:rPr>
                <w:rFonts w:ascii="Arial" w:eastAsia="Arial Unicode MS" w:hAnsi="Arial" w:cs="Arial"/>
                <w:sz w:val="18"/>
                <w:szCs w:val="18"/>
                <w:lang w:val="bg-BG"/>
              </w:rPr>
            </w:pPr>
            <w:r w:rsidRPr="00721663">
              <w:rPr>
                <w:rFonts w:ascii="Arial" w:eastAsia="Arial Unicode MS" w:hAnsi="Arial" w:cs="Arial"/>
                <w:sz w:val="18"/>
                <w:szCs w:val="18"/>
                <w:lang w:val="bg-BG"/>
              </w:rPr>
              <w:t>Други разходи</w:t>
            </w:r>
          </w:p>
        </w:tc>
        <w:tc>
          <w:tcPr>
            <w:tcW w:w="1701" w:type="dxa"/>
            <w:tcBorders>
              <w:top w:val="nil"/>
              <w:left w:val="nil"/>
              <w:bottom w:val="single" w:sz="4" w:space="0" w:color="auto"/>
              <w:right w:val="nil"/>
            </w:tcBorders>
            <w:vAlign w:val="center"/>
          </w:tcPr>
          <w:p w14:paraId="734EBB4E" w14:textId="2980C93F" w:rsidR="00017A0C" w:rsidRPr="00721663" w:rsidRDefault="00017A0C" w:rsidP="00017A0C">
            <w:pPr>
              <w:ind w:right="127"/>
              <w:jc w:val="right"/>
              <w:rPr>
                <w:rFonts w:ascii="Arial" w:hAnsi="Arial" w:cs="Arial"/>
                <w:sz w:val="18"/>
                <w:szCs w:val="18"/>
                <w:lang w:val="bg-BG"/>
              </w:rPr>
            </w:pPr>
            <w:r>
              <w:rPr>
                <w:rFonts w:ascii="Arial" w:hAnsi="Arial" w:cs="Arial"/>
                <w:sz w:val="18"/>
                <w:szCs w:val="18"/>
                <w:lang w:val="en-GB" w:eastAsia="bg-BG"/>
              </w:rPr>
              <w:t>-</w:t>
            </w:r>
          </w:p>
        </w:tc>
        <w:tc>
          <w:tcPr>
            <w:tcW w:w="141" w:type="dxa"/>
            <w:tcBorders>
              <w:top w:val="nil"/>
              <w:left w:val="nil"/>
              <w:right w:val="nil"/>
            </w:tcBorders>
            <w:vAlign w:val="center"/>
          </w:tcPr>
          <w:p w14:paraId="2E749965" w14:textId="77777777" w:rsidR="00017A0C" w:rsidRPr="00721663" w:rsidRDefault="00017A0C" w:rsidP="00017A0C">
            <w:pPr>
              <w:ind w:right="127"/>
              <w:jc w:val="right"/>
              <w:rPr>
                <w:rFonts w:ascii="Arial" w:hAnsi="Arial" w:cs="Arial"/>
                <w:sz w:val="18"/>
                <w:szCs w:val="18"/>
                <w:lang w:val="bg-BG"/>
              </w:rPr>
            </w:pPr>
          </w:p>
        </w:tc>
        <w:tc>
          <w:tcPr>
            <w:tcW w:w="1560" w:type="dxa"/>
            <w:tcBorders>
              <w:top w:val="nil"/>
              <w:left w:val="nil"/>
              <w:bottom w:val="single" w:sz="4" w:space="0" w:color="auto"/>
              <w:right w:val="nil"/>
            </w:tcBorders>
            <w:vAlign w:val="center"/>
          </w:tcPr>
          <w:p w14:paraId="4A2D8D7C" w14:textId="60CF1A9D" w:rsidR="00017A0C" w:rsidRPr="00721663" w:rsidRDefault="00017A0C" w:rsidP="00017A0C">
            <w:pPr>
              <w:ind w:right="127"/>
              <w:jc w:val="right"/>
              <w:rPr>
                <w:rFonts w:ascii="Arial" w:hAnsi="Arial" w:cs="Arial"/>
                <w:sz w:val="18"/>
                <w:szCs w:val="18"/>
                <w:lang w:val="bg-BG"/>
              </w:rPr>
            </w:pPr>
            <w:r>
              <w:rPr>
                <w:rFonts w:ascii="Arial" w:hAnsi="Arial" w:cs="Arial"/>
                <w:sz w:val="18"/>
                <w:szCs w:val="18"/>
                <w:lang w:val="en-GB" w:eastAsia="bg-BG"/>
              </w:rPr>
              <w:t>(1)</w:t>
            </w:r>
          </w:p>
        </w:tc>
      </w:tr>
      <w:tr w:rsidR="00017A0C" w:rsidRPr="00721663" w14:paraId="75CC362F" w14:textId="77777777" w:rsidTr="00551604">
        <w:trPr>
          <w:trHeight w:hRule="exact" w:val="284"/>
        </w:trPr>
        <w:tc>
          <w:tcPr>
            <w:tcW w:w="4962" w:type="dxa"/>
            <w:tcBorders>
              <w:left w:val="nil"/>
              <w:bottom w:val="nil"/>
              <w:right w:val="nil"/>
            </w:tcBorders>
            <w:noWrap/>
            <w:vAlign w:val="center"/>
          </w:tcPr>
          <w:p w14:paraId="31AAE28F" w14:textId="77777777" w:rsidR="00017A0C" w:rsidRPr="00721663" w:rsidRDefault="00017A0C" w:rsidP="00017A0C">
            <w:pPr>
              <w:pStyle w:val="head"/>
              <w:jc w:val="left"/>
              <w:rPr>
                <w:rFonts w:eastAsia="Arial Unicode MS" w:cs="Arial"/>
                <w:b w:val="0"/>
                <w:sz w:val="18"/>
                <w:szCs w:val="18"/>
                <w:lang w:val="bg-BG"/>
              </w:rPr>
            </w:pPr>
          </w:p>
        </w:tc>
        <w:tc>
          <w:tcPr>
            <w:tcW w:w="1701" w:type="dxa"/>
            <w:tcBorders>
              <w:left w:val="nil"/>
              <w:bottom w:val="double" w:sz="4" w:space="0" w:color="auto"/>
              <w:right w:val="nil"/>
            </w:tcBorders>
            <w:vAlign w:val="center"/>
          </w:tcPr>
          <w:p w14:paraId="03C26850" w14:textId="14A6B282" w:rsidR="00017A0C" w:rsidRPr="00721663" w:rsidRDefault="00017A0C" w:rsidP="00017A0C">
            <w:pPr>
              <w:ind w:right="127"/>
              <w:jc w:val="right"/>
              <w:rPr>
                <w:rFonts w:ascii="Arial" w:eastAsia="Arial Unicode MS" w:hAnsi="Arial" w:cs="Arial"/>
                <w:b/>
                <w:sz w:val="18"/>
                <w:szCs w:val="18"/>
                <w:lang w:val="bg-BG"/>
              </w:rPr>
            </w:pPr>
            <w:r>
              <w:rPr>
                <w:rFonts w:ascii="Arial" w:eastAsia="Arial Unicode MS" w:hAnsi="Arial" w:cs="Arial"/>
                <w:b/>
                <w:sz w:val="18"/>
                <w:szCs w:val="18"/>
                <w:lang w:val="en-GB" w:eastAsia="bg-BG"/>
              </w:rPr>
              <w:t>(90)</w:t>
            </w:r>
          </w:p>
        </w:tc>
        <w:tc>
          <w:tcPr>
            <w:tcW w:w="141" w:type="dxa"/>
            <w:tcBorders>
              <w:left w:val="nil"/>
              <w:right w:val="nil"/>
            </w:tcBorders>
            <w:vAlign w:val="center"/>
          </w:tcPr>
          <w:p w14:paraId="542868CD" w14:textId="77777777" w:rsidR="00017A0C" w:rsidRPr="00721663" w:rsidRDefault="00017A0C" w:rsidP="00017A0C">
            <w:pPr>
              <w:ind w:right="127"/>
              <w:jc w:val="right"/>
              <w:rPr>
                <w:rFonts w:ascii="Arial" w:eastAsia="Arial Unicode MS" w:hAnsi="Arial" w:cs="Arial"/>
                <w:b/>
                <w:sz w:val="18"/>
                <w:szCs w:val="18"/>
                <w:lang w:val="bg-BG"/>
              </w:rPr>
            </w:pPr>
          </w:p>
        </w:tc>
        <w:tc>
          <w:tcPr>
            <w:tcW w:w="1560" w:type="dxa"/>
            <w:tcBorders>
              <w:left w:val="nil"/>
              <w:bottom w:val="double" w:sz="4" w:space="0" w:color="auto"/>
              <w:right w:val="nil"/>
            </w:tcBorders>
            <w:vAlign w:val="center"/>
          </w:tcPr>
          <w:p w14:paraId="2D4972F7" w14:textId="55A74427" w:rsidR="00017A0C" w:rsidRPr="00721663" w:rsidRDefault="00017A0C" w:rsidP="00017A0C">
            <w:pPr>
              <w:ind w:right="127"/>
              <w:jc w:val="right"/>
              <w:rPr>
                <w:rFonts w:ascii="Arial" w:eastAsia="Arial Unicode MS" w:hAnsi="Arial" w:cs="Arial"/>
                <w:b/>
                <w:sz w:val="18"/>
                <w:szCs w:val="18"/>
                <w:lang w:val="bg-BG"/>
              </w:rPr>
            </w:pPr>
            <w:r>
              <w:rPr>
                <w:rFonts w:ascii="Arial" w:eastAsia="Arial Unicode MS" w:hAnsi="Arial" w:cs="Arial"/>
                <w:b/>
                <w:sz w:val="18"/>
                <w:szCs w:val="18"/>
                <w:lang w:val="en-GB" w:eastAsia="bg-BG"/>
              </w:rPr>
              <w:t>(101)</w:t>
            </w:r>
          </w:p>
        </w:tc>
      </w:tr>
    </w:tbl>
    <w:p w14:paraId="36479BB7" w14:textId="77777777" w:rsidR="00E07C4E" w:rsidRPr="00721663" w:rsidRDefault="00E07C4E" w:rsidP="00E07C4E">
      <w:pPr>
        <w:rPr>
          <w:rFonts w:ascii="Arial" w:hAnsi="Arial" w:cs="Arial"/>
          <w:lang w:val="bg-BG"/>
        </w:rPr>
      </w:pPr>
    </w:p>
    <w:p w14:paraId="742D9205" w14:textId="152B3A4A" w:rsidR="00E07C4E" w:rsidRPr="00721663" w:rsidRDefault="00E07C4E" w:rsidP="00E07C4E">
      <w:pPr>
        <w:pStyle w:val="Heading1"/>
      </w:pPr>
      <w:bookmarkStart w:id="31" w:name="_Toc490647397"/>
      <w:r w:rsidRPr="00721663">
        <w:t>5.</w:t>
      </w:r>
      <w:r w:rsidR="00017A0C">
        <w:t>7</w:t>
      </w:r>
      <w:r w:rsidRPr="00721663">
        <w:t>. Финансови приходи/(разходи), нетно</w:t>
      </w:r>
      <w:bookmarkEnd w:id="31"/>
    </w:p>
    <w:tbl>
      <w:tblPr>
        <w:tblW w:w="8364" w:type="dxa"/>
        <w:tblLayout w:type="fixed"/>
        <w:tblCellMar>
          <w:left w:w="0" w:type="dxa"/>
          <w:right w:w="0" w:type="dxa"/>
        </w:tblCellMar>
        <w:tblLook w:val="0000" w:firstRow="0" w:lastRow="0" w:firstColumn="0" w:lastColumn="0" w:noHBand="0" w:noVBand="0"/>
      </w:tblPr>
      <w:tblGrid>
        <w:gridCol w:w="4962"/>
        <w:gridCol w:w="1701"/>
        <w:gridCol w:w="141"/>
        <w:gridCol w:w="1560"/>
      </w:tblGrid>
      <w:tr w:rsidR="00E07C4E" w:rsidRPr="00721663" w14:paraId="11372D06" w14:textId="77777777" w:rsidTr="00551604">
        <w:trPr>
          <w:cantSplit/>
          <w:trHeight w:val="270"/>
        </w:trPr>
        <w:tc>
          <w:tcPr>
            <w:tcW w:w="4962" w:type="dxa"/>
            <w:tcBorders>
              <w:top w:val="nil"/>
              <w:left w:val="nil"/>
              <w:right w:val="nil"/>
            </w:tcBorders>
            <w:noWrap/>
            <w:vAlign w:val="bottom"/>
          </w:tcPr>
          <w:p w14:paraId="1347C228" w14:textId="77777777" w:rsidR="00E07C4E" w:rsidRPr="00721663" w:rsidRDefault="00E07C4E" w:rsidP="00551604">
            <w:pPr>
              <w:jc w:val="left"/>
              <w:rPr>
                <w:rFonts w:ascii="Arial" w:eastAsia="Arial Unicode MS" w:hAnsi="Arial" w:cs="Arial"/>
                <w:szCs w:val="22"/>
                <w:lang w:val="bg-BG"/>
              </w:rPr>
            </w:pPr>
          </w:p>
        </w:tc>
        <w:tc>
          <w:tcPr>
            <w:tcW w:w="3402" w:type="dxa"/>
            <w:gridSpan w:val="3"/>
            <w:tcBorders>
              <w:top w:val="nil"/>
              <w:left w:val="nil"/>
              <w:bottom w:val="single" w:sz="4" w:space="0" w:color="auto"/>
              <w:right w:val="nil"/>
            </w:tcBorders>
            <w:vAlign w:val="bottom"/>
          </w:tcPr>
          <w:p w14:paraId="42F02138" w14:textId="77777777" w:rsidR="00E07C4E" w:rsidRPr="00721663" w:rsidRDefault="00E07C4E" w:rsidP="00551604">
            <w:pPr>
              <w:jc w:val="center"/>
              <w:rPr>
                <w:rFonts w:ascii="Arial" w:hAnsi="Arial" w:cs="Arial"/>
                <w:b/>
                <w:sz w:val="18"/>
                <w:szCs w:val="18"/>
                <w:lang w:val="bg-BG"/>
              </w:rPr>
            </w:pPr>
            <w:r w:rsidRPr="00721663">
              <w:rPr>
                <w:rFonts w:ascii="Arial" w:hAnsi="Arial" w:cs="Arial"/>
                <w:b/>
                <w:sz w:val="18"/>
                <w:szCs w:val="18"/>
                <w:lang w:val="bg-BG"/>
              </w:rPr>
              <w:t>Шестмесечен период, приключващ на</w:t>
            </w:r>
          </w:p>
        </w:tc>
      </w:tr>
      <w:tr w:rsidR="00E07C4E" w:rsidRPr="00721663" w14:paraId="1266DE34" w14:textId="77777777" w:rsidTr="00551604">
        <w:trPr>
          <w:cantSplit/>
          <w:trHeight w:val="270"/>
        </w:trPr>
        <w:tc>
          <w:tcPr>
            <w:tcW w:w="4962" w:type="dxa"/>
            <w:tcBorders>
              <w:top w:val="nil"/>
              <w:left w:val="nil"/>
              <w:right w:val="nil"/>
            </w:tcBorders>
            <w:noWrap/>
            <w:vAlign w:val="bottom"/>
          </w:tcPr>
          <w:p w14:paraId="0CC70431" w14:textId="77777777" w:rsidR="00E07C4E" w:rsidRPr="00721663" w:rsidRDefault="00E07C4E" w:rsidP="00551604">
            <w:pPr>
              <w:jc w:val="left"/>
              <w:rPr>
                <w:rFonts w:ascii="Arial" w:eastAsia="Arial Unicode MS" w:hAnsi="Arial" w:cs="Arial"/>
                <w:szCs w:val="22"/>
                <w:lang w:val="bg-BG"/>
              </w:rPr>
            </w:pPr>
          </w:p>
        </w:tc>
        <w:tc>
          <w:tcPr>
            <w:tcW w:w="1701" w:type="dxa"/>
            <w:tcBorders>
              <w:top w:val="nil"/>
              <w:left w:val="nil"/>
              <w:bottom w:val="single" w:sz="4" w:space="0" w:color="auto"/>
              <w:right w:val="nil"/>
            </w:tcBorders>
            <w:vAlign w:val="bottom"/>
          </w:tcPr>
          <w:p w14:paraId="49F88A71" w14:textId="4BF6DA46" w:rsidR="00E07C4E" w:rsidRPr="00721663" w:rsidRDefault="00144930" w:rsidP="00551604">
            <w:pPr>
              <w:tabs>
                <w:tab w:val="left" w:pos="1725"/>
              </w:tabs>
              <w:jc w:val="right"/>
              <w:rPr>
                <w:rFonts w:ascii="Arial" w:hAnsi="Arial" w:cs="Arial"/>
                <w:b/>
                <w:sz w:val="18"/>
                <w:szCs w:val="18"/>
                <w:lang w:val="bg-BG"/>
              </w:rPr>
            </w:pPr>
            <w:r>
              <w:rPr>
                <w:rFonts w:ascii="Arial" w:hAnsi="Arial" w:cs="Arial"/>
                <w:b/>
                <w:sz w:val="18"/>
                <w:szCs w:val="18"/>
                <w:lang w:val="bg-BG"/>
              </w:rPr>
              <w:t>30 юни 2017</w:t>
            </w:r>
          </w:p>
        </w:tc>
        <w:tc>
          <w:tcPr>
            <w:tcW w:w="141" w:type="dxa"/>
            <w:tcBorders>
              <w:top w:val="nil"/>
              <w:left w:val="nil"/>
              <w:right w:val="nil"/>
            </w:tcBorders>
            <w:vAlign w:val="bottom"/>
          </w:tcPr>
          <w:p w14:paraId="5EE3E532" w14:textId="77777777" w:rsidR="00E07C4E" w:rsidRPr="00721663" w:rsidRDefault="00E07C4E" w:rsidP="00551604">
            <w:pPr>
              <w:jc w:val="right"/>
              <w:rPr>
                <w:rFonts w:ascii="Arial" w:hAnsi="Arial" w:cs="Arial"/>
                <w:b/>
                <w:sz w:val="18"/>
                <w:szCs w:val="18"/>
                <w:lang w:val="bg-BG"/>
              </w:rPr>
            </w:pPr>
          </w:p>
        </w:tc>
        <w:tc>
          <w:tcPr>
            <w:tcW w:w="1560" w:type="dxa"/>
            <w:tcBorders>
              <w:top w:val="nil"/>
              <w:left w:val="nil"/>
              <w:bottom w:val="single" w:sz="4" w:space="0" w:color="auto"/>
              <w:right w:val="nil"/>
            </w:tcBorders>
            <w:vAlign w:val="bottom"/>
          </w:tcPr>
          <w:p w14:paraId="67DC8854" w14:textId="06567645" w:rsidR="00E07C4E" w:rsidRPr="00721663" w:rsidRDefault="00144930" w:rsidP="00551604">
            <w:pPr>
              <w:jc w:val="right"/>
              <w:rPr>
                <w:rFonts w:ascii="Arial" w:hAnsi="Arial" w:cs="Arial"/>
                <w:b/>
                <w:bCs/>
                <w:sz w:val="18"/>
                <w:szCs w:val="18"/>
                <w:lang w:val="bg-BG"/>
              </w:rPr>
            </w:pPr>
            <w:r>
              <w:rPr>
                <w:rFonts w:ascii="Arial" w:hAnsi="Arial" w:cs="Arial"/>
                <w:b/>
                <w:sz w:val="18"/>
                <w:szCs w:val="18"/>
                <w:lang w:val="bg-BG"/>
              </w:rPr>
              <w:t>30 юни 2016</w:t>
            </w:r>
          </w:p>
        </w:tc>
      </w:tr>
      <w:tr w:rsidR="00E07C4E" w:rsidRPr="00721663" w14:paraId="25778EF5" w14:textId="77777777" w:rsidTr="00551604">
        <w:trPr>
          <w:trHeight w:hRule="exact" w:val="284"/>
        </w:trPr>
        <w:tc>
          <w:tcPr>
            <w:tcW w:w="4962" w:type="dxa"/>
            <w:tcBorders>
              <w:top w:val="nil"/>
              <w:left w:val="nil"/>
              <w:bottom w:val="nil"/>
              <w:right w:val="nil"/>
            </w:tcBorders>
            <w:noWrap/>
            <w:vAlign w:val="center"/>
          </w:tcPr>
          <w:p w14:paraId="0F6722A5" w14:textId="77777777" w:rsidR="00E07C4E" w:rsidRPr="00721663" w:rsidRDefault="00E07C4E" w:rsidP="00551604">
            <w:pPr>
              <w:pStyle w:val="Header"/>
              <w:spacing w:line="240" w:lineRule="auto"/>
              <w:jc w:val="left"/>
              <w:rPr>
                <w:rFonts w:ascii="Arial" w:eastAsia="Arial Unicode MS" w:hAnsi="Arial" w:cs="Arial"/>
                <w:sz w:val="18"/>
                <w:szCs w:val="18"/>
                <w:lang w:val="bg-BG"/>
              </w:rPr>
            </w:pPr>
          </w:p>
        </w:tc>
        <w:tc>
          <w:tcPr>
            <w:tcW w:w="1701" w:type="dxa"/>
            <w:tcBorders>
              <w:top w:val="nil"/>
              <w:left w:val="nil"/>
              <w:right w:val="nil"/>
            </w:tcBorders>
            <w:vAlign w:val="bottom"/>
          </w:tcPr>
          <w:p w14:paraId="02A8DECD"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141" w:type="dxa"/>
            <w:tcBorders>
              <w:top w:val="nil"/>
              <w:left w:val="nil"/>
              <w:right w:val="nil"/>
            </w:tcBorders>
          </w:tcPr>
          <w:p w14:paraId="2377FD32"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560" w:type="dxa"/>
            <w:tcBorders>
              <w:top w:val="nil"/>
              <w:left w:val="nil"/>
              <w:right w:val="nil"/>
            </w:tcBorders>
            <w:vAlign w:val="bottom"/>
          </w:tcPr>
          <w:p w14:paraId="4D392CC6"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r>
      <w:tr w:rsidR="00017A0C" w:rsidRPr="00721663" w14:paraId="3DC90DAE" w14:textId="77777777" w:rsidTr="00551604">
        <w:trPr>
          <w:trHeight w:hRule="exact" w:val="678"/>
        </w:trPr>
        <w:tc>
          <w:tcPr>
            <w:tcW w:w="4962" w:type="dxa"/>
            <w:tcBorders>
              <w:top w:val="nil"/>
              <w:left w:val="nil"/>
              <w:bottom w:val="nil"/>
              <w:right w:val="nil"/>
            </w:tcBorders>
            <w:noWrap/>
            <w:vAlign w:val="center"/>
          </w:tcPr>
          <w:p w14:paraId="76B41D79" w14:textId="77777777" w:rsidR="00017A0C" w:rsidRPr="00721663" w:rsidRDefault="00017A0C" w:rsidP="00017A0C">
            <w:pPr>
              <w:spacing w:line="240" w:lineRule="auto"/>
              <w:jc w:val="left"/>
              <w:rPr>
                <w:rFonts w:ascii="Arial" w:eastAsia="Arial Unicode MS" w:hAnsi="Arial" w:cs="Arial"/>
                <w:sz w:val="18"/>
                <w:szCs w:val="18"/>
                <w:lang w:val="bg-BG"/>
              </w:rPr>
            </w:pPr>
            <w:r w:rsidRPr="00721663">
              <w:rPr>
                <w:rFonts w:ascii="Arial" w:hAnsi="Arial" w:cs="Arial"/>
                <w:sz w:val="18"/>
                <w:szCs w:val="18"/>
                <w:lang w:val="bg-BG"/>
              </w:rPr>
              <w:t>Разходи за лихви, начислени по заеми от банки (виж Бележка 9)</w:t>
            </w:r>
          </w:p>
        </w:tc>
        <w:tc>
          <w:tcPr>
            <w:tcW w:w="1701" w:type="dxa"/>
            <w:tcBorders>
              <w:top w:val="nil"/>
              <w:left w:val="nil"/>
              <w:right w:val="nil"/>
            </w:tcBorders>
            <w:vAlign w:val="center"/>
          </w:tcPr>
          <w:p w14:paraId="76DBAE4E" w14:textId="3992D629" w:rsidR="00017A0C" w:rsidRPr="00721663" w:rsidRDefault="00017A0C" w:rsidP="00017A0C">
            <w:pPr>
              <w:ind w:right="127"/>
              <w:jc w:val="right"/>
              <w:rPr>
                <w:rFonts w:ascii="Arial" w:hAnsi="Arial" w:cs="Arial"/>
                <w:sz w:val="18"/>
                <w:szCs w:val="18"/>
                <w:lang w:val="bg-BG"/>
              </w:rPr>
            </w:pPr>
            <w:r>
              <w:rPr>
                <w:rFonts w:ascii="Arial" w:hAnsi="Arial" w:cs="Arial"/>
                <w:sz w:val="18"/>
                <w:szCs w:val="18"/>
                <w:lang w:val="en-GB" w:eastAsia="bg-BG"/>
              </w:rPr>
              <w:t>(405)</w:t>
            </w:r>
          </w:p>
        </w:tc>
        <w:tc>
          <w:tcPr>
            <w:tcW w:w="141" w:type="dxa"/>
            <w:tcBorders>
              <w:top w:val="nil"/>
              <w:left w:val="nil"/>
              <w:right w:val="nil"/>
            </w:tcBorders>
            <w:vAlign w:val="center"/>
          </w:tcPr>
          <w:p w14:paraId="64BAD035" w14:textId="77777777" w:rsidR="00017A0C" w:rsidRPr="00721663" w:rsidRDefault="00017A0C" w:rsidP="00017A0C">
            <w:pPr>
              <w:ind w:right="127"/>
              <w:jc w:val="right"/>
              <w:rPr>
                <w:rFonts w:ascii="Arial" w:hAnsi="Arial" w:cs="Arial"/>
                <w:sz w:val="18"/>
                <w:szCs w:val="18"/>
                <w:lang w:val="bg-BG"/>
              </w:rPr>
            </w:pPr>
          </w:p>
        </w:tc>
        <w:tc>
          <w:tcPr>
            <w:tcW w:w="1560" w:type="dxa"/>
            <w:tcBorders>
              <w:top w:val="nil"/>
              <w:left w:val="nil"/>
              <w:right w:val="nil"/>
            </w:tcBorders>
            <w:vAlign w:val="center"/>
          </w:tcPr>
          <w:p w14:paraId="6DD2746B" w14:textId="09618618" w:rsidR="00017A0C" w:rsidRPr="00721663" w:rsidRDefault="00017A0C" w:rsidP="00017A0C">
            <w:pPr>
              <w:ind w:right="127"/>
              <w:jc w:val="right"/>
              <w:rPr>
                <w:rFonts w:ascii="Arial" w:hAnsi="Arial" w:cs="Arial"/>
                <w:sz w:val="18"/>
                <w:szCs w:val="18"/>
                <w:lang w:val="bg-BG"/>
              </w:rPr>
            </w:pPr>
            <w:r>
              <w:rPr>
                <w:rFonts w:ascii="Arial" w:hAnsi="Arial" w:cs="Arial"/>
                <w:sz w:val="18"/>
                <w:szCs w:val="18"/>
                <w:lang w:val="en-GB" w:eastAsia="bg-BG"/>
              </w:rPr>
              <w:t>(446)</w:t>
            </w:r>
          </w:p>
        </w:tc>
      </w:tr>
      <w:tr w:rsidR="00017A0C" w:rsidRPr="00721663" w14:paraId="443F21CC" w14:textId="77777777" w:rsidTr="00551604">
        <w:trPr>
          <w:trHeight w:hRule="exact" w:val="510"/>
        </w:trPr>
        <w:tc>
          <w:tcPr>
            <w:tcW w:w="4962" w:type="dxa"/>
            <w:tcBorders>
              <w:top w:val="nil"/>
              <w:left w:val="nil"/>
              <w:bottom w:val="nil"/>
              <w:right w:val="nil"/>
            </w:tcBorders>
            <w:noWrap/>
            <w:vAlign w:val="center"/>
          </w:tcPr>
          <w:p w14:paraId="651E99C3" w14:textId="77777777" w:rsidR="00017A0C" w:rsidRPr="00721663" w:rsidRDefault="00017A0C" w:rsidP="00017A0C">
            <w:pPr>
              <w:pStyle w:val="Header"/>
              <w:spacing w:line="240" w:lineRule="auto"/>
              <w:jc w:val="left"/>
              <w:rPr>
                <w:rFonts w:ascii="Arial" w:eastAsia="Arial Unicode MS" w:hAnsi="Arial" w:cs="Arial"/>
                <w:sz w:val="18"/>
                <w:szCs w:val="18"/>
                <w:lang w:val="bg-BG"/>
              </w:rPr>
            </w:pPr>
            <w:r w:rsidRPr="00721663">
              <w:rPr>
                <w:rFonts w:ascii="Arial" w:eastAsia="Arial Unicode MS" w:hAnsi="Arial" w:cs="Arial"/>
                <w:sz w:val="18"/>
                <w:szCs w:val="18"/>
                <w:lang w:val="bg-BG"/>
              </w:rPr>
              <w:t>Разходи за лихви, начислени по заеми от свързани лица (виж Бележка 9,16)</w:t>
            </w:r>
          </w:p>
        </w:tc>
        <w:tc>
          <w:tcPr>
            <w:tcW w:w="1701" w:type="dxa"/>
            <w:tcBorders>
              <w:top w:val="nil"/>
              <w:left w:val="nil"/>
              <w:right w:val="nil"/>
            </w:tcBorders>
            <w:vAlign w:val="center"/>
          </w:tcPr>
          <w:p w14:paraId="61FDA79A" w14:textId="316F315B" w:rsidR="00017A0C" w:rsidRPr="00721663" w:rsidRDefault="00017A0C" w:rsidP="00017A0C">
            <w:pPr>
              <w:ind w:right="127"/>
              <w:jc w:val="right"/>
              <w:rPr>
                <w:rFonts w:ascii="Arial" w:hAnsi="Arial" w:cs="Arial"/>
                <w:sz w:val="18"/>
                <w:szCs w:val="18"/>
                <w:lang w:val="bg-BG"/>
              </w:rPr>
            </w:pPr>
            <w:r>
              <w:rPr>
                <w:rFonts w:ascii="Arial" w:hAnsi="Arial" w:cs="Arial"/>
                <w:sz w:val="18"/>
                <w:szCs w:val="18"/>
                <w:lang w:val="en-GB" w:eastAsia="bg-BG"/>
              </w:rPr>
              <w:t>(76)</w:t>
            </w:r>
          </w:p>
        </w:tc>
        <w:tc>
          <w:tcPr>
            <w:tcW w:w="141" w:type="dxa"/>
            <w:tcBorders>
              <w:top w:val="nil"/>
              <w:left w:val="nil"/>
              <w:right w:val="nil"/>
            </w:tcBorders>
            <w:vAlign w:val="center"/>
          </w:tcPr>
          <w:p w14:paraId="5B13B003" w14:textId="77777777" w:rsidR="00017A0C" w:rsidRPr="00721663" w:rsidRDefault="00017A0C" w:rsidP="00017A0C">
            <w:pPr>
              <w:ind w:right="127"/>
              <w:jc w:val="right"/>
              <w:rPr>
                <w:rFonts w:ascii="Arial" w:hAnsi="Arial" w:cs="Arial"/>
                <w:sz w:val="18"/>
                <w:szCs w:val="18"/>
                <w:lang w:val="bg-BG"/>
              </w:rPr>
            </w:pPr>
          </w:p>
        </w:tc>
        <w:tc>
          <w:tcPr>
            <w:tcW w:w="1560" w:type="dxa"/>
            <w:tcBorders>
              <w:top w:val="nil"/>
              <w:left w:val="nil"/>
              <w:right w:val="nil"/>
            </w:tcBorders>
            <w:vAlign w:val="center"/>
          </w:tcPr>
          <w:p w14:paraId="1D54409A" w14:textId="580455FC" w:rsidR="00017A0C" w:rsidRPr="00721663" w:rsidRDefault="00017A0C" w:rsidP="00017A0C">
            <w:pPr>
              <w:ind w:right="127"/>
              <w:jc w:val="right"/>
              <w:rPr>
                <w:rFonts w:ascii="Arial" w:hAnsi="Arial" w:cs="Arial"/>
                <w:sz w:val="18"/>
                <w:szCs w:val="18"/>
                <w:lang w:val="bg-BG"/>
              </w:rPr>
            </w:pPr>
            <w:r>
              <w:rPr>
                <w:rFonts w:ascii="Arial" w:hAnsi="Arial" w:cs="Arial"/>
                <w:sz w:val="18"/>
                <w:szCs w:val="18"/>
                <w:lang w:val="en-GB" w:eastAsia="bg-BG"/>
              </w:rPr>
              <w:t>(75)</w:t>
            </w:r>
          </w:p>
        </w:tc>
      </w:tr>
      <w:tr w:rsidR="00017A0C" w:rsidRPr="00721663" w14:paraId="592D230E" w14:textId="77777777" w:rsidTr="00551604">
        <w:trPr>
          <w:trHeight w:hRule="exact" w:val="272"/>
        </w:trPr>
        <w:tc>
          <w:tcPr>
            <w:tcW w:w="4962" w:type="dxa"/>
            <w:tcBorders>
              <w:top w:val="nil"/>
              <w:left w:val="nil"/>
              <w:bottom w:val="nil"/>
              <w:right w:val="nil"/>
            </w:tcBorders>
            <w:noWrap/>
            <w:vAlign w:val="center"/>
          </w:tcPr>
          <w:p w14:paraId="45005E62" w14:textId="77777777" w:rsidR="00017A0C" w:rsidRPr="00721663" w:rsidRDefault="00017A0C" w:rsidP="00017A0C">
            <w:pPr>
              <w:spacing w:line="240" w:lineRule="auto"/>
              <w:jc w:val="left"/>
              <w:rPr>
                <w:rFonts w:ascii="Arial" w:hAnsi="Arial" w:cs="Arial"/>
                <w:sz w:val="18"/>
                <w:szCs w:val="18"/>
                <w:lang w:val="bg-BG"/>
              </w:rPr>
            </w:pPr>
            <w:r w:rsidRPr="00721663">
              <w:rPr>
                <w:rFonts w:ascii="Arial" w:hAnsi="Arial" w:cs="Arial"/>
                <w:sz w:val="18"/>
                <w:szCs w:val="18"/>
                <w:lang w:val="bg-BG"/>
              </w:rPr>
              <w:t>Амортизация на дискаунт (виж Бележка 1</w:t>
            </w:r>
            <w:r>
              <w:rPr>
                <w:rFonts w:ascii="Arial" w:hAnsi="Arial" w:cs="Arial"/>
                <w:sz w:val="18"/>
                <w:szCs w:val="18"/>
                <w:lang w:val="en-GB"/>
              </w:rPr>
              <w:t>3</w:t>
            </w:r>
            <w:r w:rsidRPr="00721663">
              <w:rPr>
                <w:rFonts w:ascii="Arial" w:hAnsi="Arial" w:cs="Arial"/>
                <w:sz w:val="18"/>
                <w:szCs w:val="18"/>
                <w:lang w:val="bg-BG"/>
              </w:rPr>
              <w:t>)</w:t>
            </w:r>
          </w:p>
        </w:tc>
        <w:tc>
          <w:tcPr>
            <w:tcW w:w="1701" w:type="dxa"/>
            <w:tcBorders>
              <w:top w:val="nil"/>
              <w:left w:val="nil"/>
              <w:right w:val="nil"/>
            </w:tcBorders>
            <w:vAlign w:val="center"/>
          </w:tcPr>
          <w:p w14:paraId="3A31B62F" w14:textId="3B7290ED" w:rsidR="00017A0C" w:rsidRPr="00721663" w:rsidRDefault="00017A0C" w:rsidP="00017A0C">
            <w:pPr>
              <w:ind w:right="127"/>
              <w:jc w:val="right"/>
              <w:rPr>
                <w:rFonts w:ascii="Arial" w:hAnsi="Arial" w:cs="Arial"/>
                <w:sz w:val="18"/>
                <w:szCs w:val="18"/>
                <w:lang w:val="bg-BG"/>
              </w:rPr>
            </w:pPr>
            <w:r>
              <w:rPr>
                <w:rFonts w:ascii="Arial" w:hAnsi="Arial" w:cs="Arial"/>
                <w:sz w:val="18"/>
                <w:szCs w:val="18"/>
                <w:lang w:val="en-GB" w:eastAsia="bg-BG"/>
              </w:rPr>
              <w:t>(3)</w:t>
            </w:r>
          </w:p>
        </w:tc>
        <w:tc>
          <w:tcPr>
            <w:tcW w:w="141" w:type="dxa"/>
            <w:tcBorders>
              <w:top w:val="nil"/>
              <w:left w:val="nil"/>
              <w:right w:val="nil"/>
            </w:tcBorders>
            <w:vAlign w:val="center"/>
          </w:tcPr>
          <w:p w14:paraId="20270816" w14:textId="77777777" w:rsidR="00017A0C" w:rsidRPr="00721663" w:rsidRDefault="00017A0C" w:rsidP="00017A0C">
            <w:pPr>
              <w:ind w:right="127"/>
              <w:jc w:val="right"/>
              <w:rPr>
                <w:rFonts w:ascii="Arial" w:hAnsi="Arial" w:cs="Arial"/>
                <w:sz w:val="18"/>
                <w:szCs w:val="18"/>
                <w:lang w:val="bg-BG"/>
              </w:rPr>
            </w:pPr>
          </w:p>
        </w:tc>
        <w:tc>
          <w:tcPr>
            <w:tcW w:w="1560" w:type="dxa"/>
            <w:tcBorders>
              <w:top w:val="nil"/>
              <w:left w:val="nil"/>
              <w:right w:val="nil"/>
            </w:tcBorders>
            <w:vAlign w:val="center"/>
          </w:tcPr>
          <w:p w14:paraId="146DF3C2" w14:textId="5BA2988C" w:rsidR="00017A0C" w:rsidRPr="00721663" w:rsidRDefault="00017A0C" w:rsidP="00017A0C">
            <w:pPr>
              <w:ind w:right="127"/>
              <w:jc w:val="right"/>
              <w:rPr>
                <w:rFonts w:ascii="Arial" w:hAnsi="Arial" w:cs="Arial"/>
                <w:sz w:val="18"/>
                <w:szCs w:val="18"/>
                <w:lang w:val="bg-BG"/>
              </w:rPr>
            </w:pPr>
            <w:r>
              <w:rPr>
                <w:rFonts w:ascii="Arial" w:hAnsi="Arial" w:cs="Arial"/>
                <w:sz w:val="18"/>
                <w:szCs w:val="18"/>
                <w:lang w:val="en-GB" w:eastAsia="bg-BG"/>
              </w:rPr>
              <w:t>(5)</w:t>
            </w:r>
          </w:p>
        </w:tc>
      </w:tr>
      <w:tr w:rsidR="00017A0C" w:rsidRPr="00721663" w14:paraId="31433C4C" w14:textId="77777777" w:rsidTr="00551604">
        <w:trPr>
          <w:trHeight w:hRule="exact" w:val="272"/>
        </w:trPr>
        <w:tc>
          <w:tcPr>
            <w:tcW w:w="4962" w:type="dxa"/>
            <w:tcBorders>
              <w:top w:val="nil"/>
              <w:left w:val="nil"/>
              <w:bottom w:val="nil"/>
              <w:right w:val="nil"/>
            </w:tcBorders>
            <w:noWrap/>
            <w:vAlign w:val="center"/>
          </w:tcPr>
          <w:p w14:paraId="33A6B82A" w14:textId="77777777" w:rsidR="00017A0C" w:rsidRPr="00721663" w:rsidRDefault="00017A0C" w:rsidP="00017A0C">
            <w:pPr>
              <w:spacing w:line="240" w:lineRule="auto"/>
              <w:jc w:val="left"/>
              <w:rPr>
                <w:rFonts w:ascii="Arial" w:hAnsi="Arial" w:cs="Arial"/>
                <w:sz w:val="18"/>
                <w:szCs w:val="18"/>
                <w:lang w:val="bg-BG"/>
              </w:rPr>
            </w:pPr>
            <w:r w:rsidRPr="00721663">
              <w:rPr>
                <w:rFonts w:ascii="Arial" w:hAnsi="Arial" w:cs="Arial"/>
                <w:sz w:val="18"/>
                <w:szCs w:val="18"/>
                <w:lang w:val="bg-BG"/>
              </w:rPr>
              <w:t>Банкови такси и комисионни</w:t>
            </w:r>
          </w:p>
        </w:tc>
        <w:tc>
          <w:tcPr>
            <w:tcW w:w="1701" w:type="dxa"/>
            <w:tcBorders>
              <w:top w:val="nil"/>
              <w:left w:val="nil"/>
              <w:right w:val="nil"/>
            </w:tcBorders>
            <w:vAlign w:val="center"/>
          </w:tcPr>
          <w:p w14:paraId="1DF3E233" w14:textId="6240AFE3" w:rsidR="00017A0C" w:rsidRPr="00721663" w:rsidRDefault="00017A0C" w:rsidP="00017A0C">
            <w:pPr>
              <w:ind w:right="127"/>
              <w:jc w:val="right"/>
              <w:rPr>
                <w:rFonts w:ascii="Arial" w:hAnsi="Arial" w:cs="Arial"/>
                <w:sz w:val="18"/>
                <w:szCs w:val="18"/>
                <w:lang w:val="bg-BG"/>
              </w:rPr>
            </w:pPr>
            <w:r>
              <w:rPr>
                <w:rFonts w:ascii="Arial" w:hAnsi="Arial" w:cs="Arial"/>
                <w:sz w:val="18"/>
                <w:szCs w:val="18"/>
                <w:lang w:val="en-GB" w:eastAsia="bg-BG"/>
              </w:rPr>
              <w:t>(6)</w:t>
            </w:r>
          </w:p>
        </w:tc>
        <w:tc>
          <w:tcPr>
            <w:tcW w:w="141" w:type="dxa"/>
            <w:tcBorders>
              <w:top w:val="nil"/>
              <w:left w:val="nil"/>
              <w:right w:val="nil"/>
            </w:tcBorders>
            <w:vAlign w:val="center"/>
          </w:tcPr>
          <w:p w14:paraId="3039882F" w14:textId="77777777" w:rsidR="00017A0C" w:rsidRPr="00721663" w:rsidRDefault="00017A0C" w:rsidP="00017A0C">
            <w:pPr>
              <w:ind w:right="127"/>
              <w:jc w:val="right"/>
              <w:rPr>
                <w:rFonts w:ascii="Arial" w:hAnsi="Arial" w:cs="Arial"/>
                <w:sz w:val="18"/>
                <w:szCs w:val="18"/>
                <w:lang w:val="bg-BG"/>
              </w:rPr>
            </w:pPr>
          </w:p>
        </w:tc>
        <w:tc>
          <w:tcPr>
            <w:tcW w:w="1560" w:type="dxa"/>
            <w:tcBorders>
              <w:top w:val="nil"/>
              <w:left w:val="nil"/>
              <w:right w:val="nil"/>
            </w:tcBorders>
            <w:vAlign w:val="center"/>
          </w:tcPr>
          <w:p w14:paraId="2A2A3BC2" w14:textId="67320D74" w:rsidR="00017A0C" w:rsidRPr="00721663" w:rsidRDefault="00017A0C" w:rsidP="00017A0C">
            <w:pPr>
              <w:ind w:right="127"/>
              <w:jc w:val="right"/>
              <w:rPr>
                <w:rFonts w:ascii="Arial" w:hAnsi="Arial" w:cs="Arial"/>
                <w:sz w:val="18"/>
                <w:szCs w:val="18"/>
                <w:lang w:val="bg-BG"/>
              </w:rPr>
            </w:pPr>
            <w:r>
              <w:rPr>
                <w:rFonts w:ascii="Arial" w:hAnsi="Arial" w:cs="Arial"/>
                <w:sz w:val="18"/>
                <w:szCs w:val="18"/>
                <w:lang w:val="en-GB" w:eastAsia="bg-BG"/>
              </w:rPr>
              <w:t>(6)</w:t>
            </w:r>
          </w:p>
        </w:tc>
      </w:tr>
      <w:tr w:rsidR="00017A0C" w:rsidRPr="00721663" w14:paraId="6ABB319D" w14:textId="77777777" w:rsidTr="00551604">
        <w:trPr>
          <w:trHeight w:hRule="exact" w:val="446"/>
        </w:trPr>
        <w:tc>
          <w:tcPr>
            <w:tcW w:w="4962" w:type="dxa"/>
            <w:tcBorders>
              <w:top w:val="nil"/>
              <w:left w:val="nil"/>
              <w:bottom w:val="nil"/>
              <w:right w:val="nil"/>
            </w:tcBorders>
            <w:noWrap/>
            <w:vAlign w:val="center"/>
          </w:tcPr>
          <w:p w14:paraId="7B6CF9A3" w14:textId="77777777" w:rsidR="00017A0C" w:rsidRPr="00721663" w:rsidRDefault="00017A0C" w:rsidP="00017A0C">
            <w:pPr>
              <w:spacing w:line="240" w:lineRule="auto"/>
              <w:jc w:val="left"/>
              <w:rPr>
                <w:rFonts w:ascii="Arial" w:hAnsi="Arial" w:cs="Arial"/>
                <w:sz w:val="18"/>
                <w:szCs w:val="18"/>
                <w:lang w:val="bg-BG"/>
              </w:rPr>
            </w:pPr>
            <w:r w:rsidRPr="00721663">
              <w:rPr>
                <w:rFonts w:ascii="Arial" w:hAnsi="Arial" w:cs="Arial"/>
                <w:sz w:val="18"/>
                <w:szCs w:val="18"/>
                <w:lang w:val="bg-BG"/>
              </w:rPr>
              <w:t>Положителни / (отрицателни) валутни курсови разлики, нетно</w:t>
            </w:r>
          </w:p>
        </w:tc>
        <w:tc>
          <w:tcPr>
            <w:tcW w:w="1701" w:type="dxa"/>
            <w:tcBorders>
              <w:top w:val="nil"/>
              <w:left w:val="nil"/>
              <w:right w:val="nil"/>
            </w:tcBorders>
            <w:vAlign w:val="center"/>
          </w:tcPr>
          <w:p w14:paraId="1EB1CDBD" w14:textId="22DA248F" w:rsidR="00017A0C" w:rsidRPr="00721663" w:rsidRDefault="00017A0C" w:rsidP="00017A0C">
            <w:pPr>
              <w:ind w:right="127"/>
              <w:jc w:val="right"/>
              <w:rPr>
                <w:rFonts w:ascii="Arial" w:hAnsi="Arial" w:cs="Arial"/>
                <w:sz w:val="18"/>
                <w:szCs w:val="18"/>
                <w:lang w:val="bg-BG"/>
              </w:rPr>
            </w:pPr>
            <w:r>
              <w:rPr>
                <w:rFonts w:ascii="Arial" w:hAnsi="Arial" w:cs="Arial"/>
                <w:sz w:val="18"/>
                <w:szCs w:val="18"/>
                <w:lang w:val="en-GB" w:eastAsia="bg-BG"/>
              </w:rPr>
              <w:t>(3)</w:t>
            </w:r>
          </w:p>
        </w:tc>
        <w:tc>
          <w:tcPr>
            <w:tcW w:w="141" w:type="dxa"/>
            <w:tcBorders>
              <w:top w:val="nil"/>
              <w:left w:val="nil"/>
              <w:right w:val="nil"/>
            </w:tcBorders>
            <w:vAlign w:val="center"/>
          </w:tcPr>
          <w:p w14:paraId="262E9850" w14:textId="77777777" w:rsidR="00017A0C" w:rsidRPr="00721663" w:rsidRDefault="00017A0C" w:rsidP="00017A0C">
            <w:pPr>
              <w:ind w:right="127"/>
              <w:jc w:val="right"/>
              <w:rPr>
                <w:rFonts w:ascii="Arial" w:hAnsi="Arial" w:cs="Arial"/>
                <w:sz w:val="18"/>
                <w:szCs w:val="18"/>
                <w:lang w:val="bg-BG"/>
              </w:rPr>
            </w:pPr>
          </w:p>
        </w:tc>
        <w:tc>
          <w:tcPr>
            <w:tcW w:w="1560" w:type="dxa"/>
            <w:tcBorders>
              <w:top w:val="nil"/>
              <w:left w:val="nil"/>
              <w:right w:val="nil"/>
            </w:tcBorders>
            <w:vAlign w:val="center"/>
          </w:tcPr>
          <w:p w14:paraId="649607EE" w14:textId="50514518" w:rsidR="00017A0C" w:rsidRPr="00721663" w:rsidRDefault="00017A0C" w:rsidP="00017A0C">
            <w:pPr>
              <w:ind w:right="127"/>
              <w:jc w:val="right"/>
              <w:rPr>
                <w:rFonts w:ascii="Arial" w:hAnsi="Arial" w:cs="Arial"/>
                <w:sz w:val="18"/>
                <w:szCs w:val="18"/>
                <w:lang w:val="bg-BG"/>
              </w:rPr>
            </w:pPr>
            <w:r>
              <w:rPr>
                <w:rFonts w:ascii="Arial" w:hAnsi="Arial" w:cs="Arial"/>
                <w:sz w:val="18"/>
                <w:szCs w:val="18"/>
                <w:lang w:val="en-GB" w:eastAsia="bg-BG"/>
              </w:rPr>
              <w:t>(3)</w:t>
            </w:r>
          </w:p>
        </w:tc>
      </w:tr>
      <w:tr w:rsidR="00017A0C" w:rsidRPr="00721663" w14:paraId="06151E2F" w14:textId="77777777" w:rsidTr="00551604">
        <w:trPr>
          <w:trHeight w:hRule="exact" w:val="318"/>
        </w:trPr>
        <w:tc>
          <w:tcPr>
            <w:tcW w:w="4962" w:type="dxa"/>
            <w:tcBorders>
              <w:left w:val="nil"/>
              <w:bottom w:val="nil"/>
              <w:right w:val="nil"/>
            </w:tcBorders>
            <w:noWrap/>
            <w:vAlign w:val="center"/>
          </w:tcPr>
          <w:p w14:paraId="2A6B536A" w14:textId="77777777" w:rsidR="00017A0C" w:rsidRPr="00721663" w:rsidRDefault="00017A0C" w:rsidP="00017A0C">
            <w:pPr>
              <w:pStyle w:val="head"/>
              <w:jc w:val="left"/>
              <w:rPr>
                <w:rFonts w:eastAsia="Arial Unicode MS" w:cs="Arial"/>
                <w:b w:val="0"/>
                <w:szCs w:val="22"/>
                <w:lang w:val="bg-BG"/>
              </w:rPr>
            </w:pPr>
          </w:p>
        </w:tc>
        <w:tc>
          <w:tcPr>
            <w:tcW w:w="1701" w:type="dxa"/>
            <w:tcBorders>
              <w:top w:val="single" w:sz="4" w:space="0" w:color="auto"/>
              <w:left w:val="nil"/>
              <w:bottom w:val="double" w:sz="4" w:space="0" w:color="auto"/>
              <w:right w:val="nil"/>
            </w:tcBorders>
            <w:vAlign w:val="center"/>
          </w:tcPr>
          <w:p w14:paraId="726BDB40" w14:textId="36E92FA1" w:rsidR="00017A0C" w:rsidRPr="00721663" w:rsidRDefault="00017A0C" w:rsidP="00017A0C">
            <w:pPr>
              <w:ind w:right="127"/>
              <w:jc w:val="right"/>
              <w:rPr>
                <w:rFonts w:ascii="Arial" w:eastAsia="Arial Unicode MS" w:hAnsi="Arial" w:cs="Arial"/>
                <w:b/>
                <w:sz w:val="18"/>
                <w:szCs w:val="18"/>
                <w:lang w:val="bg-BG"/>
              </w:rPr>
            </w:pPr>
            <w:r>
              <w:rPr>
                <w:rFonts w:ascii="Arial" w:eastAsia="Arial Unicode MS" w:hAnsi="Arial" w:cs="Arial"/>
                <w:b/>
                <w:sz w:val="18"/>
                <w:szCs w:val="18"/>
                <w:lang w:val="en-GB" w:eastAsia="bg-BG"/>
              </w:rPr>
              <w:t>(493)</w:t>
            </w:r>
          </w:p>
        </w:tc>
        <w:tc>
          <w:tcPr>
            <w:tcW w:w="141" w:type="dxa"/>
            <w:tcBorders>
              <w:left w:val="nil"/>
              <w:right w:val="nil"/>
            </w:tcBorders>
            <w:vAlign w:val="center"/>
          </w:tcPr>
          <w:p w14:paraId="2EC72CF9" w14:textId="77777777" w:rsidR="00017A0C" w:rsidRPr="00721663" w:rsidRDefault="00017A0C" w:rsidP="00017A0C">
            <w:pPr>
              <w:ind w:right="127"/>
              <w:jc w:val="right"/>
              <w:rPr>
                <w:rFonts w:ascii="Arial" w:eastAsia="Arial Unicode MS" w:hAnsi="Arial" w:cs="Arial"/>
                <w:b/>
                <w:sz w:val="18"/>
                <w:szCs w:val="18"/>
                <w:lang w:val="bg-BG"/>
              </w:rPr>
            </w:pPr>
          </w:p>
        </w:tc>
        <w:tc>
          <w:tcPr>
            <w:tcW w:w="1560" w:type="dxa"/>
            <w:tcBorders>
              <w:top w:val="single" w:sz="4" w:space="0" w:color="auto"/>
              <w:left w:val="nil"/>
              <w:bottom w:val="double" w:sz="4" w:space="0" w:color="auto"/>
              <w:right w:val="nil"/>
            </w:tcBorders>
            <w:vAlign w:val="center"/>
          </w:tcPr>
          <w:p w14:paraId="2A1516B6" w14:textId="471D2757" w:rsidR="00017A0C" w:rsidRPr="00721663" w:rsidRDefault="00017A0C" w:rsidP="00017A0C">
            <w:pPr>
              <w:ind w:right="127"/>
              <w:jc w:val="right"/>
              <w:rPr>
                <w:rFonts w:ascii="Arial" w:eastAsia="Arial Unicode MS" w:hAnsi="Arial" w:cs="Arial"/>
                <w:b/>
                <w:sz w:val="18"/>
                <w:szCs w:val="18"/>
                <w:lang w:val="bg-BG"/>
              </w:rPr>
            </w:pPr>
            <w:r>
              <w:rPr>
                <w:rFonts w:ascii="Arial" w:eastAsia="Arial Unicode MS" w:hAnsi="Arial" w:cs="Arial"/>
                <w:b/>
                <w:sz w:val="18"/>
                <w:szCs w:val="18"/>
                <w:lang w:val="en-GB" w:eastAsia="bg-BG"/>
              </w:rPr>
              <w:t>(535)</w:t>
            </w:r>
          </w:p>
        </w:tc>
      </w:tr>
    </w:tbl>
    <w:p w14:paraId="7333B149" w14:textId="77777777" w:rsidR="00E07C4E" w:rsidRPr="00721663" w:rsidRDefault="00E07C4E" w:rsidP="00E07C4E">
      <w:pPr>
        <w:pStyle w:val="Heading1"/>
      </w:pPr>
      <w:bookmarkStart w:id="32" w:name="_Toc490647398"/>
      <w:r w:rsidRPr="00721663">
        <w:t>6. Данък върху дохода</w:t>
      </w:r>
      <w:bookmarkEnd w:id="32"/>
    </w:p>
    <w:p w14:paraId="212530E9" w14:textId="77777777" w:rsidR="00E07C4E" w:rsidRPr="00721663" w:rsidRDefault="00E07C4E" w:rsidP="00E07C4E">
      <w:pPr>
        <w:pStyle w:val="Heading2"/>
        <w:tabs>
          <w:tab w:val="left" w:pos="227"/>
          <w:tab w:val="left" w:pos="454"/>
          <w:tab w:val="left" w:pos="680"/>
          <w:tab w:val="left" w:pos="907"/>
        </w:tabs>
        <w:spacing w:before="60" w:after="120"/>
        <w:jc w:val="left"/>
        <w:rPr>
          <w:rFonts w:ascii="Arial" w:hAnsi="Arial" w:cs="Arial"/>
          <w:sz w:val="18"/>
          <w:szCs w:val="18"/>
          <w:lang w:val="bg-BG"/>
        </w:rPr>
      </w:pPr>
      <w:r w:rsidRPr="00721663">
        <w:rPr>
          <w:rFonts w:ascii="Arial" w:hAnsi="Arial" w:cs="Arial"/>
          <w:sz w:val="18"/>
          <w:szCs w:val="18"/>
          <w:lang w:val="bg-BG"/>
        </w:rPr>
        <w:t>(Разход за)</w:t>
      </w:r>
      <w:r w:rsidRPr="00721663">
        <w:rPr>
          <w:lang w:val="bg-BG"/>
        </w:rPr>
        <w:t>/</w:t>
      </w:r>
      <w:r w:rsidRPr="00721663">
        <w:rPr>
          <w:rFonts w:ascii="Arial" w:hAnsi="Arial" w:cs="Arial"/>
          <w:sz w:val="18"/>
          <w:szCs w:val="18"/>
          <w:lang w:val="bg-BG"/>
        </w:rPr>
        <w:t>икономия от данък върху доходите</w:t>
      </w:r>
    </w:p>
    <w:tbl>
      <w:tblPr>
        <w:tblW w:w="8364" w:type="dxa"/>
        <w:tblLayout w:type="fixed"/>
        <w:tblCellMar>
          <w:left w:w="0" w:type="dxa"/>
          <w:right w:w="0" w:type="dxa"/>
        </w:tblCellMar>
        <w:tblLook w:val="0000" w:firstRow="0" w:lastRow="0" w:firstColumn="0" w:lastColumn="0" w:noHBand="0" w:noVBand="0"/>
      </w:tblPr>
      <w:tblGrid>
        <w:gridCol w:w="4962"/>
        <w:gridCol w:w="1701"/>
        <w:gridCol w:w="141"/>
        <w:gridCol w:w="1560"/>
      </w:tblGrid>
      <w:tr w:rsidR="00E07C4E" w:rsidRPr="00721663" w14:paraId="6BA1658A" w14:textId="77777777" w:rsidTr="00551604">
        <w:trPr>
          <w:cantSplit/>
          <w:trHeight w:val="270"/>
        </w:trPr>
        <w:tc>
          <w:tcPr>
            <w:tcW w:w="4962" w:type="dxa"/>
            <w:tcBorders>
              <w:top w:val="nil"/>
              <w:left w:val="nil"/>
              <w:right w:val="nil"/>
            </w:tcBorders>
            <w:noWrap/>
            <w:vAlign w:val="bottom"/>
          </w:tcPr>
          <w:p w14:paraId="2AD229FF" w14:textId="77777777" w:rsidR="00E07C4E" w:rsidRPr="00721663" w:rsidRDefault="00E07C4E" w:rsidP="00551604">
            <w:pPr>
              <w:jc w:val="left"/>
              <w:rPr>
                <w:rFonts w:ascii="Arial" w:eastAsia="Arial Unicode MS" w:hAnsi="Arial" w:cs="Arial"/>
                <w:szCs w:val="22"/>
                <w:lang w:val="bg-BG"/>
              </w:rPr>
            </w:pPr>
          </w:p>
        </w:tc>
        <w:tc>
          <w:tcPr>
            <w:tcW w:w="3402" w:type="dxa"/>
            <w:gridSpan w:val="3"/>
            <w:tcBorders>
              <w:top w:val="nil"/>
              <w:left w:val="nil"/>
              <w:bottom w:val="single" w:sz="4" w:space="0" w:color="auto"/>
              <w:right w:val="nil"/>
            </w:tcBorders>
            <w:vAlign w:val="bottom"/>
          </w:tcPr>
          <w:p w14:paraId="5BA1DCD3" w14:textId="77777777" w:rsidR="00E07C4E" w:rsidRPr="00721663" w:rsidRDefault="00E07C4E" w:rsidP="00551604">
            <w:pPr>
              <w:jc w:val="center"/>
              <w:rPr>
                <w:rFonts w:ascii="Arial" w:hAnsi="Arial" w:cs="Arial"/>
                <w:b/>
                <w:sz w:val="18"/>
                <w:szCs w:val="18"/>
                <w:lang w:val="bg-BG"/>
              </w:rPr>
            </w:pPr>
            <w:r w:rsidRPr="00721663">
              <w:rPr>
                <w:rFonts w:ascii="Arial" w:hAnsi="Arial" w:cs="Arial"/>
                <w:b/>
                <w:sz w:val="18"/>
                <w:szCs w:val="18"/>
                <w:lang w:val="bg-BG"/>
              </w:rPr>
              <w:t>Шестмесечен период, приключващ на</w:t>
            </w:r>
          </w:p>
        </w:tc>
      </w:tr>
      <w:tr w:rsidR="00E07C4E" w:rsidRPr="00721663" w14:paraId="48D3EE29" w14:textId="77777777" w:rsidTr="00551604">
        <w:trPr>
          <w:cantSplit/>
          <w:trHeight w:val="270"/>
        </w:trPr>
        <w:tc>
          <w:tcPr>
            <w:tcW w:w="4962" w:type="dxa"/>
            <w:tcBorders>
              <w:top w:val="nil"/>
              <w:left w:val="nil"/>
              <w:right w:val="nil"/>
            </w:tcBorders>
            <w:noWrap/>
            <w:vAlign w:val="bottom"/>
          </w:tcPr>
          <w:p w14:paraId="29C145A3" w14:textId="77777777" w:rsidR="00E07C4E" w:rsidRPr="00721663" w:rsidRDefault="00E07C4E" w:rsidP="00551604">
            <w:pPr>
              <w:jc w:val="left"/>
              <w:rPr>
                <w:rFonts w:ascii="Arial" w:eastAsia="Arial Unicode MS" w:hAnsi="Arial" w:cs="Arial"/>
                <w:szCs w:val="22"/>
                <w:lang w:val="bg-BG"/>
              </w:rPr>
            </w:pPr>
          </w:p>
        </w:tc>
        <w:tc>
          <w:tcPr>
            <w:tcW w:w="1701" w:type="dxa"/>
            <w:tcBorders>
              <w:top w:val="nil"/>
              <w:left w:val="nil"/>
              <w:bottom w:val="single" w:sz="4" w:space="0" w:color="auto"/>
              <w:right w:val="nil"/>
            </w:tcBorders>
            <w:vAlign w:val="bottom"/>
          </w:tcPr>
          <w:p w14:paraId="76994445" w14:textId="711426B2" w:rsidR="00E07C4E" w:rsidRPr="00721663" w:rsidRDefault="00144930" w:rsidP="00551604">
            <w:pPr>
              <w:tabs>
                <w:tab w:val="left" w:pos="1725"/>
              </w:tabs>
              <w:jc w:val="right"/>
              <w:rPr>
                <w:rFonts w:ascii="Arial" w:hAnsi="Arial" w:cs="Arial"/>
                <w:b/>
                <w:sz w:val="18"/>
                <w:szCs w:val="18"/>
                <w:lang w:val="bg-BG"/>
              </w:rPr>
            </w:pPr>
            <w:r>
              <w:rPr>
                <w:rFonts w:ascii="Arial" w:hAnsi="Arial" w:cs="Arial"/>
                <w:b/>
                <w:sz w:val="18"/>
                <w:szCs w:val="18"/>
                <w:lang w:val="bg-BG"/>
              </w:rPr>
              <w:t>30 юни 2017</w:t>
            </w:r>
          </w:p>
        </w:tc>
        <w:tc>
          <w:tcPr>
            <w:tcW w:w="141" w:type="dxa"/>
            <w:tcBorders>
              <w:top w:val="nil"/>
              <w:left w:val="nil"/>
              <w:right w:val="nil"/>
            </w:tcBorders>
            <w:vAlign w:val="bottom"/>
          </w:tcPr>
          <w:p w14:paraId="70DD04E6" w14:textId="77777777" w:rsidR="00E07C4E" w:rsidRPr="00721663" w:rsidRDefault="00E07C4E" w:rsidP="00551604">
            <w:pPr>
              <w:jc w:val="right"/>
              <w:rPr>
                <w:rFonts w:ascii="Arial" w:hAnsi="Arial" w:cs="Arial"/>
                <w:b/>
                <w:sz w:val="18"/>
                <w:szCs w:val="18"/>
                <w:lang w:val="bg-BG"/>
              </w:rPr>
            </w:pPr>
          </w:p>
        </w:tc>
        <w:tc>
          <w:tcPr>
            <w:tcW w:w="1560" w:type="dxa"/>
            <w:tcBorders>
              <w:top w:val="nil"/>
              <w:left w:val="nil"/>
              <w:bottom w:val="single" w:sz="4" w:space="0" w:color="auto"/>
              <w:right w:val="nil"/>
            </w:tcBorders>
            <w:vAlign w:val="bottom"/>
          </w:tcPr>
          <w:p w14:paraId="6A11D2E1" w14:textId="34876A7E" w:rsidR="00E07C4E" w:rsidRPr="00721663" w:rsidRDefault="00144930" w:rsidP="00551604">
            <w:pPr>
              <w:jc w:val="right"/>
              <w:rPr>
                <w:rFonts w:ascii="Arial" w:hAnsi="Arial" w:cs="Arial"/>
                <w:b/>
                <w:bCs/>
                <w:sz w:val="18"/>
                <w:szCs w:val="18"/>
                <w:lang w:val="bg-BG"/>
              </w:rPr>
            </w:pPr>
            <w:r>
              <w:rPr>
                <w:rFonts w:ascii="Arial" w:hAnsi="Arial" w:cs="Arial"/>
                <w:b/>
                <w:sz w:val="18"/>
                <w:szCs w:val="18"/>
                <w:lang w:val="bg-BG"/>
              </w:rPr>
              <w:t>30 юни 2016</w:t>
            </w:r>
          </w:p>
        </w:tc>
      </w:tr>
      <w:tr w:rsidR="00E07C4E" w:rsidRPr="00721663" w14:paraId="5467BDD1" w14:textId="77777777" w:rsidTr="00551604">
        <w:trPr>
          <w:trHeight w:hRule="exact" w:val="284"/>
        </w:trPr>
        <w:tc>
          <w:tcPr>
            <w:tcW w:w="4962" w:type="dxa"/>
            <w:tcBorders>
              <w:top w:val="nil"/>
              <w:left w:val="nil"/>
              <w:bottom w:val="nil"/>
              <w:right w:val="nil"/>
            </w:tcBorders>
            <w:noWrap/>
            <w:vAlign w:val="center"/>
          </w:tcPr>
          <w:p w14:paraId="05646E5E" w14:textId="77777777" w:rsidR="00E07C4E" w:rsidRPr="00721663" w:rsidRDefault="00E07C4E" w:rsidP="00551604">
            <w:pPr>
              <w:jc w:val="left"/>
              <w:rPr>
                <w:rFonts w:ascii="Arial" w:eastAsia="Arial Unicode MS" w:hAnsi="Arial" w:cs="Arial"/>
                <w:sz w:val="18"/>
                <w:szCs w:val="18"/>
                <w:lang w:val="bg-BG"/>
              </w:rPr>
            </w:pPr>
          </w:p>
        </w:tc>
        <w:tc>
          <w:tcPr>
            <w:tcW w:w="1701" w:type="dxa"/>
            <w:tcBorders>
              <w:top w:val="nil"/>
              <w:left w:val="nil"/>
              <w:right w:val="nil"/>
            </w:tcBorders>
            <w:vAlign w:val="bottom"/>
          </w:tcPr>
          <w:p w14:paraId="78EACCF5"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141" w:type="dxa"/>
            <w:tcBorders>
              <w:top w:val="nil"/>
              <w:left w:val="nil"/>
              <w:right w:val="nil"/>
            </w:tcBorders>
          </w:tcPr>
          <w:p w14:paraId="62C5D7C6"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560" w:type="dxa"/>
            <w:tcBorders>
              <w:top w:val="nil"/>
              <w:left w:val="nil"/>
              <w:right w:val="nil"/>
            </w:tcBorders>
            <w:vAlign w:val="bottom"/>
          </w:tcPr>
          <w:p w14:paraId="5AF3C209"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r>
      <w:tr w:rsidR="00017A0C" w:rsidRPr="00721663" w14:paraId="7A94100F" w14:textId="77777777" w:rsidTr="00551604">
        <w:trPr>
          <w:trHeight w:hRule="exact" w:val="284"/>
        </w:trPr>
        <w:tc>
          <w:tcPr>
            <w:tcW w:w="4962" w:type="dxa"/>
            <w:tcBorders>
              <w:top w:val="nil"/>
              <w:left w:val="nil"/>
              <w:bottom w:val="nil"/>
              <w:right w:val="nil"/>
            </w:tcBorders>
            <w:noWrap/>
            <w:vAlign w:val="center"/>
          </w:tcPr>
          <w:p w14:paraId="2AE9E001" w14:textId="77777777" w:rsidR="00017A0C" w:rsidRPr="00721663" w:rsidRDefault="00017A0C" w:rsidP="00017A0C">
            <w:pPr>
              <w:jc w:val="left"/>
              <w:rPr>
                <w:rFonts w:ascii="Arial" w:eastAsia="Arial Unicode MS" w:hAnsi="Arial" w:cs="Arial"/>
                <w:sz w:val="18"/>
                <w:szCs w:val="18"/>
                <w:lang w:val="bg-BG"/>
              </w:rPr>
            </w:pPr>
            <w:r w:rsidRPr="00721663">
              <w:rPr>
                <w:rFonts w:ascii="Arial" w:eastAsia="Arial Unicode MS" w:hAnsi="Arial" w:cs="Arial"/>
                <w:sz w:val="18"/>
                <w:szCs w:val="18"/>
                <w:lang w:val="bg-BG"/>
              </w:rPr>
              <w:t>Разход за текущ данък върху дохода</w:t>
            </w:r>
          </w:p>
        </w:tc>
        <w:tc>
          <w:tcPr>
            <w:tcW w:w="1701" w:type="dxa"/>
            <w:tcBorders>
              <w:top w:val="nil"/>
              <w:left w:val="nil"/>
              <w:right w:val="nil"/>
            </w:tcBorders>
          </w:tcPr>
          <w:p w14:paraId="69436179" w14:textId="2CC5E9EF" w:rsidR="00017A0C" w:rsidRPr="00721663" w:rsidRDefault="00017A0C" w:rsidP="00017A0C">
            <w:pPr>
              <w:ind w:right="127"/>
              <w:jc w:val="right"/>
              <w:rPr>
                <w:rFonts w:ascii="Arial" w:hAnsi="Arial" w:cs="Arial"/>
                <w:sz w:val="18"/>
                <w:szCs w:val="18"/>
                <w:lang w:val="bg-BG"/>
              </w:rPr>
            </w:pPr>
            <w:r>
              <w:rPr>
                <w:rFonts w:ascii="Arial" w:hAnsi="Arial" w:cs="Arial"/>
                <w:sz w:val="18"/>
                <w:szCs w:val="18"/>
                <w:lang w:val="en-GB" w:eastAsia="bg-BG"/>
              </w:rPr>
              <w:t>(41)</w:t>
            </w:r>
          </w:p>
        </w:tc>
        <w:tc>
          <w:tcPr>
            <w:tcW w:w="141" w:type="dxa"/>
            <w:tcBorders>
              <w:top w:val="nil"/>
              <w:left w:val="nil"/>
              <w:right w:val="nil"/>
            </w:tcBorders>
          </w:tcPr>
          <w:p w14:paraId="58FF5A5D" w14:textId="77777777" w:rsidR="00017A0C" w:rsidRPr="00721663" w:rsidRDefault="00017A0C" w:rsidP="00017A0C">
            <w:pPr>
              <w:ind w:right="127"/>
              <w:jc w:val="right"/>
              <w:rPr>
                <w:rFonts w:ascii="Arial" w:hAnsi="Arial" w:cs="Arial"/>
                <w:sz w:val="18"/>
                <w:szCs w:val="18"/>
                <w:lang w:val="bg-BG"/>
              </w:rPr>
            </w:pPr>
          </w:p>
        </w:tc>
        <w:tc>
          <w:tcPr>
            <w:tcW w:w="1560" w:type="dxa"/>
            <w:tcBorders>
              <w:top w:val="nil"/>
              <w:left w:val="nil"/>
              <w:right w:val="nil"/>
            </w:tcBorders>
          </w:tcPr>
          <w:p w14:paraId="573A81D8" w14:textId="4F062F1D" w:rsidR="00017A0C" w:rsidRPr="00721663" w:rsidRDefault="00017A0C" w:rsidP="00017A0C">
            <w:pPr>
              <w:ind w:right="127"/>
              <w:jc w:val="right"/>
              <w:rPr>
                <w:rFonts w:ascii="Arial" w:hAnsi="Arial" w:cs="Arial"/>
                <w:sz w:val="18"/>
                <w:szCs w:val="18"/>
                <w:lang w:val="bg-BG"/>
              </w:rPr>
            </w:pPr>
            <w:r>
              <w:rPr>
                <w:rFonts w:ascii="Arial" w:hAnsi="Arial" w:cs="Arial"/>
                <w:sz w:val="18"/>
                <w:szCs w:val="18"/>
                <w:lang w:val="en-GB" w:eastAsia="bg-BG"/>
              </w:rPr>
              <w:t>(16)</w:t>
            </w:r>
          </w:p>
        </w:tc>
      </w:tr>
      <w:tr w:rsidR="00017A0C" w:rsidRPr="00721663" w14:paraId="56D567B0" w14:textId="77777777" w:rsidTr="00551604">
        <w:trPr>
          <w:trHeight w:hRule="exact" w:val="284"/>
        </w:trPr>
        <w:tc>
          <w:tcPr>
            <w:tcW w:w="4962" w:type="dxa"/>
            <w:tcBorders>
              <w:top w:val="nil"/>
              <w:left w:val="nil"/>
              <w:bottom w:val="nil"/>
              <w:right w:val="nil"/>
            </w:tcBorders>
            <w:noWrap/>
            <w:vAlign w:val="center"/>
          </w:tcPr>
          <w:p w14:paraId="1D39126D" w14:textId="68645103" w:rsidR="00017A0C" w:rsidRPr="00721663" w:rsidRDefault="00017A0C" w:rsidP="00017A0C">
            <w:pPr>
              <w:jc w:val="left"/>
              <w:rPr>
                <w:rFonts w:ascii="Arial" w:eastAsia="Arial Unicode MS" w:hAnsi="Arial" w:cs="Arial"/>
                <w:sz w:val="18"/>
                <w:szCs w:val="18"/>
                <w:lang w:val="bg-BG"/>
              </w:rPr>
            </w:pPr>
            <w:r>
              <w:rPr>
                <w:rFonts w:ascii="Arial" w:eastAsia="Arial Unicode MS" w:hAnsi="Arial" w:cs="Arial"/>
                <w:sz w:val="18"/>
                <w:szCs w:val="18"/>
                <w:lang w:val="bg-BG"/>
              </w:rPr>
              <w:t>Приход от / (разход</w:t>
            </w:r>
            <w:r w:rsidRPr="00721663">
              <w:rPr>
                <w:rFonts w:ascii="Arial" w:eastAsia="Arial Unicode MS" w:hAnsi="Arial" w:cs="Arial"/>
                <w:sz w:val="18"/>
                <w:szCs w:val="18"/>
                <w:lang w:val="bg-BG"/>
              </w:rPr>
              <w:t xml:space="preserve"> </w:t>
            </w:r>
            <w:r>
              <w:rPr>
                <w:rFonts w:ascii="Arial" w:eastAsia="Arial Unicode MS" w:hAnsi="Arial" w:cs="Arial"/>
                <w:sz w:val="18"/>
                <w:szCs w:val="18"/>
                <w:lang w:val="bg-BG"/>
              </w:rPr>
              <w:t>за</w:t>
            </w:r>
            <w:r>
              <w:rPr>
                <w:rFonts w:ascii="Arial" w:eastAsia="Arial Unicode MS" w:hAnsi="Arial" w:cs="Arial"/>
                <w:sz w:val="18"/>
                <w:szCs w:val="18"/>
              </w:rPr>
              <w:t>)</w:t>
            </w:r>
            <w:r w:rsidRPr="00721663">
              <w:rPr>
                <w:rFonts w:ascii="Arial" w:eastAsia="Arial Unicode MS" w:hAnsi="Arial" w:cs="Arial"/>
                <w:sz w:val="18"/>
                <w:szCs w:val="18"/>
                <w:lang w:val="bg-BG"/>
              </w:rPr>
              <w:t xml:space="preserve"> отсрочени данъци</w:t>
            </w:r>
          </w:p>
        </w:tc>
        <w:tc>
          <w:tcPr>
            <w:tcW w:w="1701" w:type="dxa"/>
            <w:tcBorders>
              <w:top w:val="nil"/>
              <w:left w:val="nil"/>
              <w:bottom w:val="single" w:sz="4" w:space="0" w:color="auto"/>
              <w:right w:val="nil"/>
            </w:tcBorders>
          </w:tcPr>
          <w:p w14:paraId="3184A68E" w14:textId="2A712FC4" w:rsidR="00017A0C" w:rsidRPr="00142F8A" w:rsidRDefault="00017A0C" w:rsidP="00017A0C">
            <w:pPr>
              <w:ind w:right="127"/>
              <w:jc w:val="right"/>
              <w:rPr>
                <w:rFonts w:ascii="Arial" w:hAnsi="Arial" w:cs="Arial"/>
                <w:sz w:val="18"/>
                <w:szCs w:val="18"/>
              </w:rPr>
            </w:pPr>
            <w:r>
              <w:rPr>
                <w:rFonts w:ascii="Arial" w:hAnsi="Arial" w:cs="Arial"/>
                <w:sz w:val="18"/>
                <w:szCs w:val="18"/>
                <w:lang w:val="en-GB" w:eastAsia="bg-BG"/>
              </w:rPr>
              <w:t>-</w:t>
            </w:r>
          </w:p>
        </w:tc>
        <w:tc>
          <w:tcPr>
            <w:tcW w:w="141" w:type="dxa"/>
            <w:tcBorders>
              <w:top w:val="nil"/>
              <w:left w:val="nil"/>
              <w:right w:val="nil"/>
            </w:tcBorders>
          </w:tcPr>
          <w:p w14:paraId="48F66FF3" w14:textId="77777777" w:rsidR="00017A0C" w:rsidRPr="00721663" w:rsidRDefault="00017A0C" w:rsidP="00017A0C">
            <w:pPr>
              <w:ind w:right="127"/>
              <w:jc w:val="right"/>
              <w:rPr>
                <w:rFonts w:ascii="Arial" w:hAnsi="Arial" w:cs="Arial"/>
                <w:sz w:val="18"/>
                <w:szCs w:val="18"/>
                <w:lang w:val="bg-BG"/>
              </w:rPr>
            </w:pPr>
          </w:p>
        </w:tc>
        <w:tc>
          <w:tcPr>
            <w:tcW w:w="1560" w:type="dxa"/>
            <w:tcBorders>
              <w:top w:val="nil"/>
              <w:left w:val="nil"/>
              <w:bottom w:val="single" w:sz="4" w:space="0" w:color="auto"/>
              <w:right w:val="nil"/>
            </w:tcBorders>
          </w:tcPr>
          <w:p w14:paraId="3131995E" w14:textId="2E66D675" w:rsidR="00017A0C" w:rsidRPr="00721663" w:rsidRDefault="00017A0C" w:rsidP="00017A0C">
            <w:pPr>
              <w:ind w:right="127"/>
              <w:jc w:val="right"/>
              <w:rPr>
                <w:rFonts w:ascii="Arial" w:hAnsi="Arial" w:cs="Arial"/>
                <w:sz w:val="18"/>
                <w:szCs w:val="18"/>
                <w:lang w:val="bg-BG"/>
              </w:rPr>
            </w:pPr>
            <w:r>
              <w:rPr>
                <w:rFonts w:ascii="Arial" w:hAnsi="Arial" w:cs="Arial"/>
                <w:sz w:val="18"/>
                <w:szCs w:val="18"/>
                <w:lang w:val="en-GB" w:eastAsia="bg-BG"/>
              </w:rPr>
              <w:t>4</w:t>
            </w:r>
          </w:p>
        </w:tc>
      </w:tr>
      <w:tr w:rsidR="00017A0C" w:rsidRPr="00721663" w14:paraId="1B77AED0" w14:textId="77777777" w:rsidTr="00551604">
        <w:trPr>
          <w:trHeight w:hRule="exact" w:val="284"/>
        </w:trPr>
        <w:tc>
          <w:tcPr>
            <w:tcW w:w="4962" w:type="dxa"/>
            <w:tcBorders>
              <w:left w:val="nil"/>
              <w:bottom w:val="nil"/>
              <w:right w:val="nil"/>
            </w:tcBorders>
            <w:noWrap/>
            <w:vAlign w:val="center"/>
          </w:tcPr>
          <w:p w14:paraId="53F7C226" w14:textId="77777777" w:rsidR="00017A0C" w:rsidRPr="00721663" w:rsidRDefault="00017A0C" w:rsidP="00017A0C">
            <w:pPr>
              <w:pStyle w:val="head"/>
              <w:jc w:val="left"/>
              <w:rPr>
                <w:rFonts w:eastAsia="Arial Unicode MS" w:cs="Arial"/>
                <w:b w:val="0"/>
                <w:sz w:val="18"/>
                <w:szCs w:val="18"/>
                <w:lang w:val="bg-BG"/>
              </w:rPr>
            </w:pPr>
          </w:p>
        </w:tc>
        <w:tc>
          <w:tcPr>
            <w:tcW w:w="1701" w:type="dxa"/>
            <w:tcBorders>
              <w:left w:val="nil"/>
              <w:bottom w:val="double" w:sz="4" w:space="0" w:color="auto"/>
              <w:right w:val="nil"/>
            </w:tcBorders>
          </w:tcPr>
          <w:p w14:paraId="62E00544" w14:textId="3C688051" w:rsidR="00017A0C" w:rsidRPr="00721663" w:rsidRDefault="00017A0C" w:rsidP="00017A0C">
            <w:pPr>
              <w:ind w:right="127"/>
              <w:jc w:val="right"/>
              <w:rPr>
                <w:rFonts w:ascii="Arial" w:eastAsia="Arial Unicode MS" w:hAnsi="Arial" w:cs="Arial"/>
                <w:b/>
                <w:sz w:val="18"/>
                <w:szCs w:val="18"/>
                <w:lang w:val="bg-BG"/>
              </w:rPr>
            </w:pPr>
            <w:r>
              <w:rPr>
                <w:rFonts w:ascii="Arial" w:eastAsia="Arial Unicode MS" w:hAnsi="Arial" w:cs="Arial"/>
                <w:b/>
                <w:sz w:val="18"/>
                <w:szCs w:val="18"/>
                <w:lang w:val="en-GB" w:eastAsia="bg-BG"/>
              </w:rPr>
              <w:t>(41)</w:t>
            </w:r>
          </w:p>
        </w:tc>
        <w:tc>
          <w:tcPr>
            <w:tcW w:w="141" w:type="dxa"/>
            <w:tcBorders>
              <w:left w:val="nil"/>
              <w:right w:val="nil"/>
            </w:tcBorders>
          </w:tcPr>
          <w:p w14:paraId="4736FD42" w14:textId="77777777" w:rsidR="00017A0C" w:rsidRPr="00721663" w:rsidRDefault="00017A0C" w:rsidP="00017A0C">
            <w:pPr>
              <w:ind w:right="127"/>
              <w:jc w:val="right"/>
              <w:rPr>
                <w:rFonts w:ascii="Arial" w:eastAsia="Arial Unicode MS" w:hAnsi="Arial" w:cs="Arial"/>
                <w:b/>
                <w:sz w:val="18"/>
                <w:szCs w:val="18"/>
                <w:lang w:val="bg-BG"/>
              </w:rPr>
            </w:pPr>
          </w:p>
        </w:tc>
        <w:tc>
          <w:tcPr>
            <w:tcW w:w="1560" w:type="dxa"/>
            <w:tcBorders>
              <w:left w:val="nil"/>
              <w:bottom w:val="double" w:sz="4" w:space="0" w:color="auto"/>
              <w:right w:val="nil"/>
            </w:tcBorders>
          </w:tcPr>
          <w:p w14:paraId="239EBAF9" w14:textId="3F45145B" w:rsidR="00017A0C" w:rsidRPr="00721663" w:rsidRDefault="00017A0C" w:rsidP="00017A0C">
            <w:pPr>
              <w:ind w:right="127"/>
              <w:jc w:val="right"/>
              <w:rPr>
                <w:rFonts w:ascii="Arial" w:eastAsia="Arial Unicode MS" w:hAnsi="Arial" w:cs="Arial"/>
                <w:b/>
                <w:sz w:val="18"/>
                <w:szCs w:val="18"/>
                <w:lang w:val="bg-BG"/>
              </w:rPr>
            </w:pPr>
            <w:r>
              <w:rPr>
                <w:rFonts w:ascii="Arial" w:eastAsia="Arial Unicode MS" w:hAnsi="Arial" w:cs="Arial"/>
                <w:b/>
                <w:sz w:val="18"/>
                <w:szCs w:val="18"/>
                <w:lang w:val="en-GB" w:eastAsia="bg-BG"/>
              </w:rPr>
              <w:t>(12)</w:t>
            </w:r>
          </w:p>
        </w:tc>
      </w:tr>
    </w:tbl>
    <w:p w14:paraId="18609DE6" w14:textId="77777777" w:rsidR="00680E2F" w:rsidRDefault="00680E2F">
      <w:pPr>
        <w:spacing w:line="240" w:lineRule="auto"/>
        <w:jc w:val="left"/>
        <w:rPr>
          <w:rFonts w:ascii="Arial" w:hAnsi="Arial" w:cs="Arial"/>
          <w:sz w:val="18"/>
          <w:szCs w:val="18"/>
          <w:lang w:val="bg-BG"/>
        </w:rPr>
      </w:pPr>
      <w:r>
        <w:rPr>
          <w:rFonts w:ascii="Arial" w:hAnsi="Arial" w:cs="Arial"/>
          <w:sz w:val="18"/>
          <w:szCs w:val="18"/>
          <w:lang w:val="bg-BG"/>
        </w:rPr>
        <w:br w:type="page"/>
      </w:r>
    </w:p>
    <w:p w14:paraId="5B9AE496" w14:textId="77777777" w:rsidR="00E07C4E" w:rsidRPr="009B0F52" w:rsidRDefault="00E07C4E" w:rsidP="009451E6">
      <w:pPr>
        <w:spacing w:after="120"/>
      </w:pPr>
      <w:r w:rsidRPr="009B0F52">
        <w:rPr>
          <w:rFonts w:ascii="Arial" w:hAnsi="Arial" w:cs="Arial"/>
          <w:b/>
          <w:lang w:val="bg-BG"/>
        </w:rPr>
        <w:t xml:space="preserve">6. Данък върху дохода </w:t>
      </w:r>
      <w:r w:rsidRPr="009451E6">
        <w:rPr>
          <w:rFonts w:ascii="Arial" w:hAnsi="Arial" w:cs="Arial"/>
          <w:b/>
          <w:lang w:val="bg-BG"/>
        </w:rPr>
        <w:t>(продължение)</w:t>
      </w:r>
    </w:p>
    <w:p w14:paraId="60402E53" w14:textId="5B036261" w:rsidR="00E07C4E" w:rsidRPr="00721663" w:rsidRDefault="00E07C4E" w:rsidP="00E07C4E">
      <w:pPr>
        <w:tabs>
          <w:tab w:val="left" w:pos="360"/>
        </w:tabs>
        <w:spacing w:after="120"/>
        <w:jc w:val="left"/>
        <w:rPr>
          <w:rFonts w:ascii="Arial" w:hAnsi="Arial" w:cs="Arial"/>
          <w:sz w:val="18"/>
          <w:szCs w:val="18"/>
          <w:lang w:val="bg-BG"/>
        </w:rPr>
      </w:pPr>
      <w:r w:rsidRPr="00721663">
        <w:rPr>
          <w:rFonts w:ascii="Arial" w:hAnsi="Arial" w:cs="Arial"/>
          <w:sz w:val="18"/>
          <w:szCs w:val="18"/>
          <w:lang w:val="bg-BG"/>
        </w:rPr>
        <w:t xml:space="preserve">Равнението между разхода за данък върху дохода и сумата на счетоводната </w:t>
      </w:r>
      <w:r>
        <w:rPr>
          <w:rFonts w:ascii="Arial" w:hAnsi="Arial" w:cs="Arial"/>
          <w:sz w:val="18"/>
          <w:szCs w:val="18"/>
          <w:lang w:val="bg-BG"/>
        </w:rPr>
        <w:t>печалба</w:t>
      </w:r>
      <w:r w:rsidRPr="00721663">
        <w:rPr>
          <w:rFonts w:ascii="Arial" w:hAnsi="Arial" w:cs="Arial"/>
          <w:sz w:val="18"/>
          <w:szCs w:val="18"/>
          <w:lang w:val="bg-BG"/>
        </w:rPr>
        <w:t>, умножена по приложимата данъчна ставка за шестмесечн</w:t>
      </w:r>
      <w:r w:rsidR="00017A0C">
        <w:rPr>
          <w:rFonts w:ascii="Arial" w:hAnsi="Arial" w:cs="Arial"/>
          <w:sz w:val="18"/>
          <w:szCs w:val="18"/>
          <w:lang w:val="bg-BG"/>
        </w:rPr>
        <w:t>ия период, приключващ на 30 юни</w:t>
      </w:r>
      <w:r w:rsidRPr="00721663">
        <w:rPr>
          <w:rFonts w:ascii="Arial" w:hAnsi="Arial" w:cs="Arial"/>
          <w:sz w:val="18"/>
          <w:szCs w:val="18"/>
          <w:lang w:val="bg-BG"/>
        </w:rPr>
        <w:t xml:space="preserve"> </w:t>
      </w:r>
      <w:r>
        <w:rPr>
          <w:rFonts w:ascii="Arial" w:hAnsi="Arial" w:cs="Arial"/>
          <w:sz w:val="18"/>
          <w:szCs w:val="18"/>
          <w:lang w:val="bg-BG"/>
        </w:rPr>
        <w:t>201</w:t>
      </w:r>
      <w:r w:rsidR="00017A0C">
        <w:rPr>
          <w:rFonts w:ascii="Arial" w:hAnsi="Arial" w:cs="Arial"/>
          <w:sz w:val="18"/>
          <w:szCs w:val="18"/>
          <w:lang w:val="bg-BG"/>
        </w:rPr>
        <w:t>7</w:t>
      </w:r>
      <w:r w:rsidRPr="00721663">
        <w:rPr>
          <w:rFonts w:ascii="Arial" w:hAnsi="Arial" w:cs="Arial"/>
          <w:sz w:val="18"/>
          <w:szCs w:val="18"/>
          <w:lang w:val="bg-BG"/>
        </w:rPr>
        <w:t xml:space="preserve"> и </w:t>
      </w:r>
      <w:r w:rsidR="00144930">
        <w:rPr>
          <w:rFonts w:ascii="Arial" w:hAnsi="Arial" w:cs="Arial"/>
          <w:sz w:val="18"/>
          <w:szCs w:val="18"/>
          <w:lang w:val="bg-BG"/>
        </w:rPr>
        <w:t>30 юни 2016</w:t>
      </w:r>
      <w:r w:rsidRPr="00721663">
        <w:rPr>
          <w:rFonts w:ascii="Arial" w:hAnsi="Arial" w:cs="Arial"/>
          <w:sz w:val="18"/>
          <w:szCs w:val="18"/>
          <w:lang w:val="bg-BG"/>
        </w:rPr>
        <w:t xml:space="preserve"> г., е представено по-долу:</w:t>
      </w:r>
    </w:p>
    <w:tbl>
      <w:tblPr>
        <w:tblW w:w="8364" w:type="dxa"/>
        <w:tblLayout w:type="fixed"/>
        <w:tblCellMar>
          <w:left w:w="0" w:type="dxa"/>
          <w:right w:w="0" w:type="dxa"/>
        </w:tblCellMar>
        <w:tblLook w:val="0000" w:firstRow="0" w:lastRow="0" w:firstColumn="0" w:lastColumn="0" w:noHBand="0" w:noVBand="0"/>
      </w:tblPr>
      <w:tblGrid>
        <w:gridCol w:w="4962"/>
        <w:gridCol w:w="1701"/>
        <w:gridCol w:w="141"/>
        <w:gridCol w:w="1560"/>
      </w:tblGrid>
      <w:tr w:rsidR="00E07C4E" w:rsidRPr="00721663" w14:paraId="351AA036" w14:textId="77777777" w:rsidTr="00551604">
        <w:trPr>
          <w:trHeight w:val="80"/>
        </w:trPr>
        <w:tc>
          <w:tcPr>
            <w:tcW w:w="4962" w:type="dxa"/>
            <w:tcBorders>
              <w:top w:val="nil"/>
              <w:left w:val="nil"/>
              <w:right w:val="nil"/>
            </w:tcBorders>
            <w:noWrap/>
            <w:vAlign w:val="bottom"/>
          </w:tcPr>
          <w:p w14:paraId="193E0C35" w14:textId="77777777" w:rsidR="00E07C4E" w:rsidRPr="00721663" w:rsidRDefault="00E07C4E" w:rsidP="00551604">
            <w:pPr>
              <w:ind w:right="709"/>
              <w:jc w:val="left"/>
              <w:rPr>
                <w:rFonts w:ascii="Arial" w:eastAsia="Arial Unicode MS" w:hAnsi="Arial" w:cs="Arial"/>
                <w:sz w:val="18"/>
                <w:szCs w:val="18"/>
                <w:lang w:val="bg-BG"/>
              </w:rPr>
            </w:pPr>
          </w:p>
        </w:tc>
        <w:tc>
          <w:tcPr>
            <w:tcW w:w="1701" w:type="dxa"/>
            <w:tcBorders>
              <w:top w:val="nil"/>
              <w:left w:val="nil"/>
              <w:bottom w:val="single" w:sz="4" w:space="0" w:color="auto"/>
              <w:right w:val="nil"/>
            </w:tcBorders>
            <w:vAlign w:val="bottom"/>
          </w:tcPr>
          <w:p w14:paraId="7C670FDD" w14:textId="5D645AD0" w:rsidR="00E07C4E" w:rsidRPr="00721663" w:rsidRDefault="00144930" w:rsidP="00551604">
            <w:pPr>
              <w:tabs>
                <w:tab w:val="left" w:pos="1725"/>
              </w:tabs>
              <w:jc w:val="right"/>
              <w:rPr>
                <w:rFonts w:ascii="Arial" w:hAnsi="Arial" w:cs="Arial"/>
                <w:b/>
                <w:sz w:val="18"/>
                <w:szCs w:val="18"/>
                <w:lang w:val="bg-BG"/>
              </w:rPr>
            </w:pPr>
            <w:r>
              <w:rPr>
                <w:rFonts w:ascii="Arial" w:hAnsi="Arial" w:cs="Arial"/>
                <w:b/>
                <w:sz w:val="18"/>
                <w:szCs w:val="18"/>
                <w:lang w:val="bg-BG"/>
              </w:rPr>
              <w:t>30 юни 2017</w:t>
            </w:r>
          </w:p>
        </w:tc>
        <w:tc>
          <w:tcPr>
            <w:tcW w:w="141" w:type="dxa"/>
            <w:tcBorders>
              <w:top w:val="nil"/>
              <w:left w:val="nil"/>
              <w:right w:val="nil"/>
            </w:tcBorders>
            <w:vAlign w:val="bottom"/>
          </w:tcPr>
          <w:p w14:paraId="18D87D7C" w14:textId="77777777" w:rsidR="00E07C4E" w:rsidRPr="00721663" w:rsidRDefault="00E07C4E" w:rsidP="00551604">
            <w:pPr>
              <w:jc w:val="right"/>
              <w:rPr>
                <w:rFonts w:ascii="Arial" w:hAnsi="Arial" w:cs="Arial"/>
                <w:b/>
                <w:sz w:val="18"/>
                <w:szCs w:val="18"/>
                <w:lang w:val="bg-BG"/>
              </w:rPr>
            </w:pPr>
          </w:p>
        </w:tc>
        <w:tc>
          <w:tcPr>
            <w:tcW w:w="1560" w:type="dxa"/>
            <w:tcBorders>
              <w:top w:val="nil"/>
              <w:left w:val="nil"/>
              <w:bottom w:val="single" w:sz="4" w:space="0" w:color="auto"/>
              <w:right w:val="nil"/>
            </w:tcBorders>
            <w:vAlign w:val="bottom"/>
          </w:tcPr>
          <w:p w14:paraId="4452BC9D" w14:textId="0FBF152E" w:rsidR="00E07C4E" w:rsidRPr="00721663" w:rsidRDefault="00144930" w:rsidP="00551604">
            <w:pPr>
              <w:jc w:val="right"/>
              <w:rPr>
                <w:rFonts w:ascii="Arial" w:hAnsi="Arial" w:cs="Arial"/>
                <w:b/>
                <w:bCs/>
                <w:sz w:val="18"/>
                <w:szCs w:val="18"/>
                <w:lang w:val="bg-BG"/>
              </w:rPr>
            </w:pPr>
            <w:r>
              <w:rPr>
                <w:rFonts w:ascii="Arial" w:hAnsi="Arial" w:cs="Arial"/>
                <w:b/>
                <w:sz w:val="18"/>
                <w:szCs w:val="18"/>
                <w:lang w:val="bg-BG"/>
              </w:rPr>
              <w:t>30 юни 2016</w:t>
            </w:r>
          </w:p>
        </w:tc>
      </w:tr>
      <w:tr w:rsidR="00E07C4E" w:rsidRPr="00721663" w14:paraId="32C05531" w14:textId="77777777" w:rsidTr="00551604">
        <w:trPr>
          <w:trHeight w:val="137"/>
        </w:trPr>
        <w:tc>
          <w:tcPr>
            <w:tcW w:w="4962" w:type="dxa"/>
            <w:tcBorders>
              <w:top w:val="nil"/>
              <w:left w:val="nil"/>
              <w:right w:val="nil"/>
            </w:tcBorders>
            <w:noWrap/>
            <w:vAlign w:val="bottom"/>
          </w:tcPr>
          <w:p w14:paraId="598114E7" w14:textId="77777777" w:rsidR="00E07C4E" w:rsidRPr="00721663" w:rsidRDefault="00E07C4E" w:rsidP="00551604">
            <w:pPr>
              <w:jc w:val="left"/>
              <w:rPr>
                <w:rFonts w:ascii="Arial" w:eastAsia="Arial Unicode MS" w:hAnsi="Arial" w:cs="Arial"/>
                <w:sz w:val="18"/>
                <w:szCs w:val="18"/>
                <w:lang w:val="bg-BG"/>
              </w:rPr>
            </w:pPr>
          </w:p>
        </w:tc>
        <w:tc>
          <w:tcPr>
            <w:tcW w:w="1701" w:type="dxa"/>
            <w:tcBorders>
              <w:left w:val="nil"/>
              <w:right w:val="nil"/>
            </w:tcBorders>
            <w:vAlign w:val="bottom"/>
          </w:tcPr>
          <w:p w14:paraId="480BC13A"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141" w:type="dxa"/>
            <w:tcBorders>
              <w:left w:val="nil"/>
              <w:right w:val="nil"/>
            </w:tcBorders>
          </w:tcPr>
          <w:p w14:paraId="0600A9B6"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560" w:type="dxa"/>
            <w:tcBorders>
              <w:left w:val="nil"/>
              <w:right w:val="nil"/>
            </w:tcBorders>
            <w:vAlign w:val="bottom"/>
          </w:tcPr>
          <w:p w14:paraId="627B6436"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r>
      <w:tr w:rsidR="00017A0C" w:rsidRPr="00721663" w14:paraId="5AC710BF" w14:textId="77777777" w:rsidTr="00551604">
        <w:trPr>
          <w:trHeight w:hRule="exact" w:val="266"/>
        </w:trPr>
        <w:tc>
          <w:tcPr>
            <w:tcW w:w="4962" w:type="dxa"/>
            <w:tcBorders>
              <w:top w:val="nil"/>
              <w:left w:val="nil"/>
              <w:right w:val="nil"/>
            </w:tcBorders>
            <w:noWrap/>
            <w:vAlign w:val="center"/>
          </w:tcPr>
          <w:p w14:paraId="17911005" w14:textId="1A72B683" w:rsidR="00017A0C" w:rsidRPr="00721663" w:rsidRDefault="00017A0C" w:rsidP="00017A0C">
            <w:pPr>
              <w:jc w:val="left"/>
              <w:rPr>
                <w:rFonts w:ascii="Arial" w:eastAsia="Arial Unicode MS" w:hAnsi="Arial" w:cs="Arial"/>
                <w:sz w:val="18"/>
                <w:szCs w:val="18"/>
                <w:lang w:val="bg-BG"/>
              </w:rPr>
            </w:pPr>
            <w:r w:rsidRPr="00721663">
              <w:rPr>
                <w:rFonts w:ascii="Arial" w:eastAsia="Arial Unicode MS" w:hAnsi="Arial" w:cs="Arial"/>
                <w:sz w:val="18"/>
                <w:szCs w:val="18"/>
                <w:lang w:val="bg-BG"/>
              </w:rPr>
              <w:t>Счетоводна печалба  преди данъчно облагане</w:t>
            </w:r>
          </w:p>
        </w:tc>
        <w:tc>
          <w:tcPr>
            <w:tcW w:w="1701" w:type="dxa"/>
            <w:tcBorders>
              <w:top w:val="nil"/>
              <w:left w:val="nil"/>
              <w:right w:val="nil"/>
            </w:tcBorders>
            <w:vAlign w:val="center"/>
          </w:tcPr>
          <w:p w14:paraId="332053C7" w14:textId="0276BD9B" w:rsidR="00017A0C" w:rsidRPr="00721663" w:rsidRDefault="00017A0C" w:rsidP="00017A0C">
            <w:pPr>
              <w:ind w:right="142"/>
              <w:jc w:val="right"/>
              <w:rPr>
                <w:rFonts w:ascii="Arial" w:eastAsia="Arial Unicode MS" w:hAnsi="Arial" w:cs="Arial"/>
                <w:sz w:val="18"/>
                <w:szCs w:val="18"/>
                <w:lang w:val="bg-BG"/>
              </w:rPr>
            </w:pPr>
            <w:r>
              <w:rPr>
                <w:rFonts w:ascii="Arial" w:eastAsia="Arial Unicode MS" w:hAnsi="Arial" w:cs="Arial"/>
                <w:sz w:val="18"/>
                <w:szCs w:val="18"/>
                <w:lang w:val="en-GB" w:eastAsia="bg-BG"/>
              </w:rPr>
              <w:t>393</w:t>
            </w:r>
          </w:p>
        </w:tc>
        <w:tc>
          <w:tcPr>
            <w:tcW w:w="141" w:type="dxa"/>
            <w:tcBorders>
              <w:top w:val="nil"/>
              <w:left w:val="nil"/>
              <w:right w:val="nil"/>
            </w:tcBorders>
            <w:vAlign w:val="center"/>
          </w:tcPr>
          <w:p w14:paraId="7A3AC977" w14:textId="77777777" w:rsidR="00017A0C" w:rsidRPr="00721663" w:rsidRDefault="00017A0C" w:rsidP="00017A0C">
            <w:pPr>
              <w:ind w:right="142"/>
              <w:jc w:val="right"/>
              <w:rPr>
                <w:rFonts w:ascii="Arial" w:eastAsia="Arial Unicode MS" w:hAnsi="Arial" w:cs="Arial"/>
                <w:sz w:val="18"/>
                <w:szCs w:val="18"/>
                <w:lang w:val="bg-BG"/>
              </w:rPr>
            </w:pPr>
          </w:p>
        </w:tc>
        <w:tc>
          <w:tcPr>
            <w:tcW w:w="1560" w:type="dxa"/>
            <w:tcBorders>
              <w:top w:val="nil"/>
              <w:left w:val="nil"/>
              <w:right w:val="nil"/>
            </w:tcBorders>
            <w:vAlign w:val="center"/>
          </w:tcPr>
          <w:p w14:paraId="3C4FC1B5" w14:textId="6A2ED76A" w:rsidR="00017A0C" w:rsidRPr="00721663" w:rsidRDefault="00017A0C" w:rsidP="00017A0C">
            <w:pPr>
              <w:ind w:right="142"/>
              <w:jc w:val="right"/>
              <w:rPr>
                <w:rFonts w:ascii="Arial" w:eastAsia="Arial Unicode MS" w:hAnsi="Arial" w:cs="Arial"/>
                <w:sz w:val="18"/>
                <w:szCs w:val="18"/>
                <w:lang w:val="bg-BG"/>
              </w:rPr>
            </w:pPr>
            <w:r>
              <w:rPr>
                <w:rFonts w:ascii="Arial" w:eastAsia="Arial Unicode MS" w:hAnsi="Arial" w:cs="Arial"/>
                <w:sz w:val="18"/>
                <w:szCs w:val="18"/>
                <w:lang w:val="en-GB" w:eastAsia="bg-BG"/>
              </w:rPr>
              <w:t>111</w:t>
            </w:r>
          </w:p>
        </w:tc>
      </w:tr>
      <w:tr w:rsidR="00017A0C" w:rsidRPr="00721663" w14:paraId="006B1D06" w14:textId="77777777" w:rsidTr="00551604">
        <w:trPr>
          <w:trHeight w:hRule="exact" w:val="266"/>
        </w:trPr>
        <w:tc>
          <w:tcPr>
            <w:tcW w:w="4962" w:type="dxa"/>
            <w:tcBorders>
              <w:top w:val="nil"/>
              <w:left w:val="nil"/>
              <w:right w:val="nil"/>
            </w:tcBorders>
            <w:noWrap/>
            <w:vAlign w:val="center"/>
          </w:tcPr>
          <w:p w14:paraId="21DA60FB" w14:textId="77777777" w:rsidR="00017A0C" w:rsidRPr="00721663" w:rsidRDefault="00017A0C" w:rsidP="00017A0C">
            <w:pPr>
              <w:jc w:val="left"/>
              <w:rPr>
                <w:rFonts w:ascii="Arial" w:hAnsi="Arial" w:cs="Arial"/>
                <w:sz w:val="18"/>
                <w:szCs w:val="18"/>
                <w:lang w:val="bg-BG"/>
              </w:rPr>
            </w:pPr>
            <w:r w:rsidRPr="00721663">
              <w:rPr>
                <w:rFonts w:ascii="Arial" w:hAnsi="Arial" w:cs="Arial"/>
                <w:sz w:val="18"/>
                <w:szCs w:val="18"/>
                <w:lang w:val="bg-BG"/>
              </w:rPr>
              <w:t>Данъчна ставка за корпоративен данък</w:t>
            </w:r>
          </w:p>
        </w:tc>
        <w:tc>
          <w:tcPr>
            <w:tcW w:w="1701" w:type="dxa"/>
            <w:tcBorders>
              <w:top w:val="nil"/>
              <w:left w:val="nil"/>
              <w:bottom w:val="single" w:sz="4" w:space="0" w:color="auto"/>
              <w:right w:val="nil"/>
            </w:tcBorders>
            <w:vAlign w:val="center"/>
          </w:tcPr>
          <w:p w14:paraId="51C73EBF" w14:textId="16671253" w:rsidR="00017A0C" w:rsidRPr="00721663" w:rsidRDefault="00017A0C" w:rsidP="00017A0C">
            <w:pPr>
              <w:ind w:right="142"/>
              <w:jc w:val="right"/>
              <w:rPr>
                <w:rFonts w:ascii="Arial" w:eastAsia="Arial Unicode MS" w:hAnsi="Arial" w:cs="Arial"/>
                <w:sz w:val="18"/>
                <w:szCs w:val="18"/>
                <w:lang w:val="bg-BG"/>
              </w:rPr>
            </w:pPr>
            <w:r>
              <w:rPr>
                <w:rFonts w:ascii="Arial" w:eastAsia="Arial Unicode MS" w:hAnsi="Arial" w:cs="Arial"/>
                <w:sz w:val="18"/>
                <w:szCs w:val="18"/>
                <w:lang w:val="en-GB" w:eastAsia="bg-BG"/>
              </w:rPr>
              <w:t>10%</w:t>
            </w:r>
          </w:p>
        </w:tc>
        <w:tc>
          <w:tcPr>
            <w:tcW w:w="141" w:type="dxa"/>
            <w:tcBorders>
              <w:top w:val="nil"/>
              <w:left w:val="nil"/>
              <w:right w:val="nil"/>
            </w:tcBorders>
            <w:vAlign w:val="center"/>
          </w:tcPr>
          <w:p w14:paraId="63BEFCC0" w14:textId="77777777" w:rsidR="00017A0C" w:rsidRPr="00721663" w:rsidRDefault="00017A0C" w:rsidP="00017A0C">
            <w:pPr>
              <w:ind w:right="142"/>
              <w:jc w:val="right"/>
              <w:rPr>
                <w:rFonts w:ascii="Arial" w:eastAsia="Arial Unicode MS" w:hAnsi="Arial" w:cs="Arial"/>
                <w:sz w:val="18"/>
                <w:szCs w:val="18"/>
                <w:lang w:val="bg-BG"/>
              </w:rPr>
            </w:pPr>
          </w:p>
        </w:tc>
        <w:tc>
          <w:tcPr>
            <w:tcW w:w="1560" w:type="dxa"/>
            <w:tcBorders>
              <w:top w:val="nil"/>
              <w:left w:val="nil"/>
              <w:bottom w:val="single" w:sz="4" w:space="0" w:color="auto"/>
              <w:right w:val="nil"/>
            </w:tcBorders>
            <w:vAlign w:val="center"/>
          </w:tcPr>
          <w:p w14:paraId="30F34A03" w14:textId="4C70627F" w:rsidR="00017A0C" w:rsidRPr="00721663" w:rsidRDefault="00017A0C" w:rsidP="00017A0C">
            <w:pPr>
              <w:ind w:right="142"/>
              <w:jc w:val="right"/>
              <w:rPr>
                <w:rFonts w:ascii="Arial" w:eastAsia="Arial Unicode MS" w:hAnsi="Arial" w:cs="Arial"/>
                <w:sz w:val="18"/>
                <w:szCs w:val="18"/>
                <w:lang w:val="bg-BG"/>
              </w:rPr>
            </w:pPr>
            <w:r>
              <w:rPr>
                <w:rFonts w:ascii="Arial" w:eastAsia="Arial Unicode MS" w:hAnsi="Arial" w:cs="Arial"/>
                <w:sz w:val="18"/>
                <w:szCs w:val="18"/>
                <w:lang w:val="en-GB" w:eastAsia="bg-BG"/>
              </w:rPr>
              <w:t>10%</w:t>
            </w:r>
          </w:p>
        </w:tc>
      </w:tr>
      <w:tr w:rsidR="00017A0C" w:rsidRPr="00721663" w14:paraId="5291426B" w14:textId="77777777" w:rsidTr="00551604">
        <w:trPr>
          <w:trHeight w:hRule="exact" w:val="113"/>
        </w:trPr>
        <w:tc>
          <w:tcPr>
            <w:tcW w:w="4962" w:type="dxa"/>
            <w:tcBorders>
              <w:left w:val="nil"/>
              <w:right w:val="nil"/>
            </w:tcBorders>
            <w:noWrap/>
            <w:vAlign w:val="center"/>
          </w:tcPr>
          <w:p w14:paraId="2845310B" w14:textId="77777777" w:rsidR="00017A0C" w:rsidRPr="00721663" w:rsidRDefault="00017A0C" w:rsidP="00017A0C">
            <w:pPr>
              <w:pStyle w:val="head"/>
              <w:jc w:val="left"/>
              <w:rPr>
                <w:rFonts w:eastAsia="Arial Unicode MS" w:cs="Arial"/>
                <w:b w:val="0"/>
                <w:sz w:val="18"/>
                <w:szCs w:val="18"/>
                <w:lang w:val="bg-BG"/>
              </w:rPr>
            </w:pPr>
          </w:p>
        </w:tc>
        <w:tc>
          <w:tcPr>
            <w:tcW w:w="1701" w:type="dxa"/>
            <w:tcBorders>
              <w:top w:val="single" w:sz="4" w:space="0" w:color="auto"/>
              <w:left w:val="nil"/>
              <w:right w:val="nil"/>
            </w:tcBorders>
            <w:vAlign w:val="center"/>
          </w:tcPr>
          <w:p w14:paraId="01773FE1" w14:textId="77777777" w:rsidR="00017A0C" w:rsidRPr="00721663" w:rsidRDefault="00017A0C" w:rsidP="00017A0C">
            <w:pPr>
              <w:ind w:right="127"/>
              <w:jc w:val="right"/>
              <w:rPr>
                <w:rFonts w:ascii="Arial" w:eastAsia="Arial Unicode MS" w:hAnsi="Arial" w:cs="Arial"/>
                <w:b/>
                <w:sz w:val="18"/>
                <w:szCs w:val="18"/>
                <w:lang w:val="bg-BG"/>
              </w:rPr>
            </w:pPr>
          </w:p>
        </w:tc>
        <w:tc>
          <w:tcPr>
            <w:tcW w:w="141" w:type="dxa"/>
            <w:tcBorders>
              <w:left w:val="nil"/>
              <w:right w:val="nil"/>
            </w:tcBorders>
            <w:vAlign w:val="center"/>
          </w:tcPr>
          <w:p w14:paraId="56DA414A" w14:textId="77777777" w:rsidR="00017A0C" w:rsidRPr="00721663" w:rsidRDefault="00017A0C" w:rsidP="00017A0C">
            <w:pPr>
              <w:ind w:right="127"/>
              <w:jc w:val="right"/>
              <w:rPr>
                <w:rFonts w:ascii="Arial" w:eastAsia="Arial Unicode MS" w:hAnsi="Arial" w:cs="Arial"/>
                <w:b/>
                <w:sz w:val="18"/>
                <w:szCs w:val="18"/>
                <w:lang w:val="bg-BG"/>
              </w:rPr>
            </w:pPr>
          </w:p>
        </w:tc>
        <w:tc>
          <w:tcPr>
            <w:tcW w:w="1560" w:type="dxa"/>
            <w:tcBorders>
              <w:top w:val="single" w:sz="4" w:space="0" w:color="auto"/>
              <w:left w:val="nil"/>
              <w:right w:val="nil"/>
            </w:tcBorders>
            <w:vAlign w:val="center"/>
          </w:tcPr>
          <w:p w14:paraId="0E078BF7" w14:textId="77777777" w:rsidR="00017A0C" w:rsidRPr="00721663" w:rsidRDefault="00017A0C" w:rsidP="00017A0C">
            <w:pPr>
              <w:ind w:right="127"/>
              <w:jc w:val="right"/>
              <w:rPr>
                <w:rFonts w:ascii="Arial" w:eastAsia="Arial Unicode MS" w:hAnsi="Arial" w:cs="Arial"/>
                <w:b/>
                <w:sz w:val="18"/>
                <w:szCs w:val="18"/>
                <w:lang w:val="bg-BG"/>
              </w:rPr>
            </w:pPr>
          </w:p>
        </w:tc>
      </w:tr>
      <w:tr w:rsidR="00017A0C" w:rsidRPr="00721663" w14:paraId="57BCA9D2" w14:textId="77777777" w:rsidTr="00551604">
        <w:trPr>
          <w:trHeight w:hRule="exact" w:val="576"/>
        </w:trPr>
        <w:tc>
          <w:tcPr>
            <w:tcW w:w="4962" w:type="dxa"/>
            <w:tcBorders>
              <w:top w:val="nil"/>
              <w:left w:val="nil"/>
              <w:right w:val="nil"/>
            </w:tcBorders>
            <w:noWrap/>
            <w:vAlign w:val="center"/>
          </w:tcPr>
          <w:p w14:paraId="29ADEBD9" w14:textId="77777777" w:rsidR="00017A0C" w:rsidRPr="00721663" w:rsidRDefault="00017A0C" w:rsidP="00017A0C">
            <w:pPr>
              <w:jc w:val="left"/>
              <w:rPr>
                <w:rFonts w:ascii="Arial" w:hAnsi="Arial" w:cs="Arial"/>
                <w:sz w:val="18"/>
                <w:szCs w:val="18"/>
                <w:lang w:val="bg-BG"/>
              </w:rPr>
            </w:pPr>
            <w:r w:rsidRPr="00721663">
              <w:rPr>
                <w:rFonts w:ascii="Arial" w:hAnsi="Arial" w:cs="Arial"/>
                <w:sz w:val="18"/>
                <w:szCs w:val="18"/>
                <w:lang w:val="bg-BG"/>
              </w:rPr>
              <w:t>„Очакван“ корпоративен данък по приложимата данъчна ставка от 10%</w:t>
            </w:r>
          </w:p>
        </w:tc>
        <w:tc>
          <w:tcPr>
            <w:tcW w:w="1701" w:type="dxa"/>
            <w:tcBorders>
              <w:top w:val="nil"/>
              <w:left w:val="nil"/>
              <w:right w:val="nil"/>
            </w:tcBorders>
            <w:vAlign w:val="center"/>
          </w:tcPr>
          <w:p w14:paraId="103DA9AB" w14:textId="4A906554" w:rsidR="00017A0C" w:rsidRPr="00721663" w:rsidRDefault="00017A0C" w:rsidP="00017A0C">
            <w:pPr>
              <w:ind w:right="142"/>
              <w:jc w:val="right"/>
              <w:rPr>
                <w:rFonts w:ascii="Arial" w:eastAsia="Arial Unicode MS" w:hAnsi="Arial" w:cs="Arial"/>
                <w:sz w:val="18"/>
                <w:szCs w:val="18"/>
                <w:lang w:val="bg-BG"/>
              </w:rPr>
            </w:pPr>
            <w:r>
              <w:rPr>
                <w:rFonts w:ascii="Arial" w:eastAsia="Arial Unicode MS" w:hAnsi="Arial" w:cs="Arial"/>
                <w:sz w:val="18"/>
                <w:szCs w:val="18"/>
                <w:lang w:val="en-GB" w:eastAsia="bg-BG"/>
              </w:rPr>
              <w:t>(41)</w:t>
            </w:r>
          </w:p>
        </w:tc>
        <w:tc>
          <w:tcPr>
            <w:tcW w:w="141" w:type="dxa"/>
            <w:tcBorders>
              <w:top w:val="nil"/>
              <w:left w:val="nil"/>
              <w:right w:val="nil"/>
            </w:tcBorders>
            <w:vAlign w:val="center"/>
          </w:tcPr>
          <w:p w14:paraId="28A2C3B0" w14:textId="77777777" w:rsidR="00017A0C" w:rsidRPr="00721663" w:rsidRDefault="00017A0C" w:rsidP="00017A0C">
            <w:pPr>
              <w:ind w:right="142"/>
              <w:jc w:val="right"/>
              <w:rPr>
                <w:rFonts w:ascii="Arial" w:eastAsia="Arial Unicode MS" w:hAnsi="Arial" w:cs="Arial"/>
                <w:sz w:val="18"/>
                <w:szCs w:val="18"/>
                <w:lang w:val="bg-BG"/>
              </w:rPr>
            </w:pPr>
          </w:p>
        </w:tc>
        <w:tc>
          <w:tcPr>
            <w:tcW w:w="1560" w:type="dxa"/>
            <w:tcBorders>
              <w:top w:val="nil"/>
              <w:left w:val="nil"/>
              <w:right w:val="nil"/>
            </w:tcBorders>
            <w:vAlign w:val="center"/>
          </w:tcPr>
          <w:p w14:paraId="073A041E" w14:textId="3DAE71CA" w:rsidR="00017A0C" w:rsidRPr="00721663" w:rsidRDefault="00017A0C" w:rsidP="00017A0C">
            <w:pPr>
              <w:ind w:right="142"/>
              <w:jc w:val="right"/>
              <w:rPr>
                <w:rFonts w:ascii="Arial" w:eastAsia="Arial Unicode MS" w:hAnsi="Arial" w:cs="Arial"/>
                <w:sz w:val="18"/>
                <w:szCs w:val="18"/>
                <w:lang w:val="bg-BG"/>
              </w:rPr>
            </w:pPr>
            <w:r>
              <w:rPr>
                <w:rFonts w:ascii="Arial" w:eastAsia="Arial Unicode MS" w:hAnsi="Arial" w:cs="Arial"/>
                <w:sz w:val="18"/>
                <w:szCs w:val="18"/>
                <w:lang w:val="en-GB" w:eastAsia="bg-BG"/>
              </w:rPr>
              <w:t>(11)</w:t>
            </w:r>
          </w:p>
        </w:tc>
      </w:tr>
      <w:tr w:rsidR="00017A0C" w:rsidRPr="00721663" w14:paraId="0716EB78" w14:textId="77777777" w:rsidTr="00551604">
        <w:trPr>
          <w:trHeight w:hRule="exact" w:val="416"/>
        </w:trPr>
        <w:tc>
          <w:tcPr>
            <w:tcW w:w="4962" w:type="dxa"/>
            <w:tcBorders>
              <w:top w:val="nil"/>
              <w:left w:val="nil"/>
              <w:right w:val="nil"/>
            </w:tcBorders>
            <w:noWrap/>
            <w:vAlign w:val="center"/>
          </w:tcPr>
          <w:p w14:paraId="7BCBBC98" w14:textId="77777777" w:rsidR="00017A0C" w:rsidRPr="00721663" w:rsidRDefault="00017A0C" w:rsidP="00017A0C">
            <w:pPr>
              <w:jc w:val="left"/>
              <w:rPr>
                <w:rFonts w:ascii="Arial" w:hAnsi="Arial" w:cs="Arial"/>
                <w:sz w:val="18"/>
                <w:szCs w:val="18"/>
                <w:lang w:val="bg-BG"/>
              </w:rPr>
            </w:pPr>
            <w:r w:rsidRPr="00721663">
              <w:rPr>
                <w:rFonts w:ascii="Arial" w:hAnsi="Arial" w:cs="Arial"/>
                <w:sz w:val="18"/>
                <w:szCs w:val="18"/>
                <w:lang w:val="bg-BG"/>
              </w:rPr>
              <w:t>Непризнат отсрочен данъчен актив</w:t>
            </w:r>
          </w:p>
        </w:tc>
        <w:tc>
          <w:tcPr>
            <w:tcW w:w="1701" w:type="dxa"/>
            <w:tcBorders>
              <w:top w:val="nil"/>
              <w:left w:val="nil"/>
              <w:right w:val="nil"/>
            </w:tcBorders>
            <w:vAlign w:val="center"/>
          </w:tcPr>
          <w:p w14:paraId="520F1538" w14:textId="7059D6E0" w:rsidR="00017A0C" w:rsidRPr="00017A0C" w:rsidRDefault="00017A0C" w:rsidP="00017A0C">
            <w:pPr>
              <w:ind w:right="142"/>
              <w:jc w:val="right"/>
              <w:rPr>
                <w:rFonts w:ascii="Arial" w:eastAsia="Arial Unicode MS" w:hAnsi="Arial" w:cs="Arial"/>
                <w:sz w:val="18"/>
                <w:szCs w:val="18"/>
                <w:lang w:val="bg-BG"/>
              </w:rPr>
            </w:pPr>
            <w:r>
              <w:rPr>
                <w:rFonts w:ascii="Arial" w:eastAsia="Arial Unicode MS" w:hAnsi="Arial" w:cs="Arial"/>
                <w:sz w:val="18"/>
                <w:szCs w:val="18"/>
                <w:lang w:val="bg-BG" w:eastAsia="bg-BG"/>
              </w:rPr>
              <w:t>-</w:t>
            </w:r>
          </w:p>
        </w:tc>
        <w:tc>
          <w:tcPr>
            <w:tcW w:w="141" w:type="dxa"/>
            <w:tcBorders>
              <w:top w:val="nil"/>
              <w:left w:val="nil"/>
              <w:right w:val="nil"/>
            </w:tcBorders>
            <w:vAlign w:val="center"/>
          </w:tcPr>
          <w:p w14:paraId="27ADE4E1" w14:textId="77777777" w:rsidR="00017A0C" w:rsidRPr="00721663" w:rsidRDefault="00017A0C" w:rsidP="00017A0C">
            <w:pPr>
              <w:ind w:right="142"/>
              <w:jc w:val="right"/>
              <w:rPr>
                <w:rFonts w:ascii="Arial" w:eastAsia="Arial Unicode MS" w:hAnsi="Arial" w:cs="Arial"/>
                <w:sz w:val="18"/>
                <w:szCs w:val="18"/>
                <w:lang w:val="bg-BG"/>
              </w:rPr>
            </w:pPr>
          </w:p>
        </w:tc>
        <w:tc>
          <w:tcPr>
            <w:tcW w:w="1560" w:type="dxa"/>
            <w:tcBorders>
              <w:top w:val="nil"/>
              <w:left w:val="nil"/>
              <w:right w:val="nil"/>
            </w:tcBorders>
            <w:vAlign w:val="center"/>
          </w:tcPr>
          <w:p w14:paraId="553255EB" w14:textId="1593EFB0" w:rsidR="00017A0C" w:rsidRPr="00017A0C" w:rsidRDefault="00017A0C" w:rsidP="00017A0C">
            <w:pPr>
              <w:ind w:right="142"/>
              <w:jc w:val="right"/>
              <w:rPr>
                <w:rFonts w:ascii="Arial" w:eastAsia="Arial Unicode MS" w:hAnsi="Arial" w:cs="Arial"/>
                <w:sz w:val="18"/>
                <w:szCs w:val="18"/>
                <w:lang w:val="bg-BG"/>
              </w:rPr>
            </w:pPr>
            <w:r>
              <w:rPr>
                <w:rFonts w:ascii="Arial" w:eastAsia="Arial Unicode MS" w:hAnsi="Arial" w:cs="Arial"/>
                <w:sz w:val="18"/>
                <w:szCs w:val="18"/>
                <w:lang w:val="bg-BG" w:eastAsia="bg-BG"/>
              </w:rPr>
              <w:t>(1)</w:t>
            </w:r>
          </w:p>
        </w:tc>
      </w:tr>
      <w:tr w:rsidR="00E07C4E" w:rsidRPr="00721663" w14:paraId="2EF89A6F" w14:textId="77777777" w:rsidTr="00551604">
        <w:trPr>
          <w:trHeight w:hRule="exact" w:val="113"/>
        </w:trPr>
        <w:tc>
          <w:tcPr>
            <w:tcW w:w="4962" w:type="dxa"/>
            <w:tcBorders>
              <w:top w:val="nil"/>
              <w:left w:val="nil"/>
              <w:right w:val="nil"/>
            </w:tcBorders>
            <w:noWrap/>
            <w:vAlign w:val="center"/>
          </w:tcPr>
          <w:p w14:paraId="1A9F019F" w14:textId="77777777" w:rsidR="00E07C4E" w:rsidRPr="00721663" w:rsidRDefault="00E07C4E" w:rsidP="00551604">
            <w:pPr>
              <w:jc w:val="left"/>
              <w:rPr>
                <w:rFonts w:ascii="Arial" w:eastAsia="Arial Unicode MS" w:hAnsi="Arial" w:cs="Arial"/>
                <w:sz w:val="18"/>
                <w:szCs w:val="18"/>
                <w:lang w:val="bg-BG"/>
              </w:rPr>
            </w:pPr>
          </w:p>
        </w:tc>
        <w:tc>
          <w:tcPr>
            <w:tcW w:w="1701" w:type="dxa"/>
            <w:tcBorders>
              <w:top w:val="single" w:sz="4" w:space="0" w:color="auto"/>
              <w:left w:val="nil"/>
              <w:right w:val="nil"/>
            </w:tcBorders>
            <w:vAlign w:val="center"/>
          </w:tcPr>
          <w:p w14:paraId="610DEAC1" w14:textId="77777777" w:rsidR="00E07C4E" w:rsidRPr="00721663" w:rsidRDefault="00E07C4E" w:rsidP="00551604">
            <w:pPr>
              <w:ind w:right="142"/>
              <w:jc w:val="right"/>
              <w:rPr>
                <w:rFonts w:ascii="Arial" w:eastAsia="Arial Unicode MS" w:hAnsi="Arial" w:cs="Arial"/>
                <w:b/>
                <w:sz w:val="18"/>
                <w:szCs w:val="18"/>
                <w:lang w:val="bg-BG"/>
              </w:rPr>
            </w:pPr>
          </w:p>
        </w:tc>
        <w:tc>
          <w:tcPr>
            <w:tcW w:w="141" w:type="dxa"/>
            <w:tcBorders>
              <w:left w:val="nil"/>
              <w:right w:val="nil"/>
            </w:tcBorders>
            <w:vAlign w:val="center"/>
          </w:tcPr>
          <w:p w14:paraId="6DF3DE94" w14:textId="77777777" w:rsidR="00E07C4E" w:rsidRPr="00721663" w:rsidRDefault="00E07C4E" w:rsidP="00551604">
            <w:pPr>
              <w:ind w:right="142"/>
              <w:jc w:val="right"/>
              <w:rPr>
                <w:rFonts w:ascii="Arial" w:eastAsia="Arial Unicode MS" w:hAnsi="Arial" w:cs="Arial"/>
                <w:b/>
                <w:sz w:val="18"/>
                <w:szCs w:val="18"/>
                <w:lang w:val="bg-BG"/>
              </w:rPr>
            </w:pPr>
          </w:p>
        </w:tc>
        <w:tc>
          <w:tcPr>
            <w:tcW w:w="1560" w:type="dxa"/>
            <w:tcBorders>
              <w:top w:val="single" w:sz="4" w:space="0" w:color="auto"/>
              <w:left w:val="nil"/>
              <w:right w:val="nil"/>
            </w:tcBorders>
            <w:vAlign w:val="center"/>
          </w:tcPr>
          <w:p w14:paraId="3FAEC642" w14:textId="77777777" w:rsidR="00E07C4E" w:rsidRPr="00721663" w:rsidRDefault="00E07C4E" w:rsidP="00551604">
            <w:pPr>
              <w:ind w:right="142"/>
              <w:jc w:val="right"/>
              <w:rPr>
                <w:rFonts w:ascii="Arial" w:eastAsia="Arial Unicode MS" w:hAnsi="Arial" w:cs="Arial"/>
                <w:b/>
                <w:sz w:val="18"/>
                <w:szCs w:val="18"/>
                <w:lang w:val="bg-BG"/>
              </w:rPr>
            </w:pPr>
          </w:p>
        </w:tc>
      </w:tr>
      <w:tr w:rsidR="00017A0C" w:rsidRPr="00721663" w14:paraId="3421DF46" w14:textId="77777777" w:rsidTr="00551604">
        <w:trPr>
          <w:trHeight w:hRule="exact" w:val="301"/>
        </w:trPr>
        <w:tc>
          <w:tcPr>
            <w:tcW w:w="4962" w:type="dxa"/>
            <w:tcBorders>
              <w:top w:val="nil"/>
              <w:left w:val="nil"/>
              <w:right w:val="nil"/>
            </w:tcBorders>
            <w:noWrap/>
            <w:vAlign w:val="center"/>
          </w:tcPr>
          <w:p w14:paraId="1249609B" w14:textId="77777777" w:rsidR="00017A0C" w:rsidRPr="00721663" w:rsidRDefault="00017A0C" w:rsidP="00017A0C">
            <w:pPr>
              <w:jc w:val="left"/>
              <w:rPr>
                <w:rFonts w:ascii="Arial" w:eastAsia="Arial Unicode MS" w:hAnsi="Arial" w:cs="Arial"/>
                <w:sz w:val="18"/>
                <w:szCs w:val="18"/>
                <w:lang w:val="bg-BG"/>
              </w:rPr>
            </w:pPr>
            <w:r w:rsidRPr="00721663">
              <w:rPr>
                <w:rFonts w:ascii="Arial" w:eastAsia="Arial Unicode MS" w:hAnsi="Arial" w:cs="Arial"/>
                <w:sz w:val="18"/>
                <w:szCs w:val="18"/>
                <w:lang w:val="bg-BG"/>
              </w:rPr>
              <w:t>Разход за данък върху дохода</w:t>
            </w:r>
          </w:p>
        </w:tc>
        <w:tc>
          <w:tcPr>
            <w:tcW w:w="1701" w:type="dxa"/>
            <w:tcBorders>
              <w:left w:val="nil"/>
              <w:bottom w:val="double" w:sz="4" w:space="0" w:color="auto"/>
              <w:right w:val="nil"/>
            </w:tcBorders>
            <w:vAlign w:val="center"/>
          </w:tcPr>
          <w:p w14:paraId="240BCA57" w14:textId="229A007B" w:rsidR="00017A0C" w:rsidRPr="00721663" w:rsidRDefault="00017A0C" w:rsidP="00017A0C">
            <w:pPr>
              <w:ind w:right="142"/>
              <w:jc w:val="right"/>
              <w:rPr>
                <w:rFonts w:ascii="Arial" w:eastAsia="Arial Unicode MS" w:hAnsi="Arial" w:cs="Arial"/>
                <w:b/>
                <w:sz w:val="18"/>
                <w:szCs w:val="18"/>
                <w:lang w:val="bg-BG"/>
              </w:rPr>
            </w:pPr>
            <w:r>
              <w:rPr>
                <w:rFonts w:ascii="Arial" w:eastAsia="Arial Unicode MS" w:hAnsi="Arial" w:cs="Arial"/>
                <w:b/>
                <w:sz w:val="18"/>
                <w:szCs w:val="18"/>
                <w:lang w:val="en-GB" w:eastAsia="bg-BG"/>
              </w:rPr>
              <w:t>(41)</w:t>
            </w:r>
          </w:p>
        </w:tc>
        <w:tc>
          <w:tcPr>
            <w:tcW w:w="141" w:type="dxa"/>
            <w:tcBorders>
              <w:left w:val="nil"/>
              <w:right w:val="nil"/>
            </w:tcBorders>
            <w:vAlign w:val="center"/>
          </w:tcPr>
          <w:p w14:paraId="735E2FA3" w14:textId="77777777" w:rsidR="00017A0C" w:rsidRPr="00721663" w:rsidRDefault="00017A0C" w:rsidP="00017A0C">
            <w:pPr>
              <w:ind w:right="142"/>
              <w:jc w:val="right"/>
              <w:rPr>
                <w:rFonts w:ascii="Arial" w:eastAsia="Arial Unicode MS" w:hAnsi="Arial" w:cs="Arial"/>
                <w:b/>
                <w:sz w:val="18"/>
                <w:szCs w:val="18"/>
                <w:lang w:val="bg-BG"/>
              </w:rPr>
            </w:pPr>
          </w:p>
        </w:tc>
        <w:tc>
          <w:tcPr>
            <w:tcW w:w="1560" w:type="dxa"/>
            <w:tcBorders>
              <w:left w:val="nil"/>
              <w:bottom w:val="double" w:sz="4" w:space="0" w:color="auto"/>
              <w:right w:val="nil"/>
            </w:tcBorders>
            <w:vAlign w:val="center"/>
          </w:tcPr>
          <w:p w14:paraId="7F567DB7" w14:textId="759F7F4A" w:rsidR="00017A0C" w:rsidRPr="00721663" w:rsidRDefault="00017A0C" w:rsidP="00017A0C">
            <w:pPr>
              <w:ind w:right="142"/>
              <w:jc w:val="right"/>
              <w:rPr>
                <w:rFonts w:ascii="Arial" w:eastAsia="Arial Unicode MS" w:hAnsi="Arial" w:cs="Arial"/>
                <w:b/>
                <w:sz w:val="18"/>
                <w:szCs w:val="18"/>
                <w:lang w:val="bg-BG"/>
              </w:rPr>
            </w:pPr>
            <w:r>
              <w:rPr>
                <w:rFonts w:ascii="Arial" w:eastAsia="Arial Unicode MS" w:hAnsi="Arial" w:cs="Arial"/>
                <w:b/>
                <w:sz w:val="18"/>
                <w:szCs w:val="18"/>
                <w:lang w:val="en-GB" w:eastAsia="bg-BG"/>
              </w:rPr>
              <w:t>(12)</w:t>
            </w:r>
          </w:p>
        </w:tc>
      </w:tr>
    </w:tbl>
    <w:p w14:paraId="127F5BC5" w14:textId="77777777" w:rsidR="00E07C4E" w:rsidRPr="00721663" w:rsidRDefault="00E07C4E" w:rsidP="00144930">
      <w:pPr>
        <w:rPr>
          <w:lang w:val="bg-BG"/>
        </w:rPr>
      </w:pPr>
    </w:p>
    <w:p w14:paraId="3AF05827" w14:textId="77777777" w:rsidR="00E07C4E" w:rsidRPr="00721663" w:rsidRDefault="00E07C4E" w:rsidP="00E07C4E">
      <w:pPr>
        <w:pStyle w:val="Heading2"/>
        <w:tabs>
          <w:tab w:val="left" w:pos="227"/>
          <w:tab w:val="left" w:pos="454"/>
          <w:tab w:val="left" w:pos="680"/>
          <w:tab w:val="left" w:pos="907"/>
        </w:tabs>
        <w:spacing w:before="0" w:after="120"/>
        <w:jc w:val="left"/>
        <w:rPr>
          <w:rFonts w:ascii="Arial" w:hAnsi="Arial" w:cs="Arial"/>
          <w:sz w:val="18"/>
          <w:szCs w:val="18"/>
          <w:lang w:val="bg-BG"/>
        </w:rPr>
      </w:pPr>
      <w:r w:rsidRPr="00721663">
        <w:rPr>
          <w:rFonts w:ascii="Arial" w:hAnsi="Arial" w:cs="Arial"/>
          <w:sz w:val="18"/>
          <w:szCs w:val="18"/>
          <w:lang w:val="bg-BG"/>
        </w:rPr>
        <w:t>Отсрочени данъчни активи / (пасиви)</w:t>
      </w:r>
    </w:p>
    <w:p w14:paraId="3172A3DD" w14:textId="14EB2F1A" w:rsidR="00E07C4E" w:rsidRPr="00721663" w:rsidRDefault="00E07C4E" w:rsidP="00E07C4E">
      <w:pPr>
        <w:spacing w:after="120"/>
        <w:jc w:val="left"/>
        <w:rPr>
          <w:rFonts w:ascii="Arial" w:hAnsi="Arial" w:cs="Arial"/>
          <w:sz w:val="18"/>
          <w:szCs w:val="18"/>
          <w:lang w:val="bg-BG"/>
        </w:rPr>
      </w:pPr>
      <w:r w:rsidRPr="00721663">
        <w:rPr>
          <w:rFonts w:ascii="Arial" w:hAnsi="Arial" w:cs="Arial"/>
          <w:sz w:val="18"/>
          <w:szCs w:val="18"/>
          <w:lang w:val="bg-BG"/>
        </w:rPr>
        <w:t xml:space="preserve">Отсрочените данъчни активи / (пасиви) към </w:t>
      </w:r>
      <w:r w:rsidR="00144930">
        <w:rPr>
          <w:rFonts w:ascii="Arial" w:hAnsi="Arial" w:cs="Arial"/>
          <w:sz w:val="18"/>
          <w:szCs w:val="18"/>
          <w:lang w:val="bg-BG"/>
        </w:rPr>
        <w:t>3</w:t>
      </w:r>
      <w:r w:rsidR="00017A0C">
        <w:rPr>
          <w:rFonts w:ascii="Arial" w:hAnsi="Arial" w:cs="Arial"/>
          <w:sz w:val="18"/>
          <w:szCs w:val="18"/>
          <w:lang w:val="bg-BG"/>
        </w:rPr>
        <w:t>1</w:t>
      </w:r>
      <w:r w:rsidR="00144930">
        <w:rPr>
          <w:rFonts w:ascii="Arial" w:hAnsi="Arial" w:cs="Arial"/>
          <w:sz w:val="18"/>
          <w:szCs w:val="18"/>
          <w:lang w:val="bg-BG"/>
        </w:rPr>
        <w:t xml:space="preserve"> декември 2016</w:t>
      </w:r>
      <w:r w:rsidRPr="00721663">
        <w:rPr>
          <w:rFonts w:ascii="Arial" w:hAnsi="Arial" w:cs="Arial"/>
          <w:sz w:val="18"/>
          <w:szCs w:val="18"/>
          <w:lang w:val="bg-BG"/>
        </w:rPr>
        <w:t xml:space="preserve"> г. и </w:t>
      </w:r>
      <w:r w:rsidR="00144930">
        <w:rPr>
          <w:rFonts w:ascii="Arial" w:hAnsi="Arial" w:cs="Arial"/>
          <w:sz w:val="18"/>
          <w:szCs w:val="18"/>
          <w:lang w:val="bg-BG"/>
        </w:rPr>
        <w:t>30 юни 2017</w:t>
      </w:r>
      <w:r w:rsidRPr="00721663">
        <w:rPr>
          <w:rFonts w:ascii="Arial" w:hAnsi="Arial" w:cs="Arial"/>
          <w:sz w:val="18"/>
          <w:szCs w:val="18"/>
          <w:lang w:val="bg-BG"/>
        </w:rPr>
        <w:t xml:space="preserve"> г. са свързани със следното:</w:t>
      </w:r>
    </w:p>
    <w:p w14:paraId="16052B02" w14:textId="77777777" w:rsidR="00E07C4E" w:rsidRPr="00721663" w:rsidRDefault="00E07C4E" w:rsidP="00E07C4E">
      <w:pPr>
        <w:rPr>
          <w:rFonts w:ascii="Arial" w:hAnsi="Arial" w:cs="Arial"/>
          <w:sz w:val="18"/>
          <w:szCs w:val="18"/>
          <w:lang w:val="bg-BG"/>
        </w:rPr>
      </w:pPr>
    </w:p>
    <w:tbl>
      <w:tblPr>
        <w:tblW w:w="8789" w:type="dxa"/>
        <w:tblInd w:w="40" w:type="dxa"/>
        <w:tblLayout w:type="fixed"/>
        <w:tblCellMar>
          <w:left w:w="40" w:type="dxa"/>
          <w:right w:w="40" w:type="dxa"/>
        </w:tblCellMar>
        <w:tblLook w:val="0000" w:firstRow="0" w:lastRow="0" w:firstColumn="0" w:lastColumn="0" w:noHBand="0" w:noVBand="0"/>
      </w:tblPr>
      <w:tblGrid>
        <w:gridCol w:w="3402"/>
        <w:gridCol w:w="142"/>
        <w:gridCol w:w="1134"/>
        <w:gridCol w:w="142"/>
        <w:gridCol w:w="1134"/>
        <w:gridCol w:w="142"/>
        <w:gridCol w:w="1275"/>
        <w:gridCol w:w="142"/>
        <w:gridCol w:w="1276"/>
      </w:tblGrid>
      <w:tr w:rsidR="00E07C4E" w:rsidRPr="00721663" w14:paraId="3F76DFA0" w14:textId="77777777" w:rsidTr="00551604">
        <w:trPr>
          <w:trHeight w:val="465"/>
        </w:trPr>
        <w:tc>
          <w:tcPr>
            <w:tcW w:w="3402" w:type="dxa"/>
            <w:vMerge w:val="restart"/>
            <w:vAlign w:val="center"/>
          </w:tcPr>
          <w:p w14:paraId="5F4F9768" w14:textId="77777777" w:rsidR="00E07C4E" w:rsidRPr="00721663" w:rsidRDefault="00E07C4E" w:rsidP="00551604">
            <w:pPr>
              <w:jc w:val="center"/>
              <w:outlineLvl w:val="0"/>
              <w:rPr>
                <w:rFonts w:ascii="Arial" w:hAnsi="Arial" w:cs="Arial"/>
                <w:b/>
                <w:i/>
                <w:iCs/>
                <w:caps/>
                <w:sz w:val="18"/>
                <w:szCs w:val="18"/>
                <w:lang w:val="bg-BG"/>
              </w:rPr>
            </w:pPr>
          </w:p>
        </w:tc>
        <w:tc>
          <w:tcPr>
            <w:tcW w:w="142" w:type="dxa"/>
          </w:tcPr>
          <w:p w14:paraId="0B706D04" w14:textId="77777777" w:rsidR="00E07C4E" w:rsidRPr="00721663" w:rsidRDefault="00E07C4E" w:rsidP="00551604">
            <w:pPr>
              <w:jc w:val="center"/>
              <w:rPr>
                <w:rFonts w:ascii="Arial" w:hAnsi="Arial" w:cs="Arial"/>
                <w:b/>
                <w:sz w:val="18"/>
                <w:szCs w:val="18"/>
                <w:lang w:val="bg-BG"/>
              </w:rPr>
            </w:pPr>
          </w:p>
        </w:tc>
        <w:tc>
          <w:tcPr>
            <w:tcW w:w="1134" w:type="dxa"/>
            <w:tcBorders>
              <w:bottom w:val="single" w:sz="4" w:space="0" w:color="auto"/>
            </w:tcBorders>
            <w:vAlign w:val="bottom"/>
          </w:tcPr>
          <w:p w14:paraId="7312EC12" w14:textId="77777777" w:rsidR="00E07C4E" w:rsidRPr="00721663" w:rsidRDefault="00E07C4E" w:rsidP="00551604">
            <w:pPr>
              <w:jc w:val="right"/>
              <w:rPr>
                <w:rFonts w:ascii="Arial" w:hAnsi="Arial" w:cs="Arial"/>
                <w:b/>
                <w:bCs/>
                <w:sz w:val="18"/>
                <w:szCs w:val="18"/>
                <w:lang w:val="bg-BG"/>
              </w:rPr>
            </w:pPr>
            <w:r w:rsidRPr="00721663">
              <w:rPr>
                <w:rFonts w:ascii="Arial" w:hAnsi="Arial" w:cs="Arial"/>
                <w:b/>
                <w:sz w:val="18"/>
                <w:szCs w:val="18"/>
                <w:lang w:val="bg-BG"/>
              </w:rPr>
              <w:t>Временна разлика</w:t>
            </w:r>
          </w:p>
        </w:tc>
        <w:tc>
          <w:tcPr>
            <w:tcW w:w="142" w:type="dxa"/>
            <w:vAlign w:val="bottom"/>
          </w:tcPr>
          <w:p w14:paraId="37F76287" w14:textId="77777777" w:rsidR="00E07C4E" w:rsidRPr="00721663" w:rsidRDefault="00E07C4E" w:rsidP="00551604">
            <w:pPr>
              <w:jc w:val="right"/>
              <w:rPr>
                <w:rFonts w:ascii="Arial" w:hAnsi="Arial" w:cs="Arial"/>
                <w:b/>
                <w:bCs/>
                <w:sz w:val="18"/>
                <w:szCs w:val="18"/>
                <w:lang w:val="bg-BG"/>
              </w:rPr>
            </w:pPr>
          </w:p>
        </w:tc>
        <w:tc>
          <w:tcPr>
            <w:tcW w:w="1134" w:type="dxa"/>
            <w:tcBorders>
              <w:bottom w:val="single" w:sz="4" w:space="0" w:color="auto"/>
            </w:tcBorders>
            <w:vAlign w:val="bottom"/>
          </w:tcPr>
          <w:p w14:paraId="288BB5C7" w14:textId="77777777" w:rsidR="00E07C4E" w:rsidRPr="00721663" w:rsidRDefault="00E07C4E" w:rsidP="00551604">
            <w:pPr>
              <w:jc w:val="right"/>
              <w:rPr>
                <w:rFonts w:ascii="Arial" w:hAnsi="Arial" w:cs="Arial"/>
                <w:b/>
                <w:bCs/>
                <w:sz w:val="18"/>
                <w:szCs w:val="18"/>
                <w:lang w:val="bg-BG"/>
              </w:rPr>
            </w:pPr>
            <w:r w:rsidRPr="00721663">
              <w:rPr>
                <w:rFonts w:ascii="Arial" w:hAnsi="Arial" w:cs="Arial"/>
                <w:b/>
                <w:bCs/>
                <w:sz w:val="18"/>
                <w:szCs w:val="18"/>
                <w:lang w:val="bg-BG"/>
              </w:rPr>
              <w:t>Признат отсрочен данъчен актив / (пасив)</w:t>
            </w:r>
          </w:p>
        </w:tc>
        <w:tc>
          <w:tcPr>
            <w:tcW w:w="142" w:type="dxa"/>
            <w:vAlign w:val="bottom"/>
          </w:tcPr>
          <w:p w14:paraId="12C959E1" w14:textId="77777777" w:rsidR="00E07C4E" w:rsidRPr="00721663" w:rsidRDefault="00E07C4E" w:rsidP="00551604">
            <w:pPr>
              <w:jc w:val="right"/>
              <w:rPr>
                <w:rFonts w:ascii="Arial" w:hAnsi="Arial" w:cs="Arial"/>
                <w:b/>
                <w:sz w:val="18"/>
                <w:szCs w:val="18"/>
                <w:lang w:val="bg-BG"/>
              </w:rPr>
            </w:pPr>
          </w:p>
        </w:tc>
        <w:tc>
          <w:tcPr>
            <w:tcW w:w="1275" w:type="dxa"/>
            <w:tcBorders>
              <w:bottom w:val="single" w:sz="4" w:space="0" w:color="auto"/>
            </w:tcBorders>
            <w:vAlign w:val="bottom"/>
          </w:tcPr>
          <w:p w14:paraId="5189C442" w14:textId="77777777" w:rsidR="00E07C4E" w:rsidRPr="00721663" w:rsidRDefault="00E07C4E" w:rsidP="00551604">
            <w:pPr>
              <w:jc w:val="right"/>
              <w:rPr>
                <w:rFonts w:ascii="Arial" w:hAnsi="Arial" w:cs="Arial"/>
                <w:b/>
                <w:bCs/>
                <w:sz w:val="18"/>
                <w:szCs w:val="18"/>
                <w:lang w:val="bg-BG"/>
              </w:rPr>
            </w:pPr>
            <w:r w:rsidRPr="00721663">
              <w:rPr>
                <w:rFonts w:ascii="Arial" w:hAnsi="Arial" w:cs="Arial"/>
                <w:b/>
                <w:sz w:val="18"/>
                <w:szCs w:val="18"/>
                <w:lang w:val="bg-BG"/>
              </w:rPr>
              <w:t>Временна разлика</w:t>
            </w:r>
          </w:p>
        </w:tc>
        <w:tc>
          <w:tcPr>
            <w:tcW w:w="142" w:type="dxa"/>
            <w:vAlign w:val="bottom"/>
          </w:tcPr>
          <w:p w14:paraId="2D3B08AC" w14:textId="77777777" w:rsidR="00E07C4E" w:rsidRPr="00721663" w:rsidRDefault="00E07C4E" w:rsidP="00551604">
            <w:pPr>
              <w:jc w:val="right"/>
              <w:rPr>
                <w:rFonts w:ascii="Arial" w:hAnsi="Arial" w:cs="Arial"/>
                <w:b/>
                <w:bCs/>
                <w:sz w:val="18"/>
                <w:szCs w:val="18"/>
                <w:lang w:val="bg-BG"/>
              </w:rPr>
            </w:pPr>
          </w:p>
        </w:tc>
        <w:tc>
          <w:tcPr>
            <w:tcW w:w="1276" w:type="dxa"/>
            <w:tcBorders>
              <w:bottom w:val="single" w:sz="4" w:space="0" w:color="auto"/>
            </w:tcBorders>
            <w:vAlign w:val="bottom"/>
          </w:tcPr>
          <w:p w14:paraId="4CC86927" w14:textId="77777777" w:rsidR="00E07C4E" w:rsidRPr="00721663" w:rsidRDefault="00E07C4E" w:rsidP="00551604">
            <w:pPr>
              <w:jc w:val="right"/>
              <w:rPr>
                <w:rFonts w:ascii="Arial" w:hAnsi="Arial" w:cs="Arial"/>
                <w:b/>
                <w:bCs/>
                <w:sz w:val="18"/>
                <w:szCs w:val="18"/>
                <w:lang w:val="bg-BG"/>
              </w:rPr>
            </w:pPr>
            <w:r w:rsidRPr="00721663">
              <w:rPr>
                <w:rFonts w:ascii="Arial" w:hAnsi="Arial" w:cs="Arial"/>
                <w:b/>
                <w:bCs/>
                <w:sz w:val="18"/>
                <w:szCs w:val="18"/>
                <w:lang w:val="bg-BG"/>
              </w:rPr>
              <w:t>Признат отсрочен данъчен актив /(пасив)</w:t>
            </w:r>
          </w:p>
        </w:tc>
      </w:tr>
      <w:tr w:rsidR="00E07C4E" w:rsidRPr="00721663" w14:paraId="65B95C5C" w14:textId="77777777" w:rsidTr="00551604">
        <w:trPr>
          <w:trHeight w:val="284"/>
        </w:trPr>
        <w:tc>
          <w:tcPr>
            <w:tcW w:w="3402" w:type="dxa"/>
            <w:vMerge/>
            <w:vAlign w:val="center"/>
          </w:tcPr>
          <w:p w14:paraId="4E6DCA86" w14:textId="77777777" w:rsidR="00E07C4E" w:rsidRPr="00721663" w:rsidRDefault="00E07C4E" w:rsidP="00551604">
            <w:pPr>
              <w:jc w:val="center"/>
              <w:rPr>
                <w:rFonts w:ascii="Arial" w:hAnsi="Arial" w:cs="Arial"/>
                <w:sz w:val="18"/>
                <w:szCs w:val="18"/>
                <w:lang w:val="bg-BG"/>
              </w:rPr>
            </w:pPr>
          </w:p>
        </w:tc>
        <w:tc>
          <w:tcPr>
            <w:tcW w:w="142" w:type="dxa"/>
          </w:tcPr>
          <w:p w14:paraId="64FF68DE" w14:textId="77777777" w:rsidR="00E07C4E" w:rsidRPr="00721663" w:rsidRDefault="00E07C4E" w:rsidP="00551604">
            <w:pPr>
              <w:jc w:val="right"/>
              <w:rPr>
                <w:rFonts w:ascii="Arial" w:hAnsi="Arial" w:cs="Arial"/>
                <w:b/>
                <w:sz w:val="18"/>
                <w:szCs w:val="18"/>
                <w:lang w:val="bg-BG"/>
              </w:rPr>
            </w:pPr>
          </w:p>
        </w:tc>
        <w:tc>
          <w:tcPr>
            <w:tcW w:w="1134" w:type="dxa"/>
            <w:tcBorders>
              <w:top w:val="single" w:sz="4" w:space="0" w:color="auto"/>
              <w:bottom w:val="single" w:sz="4" w:space="0" w:color="auto"/>
            </w:tcBorders>
            <w:vAlign w:val="bottom"/>
          </w:tcPr>
          <w:p w14:paraId="356705F5" w14:textId="37A93CC7" w:rsidR="00E07C4E" w:rsidRPr="00721663" w:rsidRDefault="00144930" w:rsidP="00551604">
            <w:pPr>
              <w:jc w:val="right"/>
              <w:rPr>
                <w:rFonts w:ascii="Arial" w:hAnsi="Arial" w:cs="Arial"/>
                <w:b/>
                <w:sz w:val="18"/>
                <w:szCs w:val="18"/>
                <w:lang w:val="bg-BG"/>
              </w:rPr>
            </w:pPr>
            <w:r>
              <w:rPr>
                <w:rFonts w:ascii="Arial" w:hAnsi="Arial" w:cs="Arial"/>
                <w:b/>
                <w:sz w:val="18"/>
                <w:szCs w:val="18"/>
                <w:lang w:val="bg-BG"/>
              </w:rPr>
              <w:t>30 юни 2017</w:t>
            </w:r>
            <w:r w:rsidR="00E07C4E" w:rsidRPr="00721663">
              <w:rPr>
                <w:rFonts w:ascii="Arial" w:hAnsi="Arial" w:cs="Arial"/>
                <w:b/>
                <w:sz w:val="18"/>
                <w:szCs w:val="18"/>
                <w:lang w:val="bg-BG"/>
              </w:rPr>
              <w:t xml:space="preserve"> </w:t>
            </w:r>
          </w:p>
        </w:tc>
        <w:tc>
          <w:tcPr>
            <w:tcW w:w="142" w:type="dxa"/>
            <w:vAlign w:val="bottom"/>
          </w:tcPr>
          <w:p w14:paraId="4C5C64C4" w14:textId="77777777" w:rsidR="00E07C4E" w:rsidRPr="00721663" w:rsidRDefault="00E07C4E" w:rsidP="00551604">
            <w:pPr>
              <w:jc w:val="right"/>
              <w:rPr>
                <w:rFonts w:ascii="Arial" w:hAnsi="Arial" w:cs="Arial"/>
                <w:b/>
                <w:sz w:val="18"/>
                <w:szCs w:val="18"/>
                <w:lang w:val="bg-BG"/>
              </w:rPr>
            </w:pPr>
          </w:p>
        </w:tc>
        <w:tc>
          <w:tcPr>
            <w:tcW w:w="1134" w:type="dxa"/>
            <w:tcBorders>
              <w:top w:val="single" w:sz="4" w:space="0" w:color="auto"/>
              <w:bottom w:val="single" w:sz="4" w:space="0" w:color="auto"/>
            </w:tcBorders>
            <w:vAlign w:val="bottom"/>
          </w:tcPr>
          <w:p w14:paraId="0F92881A" w14:textId="38D07BD1" w:rsidR="00E07C4E" w:rsidRPr="00721663" w:rsidRDefault="00144930" w:rsidP="00551604">
            <w:pPr>
              <w:jc w:val="right"/>
              <w:rPr>
                <w:rFonts w:ascii="Arial" w:hAnsi="Arial" w:cs="Arial"/>
                <w:b/>
                <w:sz w:val="18"/>
                <w:szCs w:val="18"/>
                <w:lang w:val="bg-BG"/>
              </w:rPr>
            </w:pPr>
            <w:r>
              <w:rPr>
                <w:rFonts w:ascii="Arial" w:hAnsi="Arial" w:cs="Arial"/>
                <w:b/>
                <w:sz w:val="18"/>
                <w:szCs w:val="18"/>
                <w:lang w:val="bg-BG"/>
              </w:rPr>
              <w:t>30 юни 2017</w:t>
            </w:r>
          </w:p>
        </w:tc>
        <w:tc>
          <w:tcPr>
            <w:tcW w:w="142" w:type="dxa"/>
            <w:vAlign w:val="bottom"/>
          </w:tcPr>
          <w:p w14:paraId="037BF935" w14:textId="77777777" w:rsidR="00E07C4E" w:rsidRPr="00721663" w:rsidRDefault="00E07C4E" w:rsidP="00551604">
            <w:pPr>
              <w:jc w:val="right"/>
              <w:rPr>
                <w:rFonts w:ascii="Arial" w:hAnsi="Arial" w:cs="Arial"/>
                <w:b/>
                <w:sz w:val="18"/>
                <w:szCs w:val="18"/>
                <w:lang w:val="bg-BG"/>
              </w:rPr>
            </w:pPr>
          </w:p>
        </w:tc>
        <w:tc>
          <w:tcPr>
            <w:tcW w:w="1275" w:type="dxa"/>
            <w:tcBorders>
              <w:top w:val="single" w:sz="4" w:space="0" w:color="auto"/>
              <w:bottom w:val="single" w:sz="4" w:space="0" w:color="auto"/>
            </w:tcBorders>
            <w:vAlign w:val="bottom"/>
          </w:tcPr>
          <w:p w14:paraId="46141CBA" w14:textId="58504D09" w:rsidR="00E07C4E" w:rsidRPr="00721663" w:rsidRDefault="00144930" w:rsidP="00551604">
            <w:pPr>
              <w:jc w:val="right"/>
              <w:rPr>
                <w:rFonts w:ascii="Arial" w:hAnsi="Arial" w:cs="Arial"/>
                <w:b/>
                <w:sz w:val="18"/>
                <w:szCs w:val="18"/>
                <w:lang w:val="bg-BG"/>
              </w:rPr>
            </w:pPr>
            <w:r>
              <w:rPr>
                <w:rFonts w:ascii="Arial" w:hAnsi="Arial" w:cs="Arial"/>
                <w:b/>
                <w:sz w:val="18"/>
                <w:szCs w:val="18"/>
                <w:lang w:val="bg-BG"/>
              </w:rPr>
              <w:t>31 декември 2016</w:t>
            </w:r>
            <w:r w:rsidR="00E07C4E" w:rsidRPr="00721663">
              <w:rPr>
                <w:rFonts w:ascii="Arial" w:hAnsi="Arial" w:cs="Arial"/>
                <w:b/>
                <w:sz w:val="18"/>
                <w:szCs w:val="18"/>
                <w:lang w:val="bg-BG"/>
              </w:rPr>
              <w:t xml:space="preserve"> </w:t>
            </w:r>
          </w:p>
        </w:tc>
        <w:tc>
          <w:tcPr>
            <w:tcW w:w="142" w:type="dxa"/>
            <w:vAlign w:val="bottom"/>
          </w:tcPr>
          <w:p w14:paraId="0C9EE770" w14:textId="77777777" w:rsidR="00E07C4E" w:rsidRPr="00721663" w:rsidRDefault="00E07C4E" w:rsidP="00551604">
            <w:pPr>
              <w:jc w:val="right"/>
              <w:rPr>
                <w:rFonts w:ascii="Arial" w:hAnsi="Arial" w:cs="Arial"/>
                <w:b/>
                <w:sz w:val="18"/>
                <w:szCs w:val="18"/>
                <w:lang w:val="bg-BG"/>
              </w:rPr>
            </w:pPr>
          </w:p>
        </w:tc>
        <w:tc>
          <w:tcPr>
            <w:tcW w:w="1276" w:type="dxa"/>
            <w:tcBorders>
              <w:top w:val="single" w:sz="4" w:space="0" w:color="auto"/>
              <w:bottom w:val="single" w:sz="4" w:space="0" w:color="auto"/>
            </w:tcBorders>
            <w:vAlign w:val="bottom"/>
          </w:tcPr>
          <w:p w14:paraId="47215B53" w14:textId="1CBF8AB6" w:rsidR="00E07C4E" w:rsidRPr="00721663" w:rsidRDefault="00144930" w:rsidP="00551604">
            <w:pPr>
              <w:jc w:val="right"/>
              <w:rPr>
                <w:rFonts w:ascii="Arial" w:hAnsi="Arial" w:cs="Arial"/>
                <w:b/>
                <w:sz w:val="18"/>
                <w:szCs w:val="18"/>
                <w:lang w:val="bg-BG"/>
              </w:rPr>
            </w:pPr>
            <w:r>
              <w:rPr>
                <w:rFonts w:ascii="Arial" w:hAnsi="Arial" w:cs="Arial"/>
                <w:b/>
                <w:sz w:val="18"/>
                <w:szCs w:val="18"/>
                <w:lang w:val="bg-BG"/>
              </w:rPr>
              <w:t>31 декември 2016</w:t>
            </w:r>
            <w:r w:rsidR="00E07C4E" w:rsidRPr="00721663">
              <w:rPr>
                <w:rFonts w:ascii="Arial" w:hAnsi="Arial" w:cs="Arial"/>
                <w:b/>
                <w:sz w:val="18"/>
                <w:szCs w:val="18"/>
                <w:lang w:val="bg-BG"/>
              </w:rPr>
              <w:t xml:space="preserve"> </w:t>
            </w:r>
          </w:p>
        </w:tc>
      </w:tr>
      <w:tr w:rsidR="00E07C4E" w:rsidRPr="00721663" w14:paraId="403EF42F" w14:textId="77777777" w:rsidTr="00551604">
        <w:trPr>
          <w:trHeight w:val="284"/>
        </w:trPr>
        <w:tc>
          <w:tcPr>
            <w:tcW w:w="3402" w:type="dxa"/>
            <w:vAlign w:val="bottom"/>
          </w:tcPr>
          <w:p w14:paraId="13193421" w14:textId="77777777" w:rsidR="00E07C4E" w:rsidRPr="00721663" w:rsidRDefault="00E07C4E" w:rsidP="00551604">
            <w:pPr>
              <w:jc w:val="left"/>
              <w:rPr>
                <w:rFonts w:ascii="Arial" w:eastAsia="Arial Unicode MS" w:hAnsi="Arial" w:cs="Arial"/>
                <w:szCs w:val="22"/>
                <w:lang w:val="bg-BG"/>
              </w:rPr>
            </w:pPr>
          </w:p>
        </w:tc>
        <w:tc>
          <w:tcPr>
            <w:tcW w:w="142" w:type="dxa"/>
          </w:tcPr>
          <w:p w14:paraId="48F18F62" w14:textId="77777777" w:rsidR="00E07C4E" w:rsidRPr="00721663" w:rsidRDefault="00E07C4E" w:rsidP="00551604">
            <w:pPr>
              <w:jc w:val="left"/>
              <w:rPr>
                <w:rFonts w:ascii="Arial" w:eastAsia="Arial Unicode MS" w:hAnsi="Arial" w:cs="Arial"/>
                <w:szCs w:val="22"/>
                <w:lang w:val="bg-BG"/>
              </w:rPr>
            </w:pPr>
          </w:p>
        </w:tc>
        <w:tc>
          <w:tcPr>
            <w:tcW w:w="1134" w:type="dxa"/>
            <w:tcBorders>
              <w:top w:val="single" w:sz="4" w:space="0" w:color="auto"/>
            </w:tcBorders>
            <w:vAlign w:val="bottom"/>
          </w:tcPr>
          <w:p w14:paraId="761681AF"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142" w:type="dxa"/>
          </w:tcPr>
          <w:p w14:paraId="587A03AB"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134" w:type="dxa"/>
            <w:tcBorders>
              <w:top w:val="single" w:sz="4" w:space="0" w:color="auto"/>
            </w:tcBorders>
            <w:vAlign w:val="bottom"/>
          </w:tcPr>
          <w:p w14:paraId="5BEBA2F1"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142" w:type="dxa"/>
            <w:vAlign w:val="bottom"/>
          </w:tcPr>
          <w:p w14:paraId="79D6DFFF" w14:textId="77777777" w:rsidR="00E07C4E" w:rsidRPr="00721663" w:rsidRDefault="00E07C4E" w:rsidP="00551604">
            <w:pPr>
              <w:jc w:val="right"/>
              <w:rPr>
                <w:rFonts w:ascii="Arial" w:eastAsia="Arial Unicode MS" w:hAnsi="Arial" w:cs="Arial"/>
                <w:szCs w:val="22"/>
                <w:lang w:val="bg-BG"/>
              </w:rPr>
            </w:pPr>
          </w:p>
        </w:tc>
        <w:tc>
          <w:tcPr>
            <w:tcW w:w="1275" w:type="dxa"/>
            <w:tcBorders>
              <w:top w:val="single" w:sz="4" w:space="0" w:color="auto"/>
            </w:tcBorders>
            <w:vAlign w:val="bottom"/>
          </w:tcPr>
          <w:p w14:paraId="435C41C8"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142" w:type="dxa"/>
          </w:tcPr>
          <w:p w14:paraId="45547125"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276" w:type="dxa"/>
            <w:tcBorders>
              <w:top w:val="single" w:sz="4" w:space="0" w:color="auto"/>
            </w:tcBorders>
            <w:vAlign w:val="bottom"/>
          </w:tcPr>
          <w:p w14:paraId="538569F6"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r>
      <w:tr w:rsidR="00017A0C" w:rsidRPr="00721663" w14:paraId="078BA5D7" w14:textId="77777777" w:rsidTr="00551604">
        <w:trPr>
          <w:trHeight w:hRule="exact" w:val="738"/>
        </w:trPr>
        <w:tc>
          <w:tcPr>
            <w:tcW w:w="3402" w:type="dxa"/>
            <w:vAlign w:val="center"/>
          </w:tcPr>
          <w:p w14:paraId="4A2A858B" w14:textId="77777777" w:rsidR="00017A0C" w:rsidRPr="00721663" w:rsidRDefault="00017A0C" w:rsidP="00017A0C">
            <w:pPr>
              <w:jc w:val="left"/>
              <w:rPr>
                <w:rFonts w:ascii="Arial" w:eastAsia="Arial Unicode MS" w:hAnsi="Arial" w:cs="Arial"/>
                <w:sz w:val="18"/>
                <w:szCs w:val="18"/>
                <w:lang w:val="bg-BG"/>
              </w:rPr>
            </w:pPr>
            <w:r w:rsidRPr="00721663">
              <w:rPr>
                <w:rFonts w:ascii="Arial" w:hAnsi="Arial" w:cs="Arial"/>
                <w:sz w:val="18"/>
                <w:szCs w:val="18"/>
                <w:lang w:val="bg-BG"/>
              </w:rPr>
              <w:t>Лихва върху заеми – правило на слабата капитализация</w:t>
            </w:r>
          </w:p>
        </w:tc>
        <w:tc>
          <w:tcPr>
            <w:tcW w:w="142" w:type="dxa"/>
          </w:tcPr>
          <w:p w14:paraId="5C51F07F" w14:textId="77777777" w:rsidR="00017A0C" w:rsidRPr="00721663" w:rsidRDefault="00017A0C" w:rsidP="00017A0C">
            <w:pPr>
              <w:jc w:val="left"/>
              <w:rPr>
                <w:rFonts w:ascii="Arial" w:eastAsia="Arial Unicode MS" w:hAnsi="Arial" w:cs="Arial"/>
                <w:sz w:val="18"/>
                <w:szCs w:val="18"/>
                <w:lang w:val="bg-BG"/>
              </w:rPr>
            </w:pPr>
          </w:p>
        </w:tc>
        <w:tc>
          <w:tcPr>
            <w:tcW w:w="1134" w:type="dxa"/>
            <w:vAlign w:val="center"/>
          </w:tcPr>
          <w:p w14:paraId="4E843185" w14:textId="792AE6EC" w:rsidR="00017A0C" w:rsidRPr="00721663" w:rsidRDefault="00017A0C" w:rsidP="00017A0C">
            <w:pPr>
              <w:ind w:right="102"/>
              <w:jc w:val="right"/>
              <w:rPr>
                <w:rFonts w:ascii="Arial" w:eastAsia="Arial Unicode MS" w:hAnsi="Arial" w:cs="Arial"/>
                <w:sz w:val="18"/>
                <w:szCs w:val="18"/>
                <w:lang w:val="bg-BG"/>
              </w:rPr>
            </w:pPr>
            <w:r>
              <w:rPr>
                <w:rFonts w:ascii="Arial" w:eastAsia="Arial Unicode MS" w:hAnsi="Arial" w:cs="Arial"/>
                <w:sz w:val="18"/>
                <w:szCs w:val="18"/>
                <w:lang w:val="en-GB" w:eastAsia="bg-BG"/>
              </w:rPr>
              <w:t>1,384</w:t>
            </w:r>
          </w:p>
        </w:tc>
        <w:tc>
          <w:tcPr>
            <w:tcW w:w="142" w:type="dxa"/>
            <w:vAlign w:val="center"/>
          </w:tcPr>
          <w:p w14:paraId="406C9F0C" w14:textId="77777777" w:rsidR="00017A0C" w:rsidRPr="00721663" w:rsidRDefault="00017A0C" w:rsidP="00017A0C">
            <w:pPr>
              <w:jc w:val="right"/>
              <w:rPr>
                <w:rFonts w:ascii="Arial" w:eastAsia="Arial Unicode MS" w:hAnsi="Arial" w:cs="Arial"/>
                <w:sz w:val="18"/>
                <w:szCs w:val="18"/>
                <w:lang w:val="bg-BG"/>
              </w:rPr>
            </w:pPr>
          </w:p>
        </w:tc>
        <w:tc>
          <w:tcPr>
            <w:tcW w:w="1134" w:type="dxa"/>
            <w:vAlign w:val="center"/>
          </w:tcPr>
          <w:p w14:paraId="221E6022" w14:textId="49762E8F" w:rsidR="00017A0C" w:rsidRPr="00721663" w:rsidRDefault="00017A0C" w:rsidP="00017A0C">
            <w:pPr>
              <w:ind w:right="102"/>
              <w:jc w:val="right"/>
              <w:rPr>
                <w:rFonts w:ascii="Arial" w:eastAsia="Arial Unicode MS" w:hAnsi="Arial" w:cs="Arial"/>
                <w:sz w:val="18"/>
                <w:szCs w:val="18"/>
                <w:lang w:val="bg-BG"/>
              </w:rPr>
            </w:pPr>
            <w:r>
              <w:rPr>
                <w:rFonts w:ascii="Arial" w:eastAsia="Arial Unicode MS" w:hAnsi="Arial" w:cs="Arial"/>
                <w:sz w:val="18"/>
                <w:szCs w:val="18"/>
                <w:lang w:val="en-GB" w:eastAsia="bg-BG"/>
              </w:rPr>
              <w:t>139</w:t>
            </w:r>
          </w:p>
        </w:tc>
        <w:tc>
          <w:tcPr>
            <w:tcW w:w="142" w:type="dxa"/>
            <w:vAlign w:val="center"/>
          </w:tcPr>
          <w:p w14:paraId="025ACADA" w14:textId="77777777" w:rsidR="00017A0C" w:rsidRPr="00721663" w:rsidRDefault="00017A0C" w:rsidP="00017A0C">
            <w:pPr>
              <w:jc w:val="right"/>
              <w:rPr>
                <w:rFonts w:ascii="Arial" w:eastAsia="Arial Unicode MS" w:hAnsi="Arial" w:cs="Arial"/>
                <w:sz w:val="18"/>
                <w:szCs w:val="18"/>
                <w:lang w:val="bg-BG"/>
              </w:rPr>
            </w:pPr>
          </w:p>
        </w:tc>
        <w:tc>
          <w:tcPr>
            <w:tcW w:w="1275" w:type="dxa"/>
            <w:vAlign w:val="center"/>
          </w:tcPr>
          <w:p w14:paraId="7024C025" w14:textId="4C9883AD" w:rsidR="00017A0C" w:rsidRPr="00721663" w:rsidRDefault="00017A0C" w:rsidP="00017A0C">
            <w:pPr>
              <w:ind w:right="102"/>
              <w:jc w:val="right"/>
              <w:rPr>
                <w:rFonts w:ascii="Arial" w:eastAsia="Arial Unicode MS" w:hAnsi="Arial" w:cs="Arial"/>
                <w:sz w:val="18"/>
                <w:szCs w:val="18"/>
                <w:lang w:val="bg-BG"/>
              </w:rPr>
            </w:pPr>
            <w:r>
              <w:rPr>
                <w:rFonts w:ascii="Arial" w:eastAsia="Arial Unicode MS" w:hAnsi="Arial" w:cs="Arial"/>
                <w:sz w:val="18"/>
                <w:szCs w:val="18"/>
                <w:lang w:val="en-GB" w:eastAsia="bg-BG"/>
              </w:rPr>
              <w:t>1,386</w:t>
            </w:r>
          </w:p>
        </w:tc>
        <w:tc>
          <w:tcPr>
            <w:tcW w:w="142" w:type="dxa"/>
            <w:vAlign w:val="center"/>
          </w:tcPr>
          <w:p w14:paraId="4CEC3910" w14:textId="77777777" w:rsidR="00017A0C" w:rsidRPr="00721663" w:rsidRDefault="00017A0C" w:rsidP="00017A0C">
            <w:pPr>
              <w:jc w:val="right"/>
              <w:rPr>
                <w:rFonts w:ascii="Arial" w:eastAsia="Arial Unicode MS" w:hAnsi="Arial" w:cs="Arial"/>
                <w:sz w:val="18"/>
                <w:szCs w:val="18"/>
                <w:lang w:val="bg-BG"/>
              </w:rPr>
            </w:pPr>
          </w:p>
        </w:tc>
        <w:tc>
          <w:tcPr>
            <w:tcW w:w="1276" w:type="dxa"/>
            <w:vAlign w:val="center"/>
          </w:tcPr>
          <w:p w14:paraId="1D5601B1" w14:textId="33113ADE" w:rsidR="00017A0C" w:rsidRPr="00721663" w:rsidRDefault="00017A0C" w:rsidP="00017A0C">
            <w:pPr>
              <w:ind w:right="102"/>
              <w:jc w:val="right"/>
              <w:rPr>
                <w:rFonts w:ascii="Arial" w:eastAsia="Arial Unicode MS" w:hAnsi="Arial" w:cs="Arial"/>
                <w:sz w:val="18"/>
                <w:szCs w:val="18"/>
                <w:lang w:val="bg-BG"/>
              </w:rPr>
            </w:pPr>
            <w:r>
              <w:rPr>
                <w:rFonts w:ascii="Arial" w:eastAsia="Arial Unicode MS" w:hAnsi="Arial" w:cs="Arial"/>
                <w:sz w:val="18"/>
                <w:szCs w:val="18"/>
                <w:lang w:val="en-GB" w:eastAsia="bg-BG"/>
              </w:rPr>
              <w:t>139</w:t>
            </w:r>
          </w:p>
        </w:tc>
      </w:tr>
      <w:tr w:rsidR="00017A0C" w:rsidRPr="00721663" w14:paraId="037BE9B2" w14:textId="77777777" w:rsidTr="00551604">
        <w:trPr>
          <w:trHeight w:hRule="exact" w:val="490"/>
        </w:trPr>
        <w:tc>
          <w:tcPr>
            <w:tcW w:w="3402" w:type="dxa"/>
            <w:vAlign w:val="center"/>
          </w:tcPr>
          <w:p w14:paraId="1365E7F9" w14:textId="77777777" w:rsidR="00017A0C" w:rsidRPr="00721663" w:rsidRDefault="00017A0C" w:rsidP="00017A0C">
            <w:pPr>
              <w:jc w:val="left"/>
              <w:rPr>
                <w:rFonts w:ascii="Arial" w:hAnsi="Arial" w:cs="Arial"/>
                <w:bCs/>
                <w:sz w:val="18"/>
                <w:szCs w:val="18"/>
                <w:lang w:val="bg-BG"/>
              </w:rPr>
            </w:pPr>
            <w:r w:rsidRPr="00721663">
              <w:rPr>
                <w:rFonts w:ascii="Arial" w:hAnsi="Arial"/>
                <w:sz w:val="18"/>
                <w:szCs w:val="18"/>
                <w:lang w:val="bg-BG"/>
              </w:rPr>
              <w:t>Провизия за разходи за извеждане от експлоатация (Бележка</w:t>
            </w:r>
            <w:r w:rsidRPr="00721663">
              <w:rPr>
                <w:rFonts w:ascii="Arial" w:hAnsi="Arial" w:cs="Arial"/>
                <w:sz w:val="18"/>
                <w:szCs w:val="18"/>
                <w:lang w:val="bg-BG"/>
              </w:rPr>
              <w:t xml:space="preserve"> 1</w:t>
            </w:r>
            <w:r>
              <w:rPr>
                <w:rFonts w:ascii="Arial" w:hAnsi="Arial" w:cs="Arial"/>
                <w:sz w:val="18"/>
                <w:szCs w:val="18"/>
                <w:lang w:val="bg-BG"/>
              </w:rPr>
              <w:t>3</w:t>
            </w:r>
            <w:r w:rsidRPr="00721663">
              <w:rPr>
                <w:rFonts w:ascii="Arial" w:hAnsi="Arial"/>
                <w:sz w:val="18"/>
                <w:szCs w:val="18"/>
                <w:lang w:val="bg-BG"/>
              </w:rPr>
              <w:t>)</w:t>
            </w:r>
          </w:p>
        </w:tc>
        <w:tc>
          <w:tcPr>
            <w:tcW w:w="142" w:type="dxa"/>
          </w:tcPr>
          <w:p w14:paraId="4780FE25" w14:textId="77777777" w:rsidR="00017A0C" w:rsidRPr="00721663" w:rsidRDefault="00017A0C" w:rsidP="00017A0C">
            <w:pPr>
              <w:tabs>
                <w:tab w:val="left" w:pos="1356"/>
              </w:tabs>
              <w:ind w:right="123"/>
              <w:jc w:val="right"/>
              <w:rPr>
                <w:rFonts w:ascii="Arial" w:hAnsi="Arial" w:cs="Arial"/>
                <w:sz w:val="18"/>
                <w:szCs w:val="18"/>
                <w:lang w:val="bg-BG"/>
              </w:rPr>
            </w:pPr>
          </w:p>
        </w:tc>
        <w:tc>
          <w:tcPr>
            <w:tcW w:w="1134" w:type="dxa"/>
            <w:vAlign w:val="center"/>
          </w:tcPr>
          <w:p w14:paraId="3AA29E3E" w14:textId="107D99D7" w:rsidR="00017A0C" w:rsidRPr="00721663" w:rsidRDefault="00017A0C" w:rsidP="00017A0C">
            <w:pPr>
              <w:tabs>
                <w:tab w:val="left" w:pos="1356"/>
              </w:tabs>
              <w:ind w:right="123"/>
              <w:jc w:val="right"/>
              <w:rPr>
                <w:rFonts w:ascii="Arial" w:hAnsi="Arial" w:cs="Arial"/>
                <w:sz w:val="18"/>
                <w:szCs w:val="18"/>
                <w:lang w:val="bg-BG"/>
              </w:rPr>
            </w:pPr>
            <w:r>
              <w:rPr>
                <w:rFonts w:ascii="Arial" w:hAnsi="Arial" w:cs="Arial"/>
                <w:sz w:val="18"/>
                <w:szCs w:val="18"/>
                <w:lang w:val="en-GB" w:eastAsia="bg-BG"/>
              </w:rPr>
              <w:t>132</w:t>
            </w:r>
          </w:p>
        </w:tc>
        <w:tc>
          <w:tcPr>
            <w:tcW w:w="142" w:type="dxa"/>
            <w:vAlign w:val="center"/>
          </w:tcPr>
          <w:p w14:paraId="0B9D9156" w14:textId="77777777" w:rsidR="00017A0C" w:rsidRPr="00721663" w:rsidRDefault="00017A0C" w:rsidP="00017A0C">
            <w:pPr>
              <w:tabs>
                <w:tab w:val="left" w:pos="1356"/>
              </w:tabs>
              <w:ind w:right="123"/>
              <w:jc w:val="right"/>
              <w:rPr>
                <w:rFonts w:ascii="Arial" w:hAnsi="Arial" w:cs="Arial"/>
                <w:sz w:val="18"/>
                <w:szCs w:val="18"/>
                <w:lang w:val="bg-BG"/>
              </w:rPr>
            </w:pPr>
          </w:p>
        </w:tc>
        <w:tc>
          <w:tcPr>
            <w:tcW w:w="1134" w:type="dxa"/>
            <w:vAlign w:val="center"/>
          </w:tcPr>
          <w:p w14:paraId="36DD376E" w14:textId="6AD7EFA1" w:rsidR="00017A0C" w:rsidRPr="00721663" w:rsidRDefault="00017A0C" w:rsidP="00017A0C">
            <w:pPr>
              <w:tabs>
                <w:tab w:val="left" w:pos="1356"/>
              </w:tabs>
              <w:ind w:right="123"/>
              <w:jc w:val="right"/>
              <w:rPr>
                <w:rFonts w:ascii="Arial" w:hAnsi="Arial" w:cs="Arial"/>
                <w:sz w:val="18"/>
                <w:szCs w:val="18"/>
                <w:lang w:val="bg-BG"/>
              </w:rPr>
            </w:pPr>
            <w:r>
              <w:rPr>
                <w:rFonts w:ascii="Arial" w:hAnsi="Arial" w:cs="Arial"/>
                <w:sz w:val="18"/>
                <w:szCs w:val="18"/>
                <w:lang w:val="en-GB" w:eastAsia="bg-BG"/>
              </w:rPr>
              <w:t>12</w:t>
            </w:r>
          </w:p>
        </w:tc>
        <w:tc>
          <w:tcPr>
            <w:tcW w:w="142" w:type="dxa"/>
            <w:vAlign w:val="center"/>
          </w:tcPr>
          <w:p w14:paraId="5FA450B9" w14:textId="77777777" w:rsidR="00017A0C" w:rsidRPr="00721663" w:rsidRDefault="00017A0C" w:rsidP="00017A0C">
            <w:pPr>
              <w:tabs>
                <w:tab w:val="left" w:pos="1356"/>
              </w:tabs>
              <w:ind w:right="123"/>
              <w:jc w:val="right"/>
              <w:rPr>
                <w:rFonts w:ascii="Arial" w:hAnsi="Arial" w:cs="Arial"/>
                <w:sz w:val="18"/>
                <w:szCs w:val="18"/>
                <w:lang w:val="bg-BG"/>
              </w:rPr>
            </w:pPr>
          </w:p>
        </w:tc>
        <w:tc>
          <w:tcPr>
            <w:tcW w:w="1275" w:type="dxa"/>
            <w:vAlign w:val="center"/>
          </w:tcPr>
          <w:p w14:paraId="3DB9BA46" w14:textId="19536B35" w:rsidR="00017A0C" w:rsidRPr="00721663" w:rsidRDefault="00017A0C" w:rsidP="00017A0C">
            <w:pPr>
              <w:tabs>
                <w:tab w:val="left" w:pos="1356"/>
              </w:tabs>
              <w:ind w:right="123"/>
              <w:jc w:val="right"/>
              <w:rPr>
                <w:rFonts w:ascii="Arial" w:hAnsi="Arial" w:cs="Arial"/>
                <w:sz w:val="18"/>
                <w:szCs w:val="18"/>
                <w:lang w:val="bg-BG"/>
              </w:rPr>
            </w:pPr>
            <w:r>
              <w:rPr>
                <w:rFonts w:ascii="Arial" w:hAnsi="Arial" w:cs="Arial"/>
                <w:sz w:val="18"/>
                <w:szCs w:val="18"/>
                <w:lang w:val="en-GB" w:eastAsia="bg-BG"/>
              </w:rPr>
              <w:t>129</w:t>
            </w:r>
          </w:p>
        </w:tc>
        <w:tc>
          <w:tcPr>
            <w:tcW w:w="142" w:type="dxa"/>
            <w:vAlign w:val="center"/>
          </w:tcPr>
          <w:p w14:paraId="192BECF1" w14:textId="77777777" w:rsidR="00017A0C" w:rsidRPr="00721663" w:rsidRDefault="00017A0C" w:rsidP="00017A0C">
            <w:pPr>
              <w:tabs>
                <w:tab w:val="left" w:pos="1356"/>
              </w:tabs>
              <w:ind w:right="123"/>
              <w:jc w:val="right"/>
              <w:rPr>
                <w:rFonts w:ascii="Arial" w:hAnsi="Arial" w:cs="Arial"/>
                <w:sz w:val="18"/>
                <w:szCs w:val="18"/>
                <w:lang w:val="bg-BG"/>
              </w:rPr>
            </w:pPr>
          </w:p>
        </w:tc>
        <w:tc>
          <w:tcPr>
            <w:tcW w:w="1276" w:type="dxa"/>
            <w:vAlign w:val="center"/>
          </w:tcPr>
          <w:p w14:paraId="452DA767" w14:textId="510B1CC2" w:rsidR="00017A0C" w:rsidRPr="00721663" w:rsidRDefault="00017A0C" w:rsidP="00017A0C">
            <w:pPr>
              <w:tabs>
                <w:tab w:val="left" w:pos="1356"/>
              </w:tabs>
              <w:ind w:right="123"/>
              <w:jc w:val="right"/>
              <w:rPr>
                <w:rFonts w:ascii="Arial" w:hAnsi="Arial" w:cs="Arial"/>
                <w:sz w:val="18"/>
                <w:szCs w:val="18"/>
                <w:lang w:val="bg-BG"/>
              </w:rPr>
            </w:pPr>
            <w:r>
              <w:rPr>
                <w:rFonts w:ascii="Arial" w:hAnsi="Arial" w:cs="Arial"/>
                <w:sz w:val="18"/>
                <w:szCs w:val="18"/>
                <w:lang w:val="en-GB" w:eastAsia="bg-BG"/>
              </w:rPr>
              <w:t>12</w:t>
            </w:r>
          </w:p>
        </w:tc>
      </w:tr>
      <w:tr w:rsidR="00017A0C" w:rsidRPr="00721663" w14:paraId="7F8383EE" w14:textId="77777777" w:rsidTr="00551604">
        <w:trPr>
          <w:trHeight w:hRule="exact" w:val="301"/>
        </w:trPr>
        <w:tc>
          <w:tcPr>
            <w:tcW w:w="3402" w:type="dxa"/>
            <w:vAlign w:val="center"/>
          </w:tcPr>
          <w:p w14:paraId="43C10BE2" w14:textId="77777777" w:rsidR="00017A0C" w:rsidRPr="00721663" w:rsidRDefault="00017A0C" w:rsidP="00017A0C">
            <w:pPr>
              <w:jc w:val="left"/>
              <w:rPr>
                <w:rFonts w:ascii="Arial" w:hAnsi="Arial" w:cs="Arial"/>
                <w:sz w:val="18"/>
                <w:szCs w:val="18"/>
                <w:lang w:val="bg-BG"/>
              </w:rPr>
            </w:pPr>
            <w:r w:rsidRPr="00721663">
              <w:rPr>
                <w:rFonts w:ascii="Arial" w:hAnsi="Arial" w:cs="Arial"/>
                <w:sz w:val="18"/>
                <w:szCs w:val="18"/>
                <w:lang w:val="bg-BG"/>
              </w:rPr>
              <w:t>Неизползван платен отпуск</w:t>
            </w:r>
          </w:p>
        </w:tc>
        <w:tc>
          <w:tcPr>
            <w:tcW w:w="142" w:type="dxa"/>
          </w:tcPr>
          <w:p w14:paraId="5FF1BC1C" w14:textId="77777777" w:rsidR="00017A0C" w:rsidRPr="00721663" w:rsidRDefault="00017A0C" w:rsidP="00017A0C">
            <w:pPr>
              <w:tabs>
                <w:tab w:val="left" w:pos="1356"/>
              </w:tabs>
              <w:ind w:right="123"/>
              <w:jc w:val="right"/>
              <w:rPr>
                <w:rFonts w:ascii="Arial" w:hAnsi="Arial" w:cs="Arial"/>
                <w:sz w:val="18"/>
                <w:szCs w:val="18"/>
                <w:lang w:val="bg-BG"/>
              </w:rPr>
            </w:pPr>
          </w:p>
        </w:tc>
        <w:tc>
          <w:tcPr>
            <w:tcW w:w="1134" w:type="dxa"/>
            <w:vAlign w:val="center"/>
          </w:tcPr>
          <w:p w14:paraId="57CA644C" w14:textId="7875AAF8" w:rsidR="00017A0C" w:rsidRPr="00721663" w:rsidRDefault="00017A0C" w:rsidP="00017A0C">
            <w:pPr>
              <w:tabs>
                <w:tab w:val="left" w:pos="1356"/>
              </w:tabs>
              <w:ind w:right="123"/>
              <w:jc w:val="right"/>
              <w:rPr>
                <w:rFonts w:ascii="Arial" w:hAnsi="Arial" w:cs="Arial"/>
                <w:sz w:val="18"/>
                <w:szCs w:val="18"/>
                <w:lang w:val="bg-BG"/>
              </w:rPr>
            </w:pPr>
            <w:r>
              <w:rPr>
                <w:rFonts w:ascii="Arial" w:hAnsi="Arial" w:cs="Arial"/>
                <w:sz w:val="18"/>
                <w:szCs w:val="18"/>
                <w:lang w:val="en-GB" w:eastAsia="bg-BG"/>
              </w:rPr>
              <w:t>4</w:t>
            </w:r>
          </w:p>
        </w:tc>
        <w:tc>
          <w:tcPr>
            <w:tcW w:w="142" w:type="dxa"/>
            <w:vAlign w:val="center"/>
          </w:tcPr>
          <w:p w14:paraId="0A76A78E" w14:textId="77777777" w:rsidR="00017A0C" w:rsidRPr="00721663" w:rsidRDefault="00017A0C" w:rsidP="00017A0C">
            <w:pPr>
              <w:jc w:val="right"/>
              <w:rPr>
                <w:rFonts w:ascii="Arial" w:hAnsi="Arial" w:cs="Arial"/>
                <w:sz w:val="18"/>
                <w:szCs w:val="18"/>
                <w:lang w:val="bg-BG"/>
              </w:rPr>
            </w:pPr>
          </w:p>
        </w:tc>
        <w:tc>
          <w:tcPr>
            <w:tcW w:w="1134" w:type="dxa"/>
            <w:vAlign w:val="center"/>
          </w:tcPr>
          <w:p w14:paraId="0506B44D" w14:textId="6CB2223B" w:rsidR="00017A0C" w:rsidRPr="00721663" w:rsidRDefault="00017A0C" w:rsidP="00017A0C">
            <w:pPr>
              <w:ind w:right="123"/>
              <w:jc w:val="right"/>
              <w:rPr>
                <w:rFonts w:ascii="Arial" w:hAnsi="Arial" w:cs="Arial"/>
                <w:sz w:val="18"/>
                <w:szCs w:val="18"/>
                <w:lang w:val="bg-BG"/>
              </w:rPr>
            </w:pPr>
            <w:r>
              <w:rPr>
                <w:rFonts w:ascii="Arial" w:hAnsi="Arial" w:cs="Arial"/>
                <w:sz w:val="18"/>
                <w:szCs w:val="18"/>
                <w:lang w:val="en-GB" w:eastAsia="bg-BG"/>
              </w:rPr>
              <w:t>1</w:t>
            </w:r>
          </w:p>
        </w:tc>
        <w:tc>
          <w:tcPr>
            <w:tcW w:w="142" w:type="dxa"/>
            <w:vAlign w:val="center"/>
          </w:tcPr>
          <w:p w14:paraId="6D3FACE9" w14:textId="77777777" w:rsidR="00017A0C" w:rsidRPr="00721663" w:rsidRDefault="00017A0C" w:rsidP="00017A0C">
            <w:pPr>
              <w:tabs>
                <w:tab w:val="left" w:pos="1356"/>
              </w:tabs>
              <w:ind w:right="123"/>
              <w:jc w:val="right"/>
              <w:rPr>
                <w:rFonts w:ascii="Arial" w:hAnsi="Arial" w:cs="Arial"/>
                <w:sz w:val="18"/>
                <w:szCs w:val="18"/>
                <w:lang w:val="bg-BG"/>
              </w:rPr>
            </w:pPr>
          </w:p>
        </w:tc>
        <w:tc>
          <w:tcPr>
            <w:tcW w:w="1275" w:type="dxa"/>
            <w:vAlign w:val="center"/>
          </w:tcPr>
          <w:p w14:paraId="3ED956AA" w14:textId="68C14E4A" w:rsidR="00017A0C" w:rsidRPr="00721663" w:rsidRDefault="00017A0C" w:rsidP="00017A0C">
            <w:pPr>
              <w:tabs>
                <w:tab w:val="left" w:pos="1356"/>
              </w:tabs>
              <w:ind w:right="123"/>
              <w:jc w:val="right"/>
              <w:rPr>
                <w:rFonts w:ascii="Arial" w:hAnsi="Arial" w:cs="Arial"/>
                <w:sz w:val="18"/>
                <w:szCs w:val="18"/>
                <w:lang w:val="bg-BG"/>
              </w:rPr>
            </w:pPr>
            <w:r>
              <w:rPr>
                <w:rFonts w:ascii="Arial" w:hAnsi="Arial" w:cs="Arial"/>
                <w:sz w:val="18"/>
                <w:szCs w:val="18"/>
                <w:lang w:val="en-GB" w:eastAsia="bg-BG"/>
              </w:rPr>
              <w:t>5</w:t>
            </w:r>
          </w:p>
        </w:tc>
        <w:tc>
          <w:tcPr>
            <w:tcW w:w="142" w:type="dxa"/>
            <w:vAlign w:val="center"/>
          </w:tcPr>
          <w:p w14:paraId="32DE8084" w14:textId="77777777" w:rsidR="00017A0C" w:rsidRPr="00721663" w:rsidRDefault="00017A0C" w:rsidP="00017A0C">
            <w:pPr>
              <w:jc w:val="right"/>
              <w:rPr>
                <w:rFonts w:ascii="Arial" w:hAnsi="Arial" w:cs="Arial"/>
                <w:sz w:val="18"/>
                <w:szCs w:val="18"/>
                <w:lang w:val="bg-BG"/>
              </w:rPr>
            </w:pPr>
          </w:p>
        </w:tc>
        <w:tc>
          <w:tcPr>
            <w:tcW w:w="1276" w:type="dxa"/>
            <w:vAlign w:val="center"/>
          </w:tcPr>
          <w:p w14:paraId="1CF509BE" w14:textId="296F5207" w:rsidR="00017A0C" w:rsidRPr="00721663" w:rsidRDefault="00017A0C" w:rsidP="00017A0C">
            <w:pPr>
              <w:ind w:right="123"/>
              <w:jc w:val="right"/>
              <w:rPr>
                <w:rFonts w:ascii="Arial" w:hAnsi="Arial" w:cs="Arial"/>
                <w:sz w:val="18"/>
                <w:szCs w:val="18"/>
                <w:lang w:val="bg-BG"/>
              </w:rPr>
            </w:pPr>
            <w:r>
              <w:rPr>
                <w:rFonts w:ascii="Arial" w:hAnsi="Arial" w:cs="Arial"/>
                <w:sz w:val="18"/>
                <w:szCs w:val="18"/>
                <w:lang w:val="en-GB" w:eastAsia="bg-BG"/>
              </w:rPr>
              <w:t>1</w:t>
            </w:r>
          </w:p>
        </w:tc>
      </w:tr>
      <w:tr w:rsidR="00017A0C" w:rsidRPr="00721663" w14:paraId="4F516424" w14:textId="77777777" w:rsidTr="00551604">
        <w:trPr>
          <w:trHeight w:hRule="exact" w:val="301"/>
        </w:trPr>
        <w:tc>
          <w:tcPr>
            <w:tcW w:w="3402" w:type="dxa"/>
            <w:vAlign w:val="center"/>
          </w:tcPr>
          <w:p w14:paraId="73692D5B" w14:textId="77777777" w:rsidR="00017A0C" w:rsidRPr="00721663" w:rsidRDefault="00017A0C" w:rsidP="00017A0C">
            <w:pPr>
              <w:jc w:val="left"/>
              <w:rPr>
                <w:rFonts w:ascii="Arial" w:hAnsi="Arial" w:cs="Arial"/>
                <w:sz w:val="18"/>
                <w:szCs w:val="18"/>
                <w:lang w:val="bg-BG"/>
              </w:rPr>
            </w:pPr>
            <w:r w:rsidRPr="00721663">
              <w:rPr>
                <w:rFonts w:ascii="Arial" w:hAnsi="Arial" w:cs="Arial"/>
                <w:sz w:val="18"/>
                <w:szCs w:val="18"/>
                <w:lang w:val="bg-BG"/>
              </w:rPr>
              <w:t>Дълготрайни активи</w:t>
            </w:r>
          </w:p>
        </w:tc>
        <w:tc>
          <w:tcPr>
            <w:tcW w:w="142" w:type="dxa"/>
          </w:tcPr>
          <w:p w14:paraId="24FDEB7B" w14:textId="77777777" w:rsidR="00017A0C" w:rsidRPr="00721663" w:rsidRDefault="00017A0C" w:rsidP="00017A0C">
            <w:pPr>
              <w:tabs>
                <w:tab w:val="left" w:pos="1356"/>
              </w:tabs>
              <w:ind w:right="123"/>
              <w:jc w:val="right"/>
              <w:rPr>
                <w:rFonts w:ascii="Arial" w:hAnsi="Arial" w:cs="Arial"/>
                <w:sz w:val="18"/>
                <w:szCs w:val="18"/>
                <w:lang w:val="bg-BG"/>
              </w:rPr>
            </w:pPr>
          </w:p>
        </w:tc>
        <w:tc>
          <w:tcPr>
            <w:tcW w:w="1134" w:type="dxa"/>
            <w:tcBorders>
              <w:bottom w:val="single" w:sz="4" w:space="0" w:color="auto"/>
            </w:tcBorders>
            <w:vAlign w:val="center"/>
          </w:tcPr>
          <w:p w14:paraId="3C3F850E" w14:textId="39159E7A" w:rsidR="00017A0C" w:rsidRPr="00721663" w:rsidRDefault="00017A0C" w:rsidP="00017A0C">
            <w:pPr>
              <w:tabs>
                <w:tab w:val="left" w:pos="1356"/>
              </w:tabs>
              <w:ind w:right="123"/>
              <w:jc w:val="right"/>
              <w:rPr>
                <w:rFonts w:ascii="Arial" w:hAnsi="Arial" w:cs="Arial"/>
                <w:sz w:val="18"/>
                <w:szCs w:val="18"/>
                <w:lang w:val="bg-BG"/>
              </w:rPr>
            </w:pPr>
            <w:r>
              <w:rPr>
                <w:rFonts w:ascii="Arial" w:hAnsi="Arial" w:cs="Arial"/>
                <w:sz w:val="18"/>
                <w:szCs w:val="18"/>
                <w:lang w:val="en-GB" w:eastAsia="bg-BG"/>
              </w:rPr>
              <w:t>(60)</w:t>
            </w:r>
          </w:p>
        </w:tc>
        <w:tc>
          <w:tcPr>
            <w:tcW w:w="142" w:type="dxa"/>
            <w:vAlign w:val="center"/>
          </w:tcPr>
          <w:p w14:paraId="6BE04CD7" w14:textId="77777777" w:rsidR="00017A0C" w:rsidRPr="00721663" w:rsidRDefault="00017A0C" w:rsidP="00017A0C">
            <w:pPr>
              <w:jc w:val="right"/>
              <w:rPr>
                <w:rFonts w:ascii="Arial" w:hAnsi="Arial" w:cs="Arial"/>
                <w:sz w:val="18"/>
                <w:szCs w:val="18"/>
                <w:lang w:val="bg-BG"/>
              </w:rPr>
            </w:pPr>
          </w:p>
        </w:tc>
        <w:tc>
          <w:tcPr>
            <w:tcW w:w="1134" w:type="dxa"/>
            <w:tcBorders>
              <w:bottom w:val="single" w:sz="4" w:space="0" w:color="auto"/>
            </w:tcBorders>
            <w:vAlign w:val="center"/>
          </w:tcPr>
          <w:p w14:paraId="16F0BD62" w14:textId="612FBFF5" w:rsidR="00017A0C" w:rsidRPr="00721663" w:rsidRDefault="00017A0C" w:rsidP="00017A0C">
            <w:pPr>
              <w:ind w:right="123"/>
              <w:jc w:val="right"/>
              <w:rPr>
                <w:rFonts w:ascii="Arial" w:hAnsi="Arial" w:cs="Arial"/>
                <w:sz w:val="18"/>
                <w:szCs w:val="18"/>
                <w:lang w:val="bg-BG"/>
              </w:rPr>
            </w:pPr>
            <w:r>
              <w:rPr>
                <w:rFonts w:ascii="Arial" w:hAnsi="Arial" w:cs="Arial"/>
                <w:sz w:val="18"/>
                <w:szCs w:val="18"/>
                <w:lang w:val="en-GB" w:eastAsia="bg-BG"/>
              </w:rPr>
              <w:t>(6)</w:t>
            </w:r>
          </w:p>
        </w:tc>
        <w:tc>
          <w:tcPr>
            <w:tcW w:w="142" w:type="dxa"/>
            <w:vAlign w:val="center"/>
          </w:tcPr>
          <w:p w14:paraId="2C9E1405" w14:textId="77777777" w:rsidR="00017A0C" w:rsidRPr="00721663" w:rsidRDefault="00017A0C" w:rsidP="00017A0C">
            <w:pPr>
              <w:tabs>
                <w:tab w:val="left" w:pos="1356"/>
              </w:tabs>
              <w:ind w:right="123"/>
              <w:jc w:val="right"/>
              <w:rPr>
                <w:rFonts w:ascii="Arial" w:hAnsi="Arial" w:cs="Arial"/>
                <w:sz w:val="18"/>
                <w:szCs w:val="18"/>
                <w:lang w:val="bg-BG"/>
              </w:rPr>
            </w:pPr>
          </w:p>
        </w:tc>
        <w:tc>
          <w:tcPr>
            <w:tcW w:w="1275" w:type="dxa"/>
            <w:tcBorders>
              <w:bottom w:val="single" w:sz="4" w:space="0" w:color="auto"/>
            </w:tcBorders>
            <w:vAlign w:val="center"/>
          </w:tcPr>
          <w:p w14:paraId="4772DF3B" w14:textId="6B782450" w:rsidR="00017A0C" w:rsidRPr="00721663" w:rsidRDefault="00017A0C" w:rsidP="00017A0C">
            <w:pPr>
              <w:tabs>
                <w:tab w:val="left" w:pos="1356"/>
              </w:tabs>
              <w:ind w:right="123"/>
              <w:jc w:val="right"/>
              <w:rPr>
                <w:rFonts w:ascii="Arial" w:hAnsi="Arial" w:cs="Arial"/>
                <w:sz w:val="18"/>
                <w:szCs w:val="18"/>
                <w:lang w:val="bg-BG"/>
              </w:rPr>
            </w:pPr>
            <w:r>
              <w:rPr>
                <w:rFonts w:ascii="Arial" w:hAnsi="Arial" w:cs="Arial"/>
                <w:sz w:val="18"/>
                <w:szCs w:val="18"/>
                <w:lang w:val="en-GB" w:eastAsia="bg-BG"/>
              </w:rPr>
              <w:t>(60)</w:t>
            </w:r>
          </w:p>
        </w:tc>
        <w:tc>
          <w:tcPr>
            <w:tcW w:w="142" w:type="dxa"/>
            <w:vAlign w:val="center"/>
          </w:tcPr>
          <w:p w14:paraId="1CEAA4FD" w14:textId="77777777" w:rsidR="00017A0C" w:rsidRPr="00721663" w:rsidRDefault="00017A0C" w:rsidP="00017A0C">
            <w:pPr>
              <w:jc w:val="right"/>
              <w:rPr>
                <w:rFonts w:ascii="Arial" w:hAnsi="Arial" w:cs="Arial"/>
                <w:sz w:val="18"/>
                <w:szCs w:val="18"/>
                <w:lang w:val="bg-BG"/>
              </w:rPr>
            </w:pPr>
          </w:p>
        </w:tc>
        <w:tc>
          <w:tcPr>
            <w:tcW w:w="1276" w:type="dxa"/>
            <w:tcBorders>
              <w:bottom w:val="single" w:sz="4" w:space="0" w:color="auto"/>
            </w:tcBorders>
            <w:vAlign w:val="center"/>
          </w:tcPr>
          <w:p w14:paraId="70C84D7B" w14:textId="1753BE74" w:rsidR="00017A0C" w:rsidRPr="00721663" w:rsidRDefault="00017A0C" w:rsidP="00017A0C">
            <w:pPr>
              <w:ind w:right="123"/>
              <w:jc w:val="right"/>
              <w:rPr>
                <w:rFonts w:ascii="Arial" w:hAnsi="Arial" w:cs="Arial"/>
                <w:sz w:val="18"/>
                <w:szCs w:val="18"/>
                <w:lang w:val="bg-BG"/>
              </w:rPr>
            </w:pPr>
            <w:r>
              <w:rPr>
                <w:rFonts w:ascii="Arial" w:hAnsi="Arial" w:cs="Arial"/>
                <w:sz w:val="18"/>
                <w:szCs w:val="18"/>
                <w:lang w:val="en-GB" w:eastAsia="bg-BG"/>
              </w:rPr>
              <w:t>(6)</w:t>
            </w:r>
          </w:p>
        </w:tc>
      </w:tr>
      <w:tr w:rsidR="00017A0C" w:rsidRPr="00721663" w14:paraId="258AD9B8" w14:textId="77777777" w:rsidTr="00551604">
        <w:trPr>
          <w:trHeight w:hRule="exact" w:val="318"/>
        </w:trPr>
        <w:tc>
          <w:tcPr>
            <w:tcW w:w="3402" w:type="dxa"/>
            <w:vAlign w:val="center"/>
          </w:tcPr>
          <w:p w14:paraId="007B87AF" w14:textId="77777777" w:rsidR="00017A0C" w:rsidRPr="00721663" w:rsidRDefault="00017A0C" w:rsidP="00017A0C">
            <w:pPr>
              <w:rPr>
                <w:rFonts w:ascii="Arial" w:hAnsi="Arial" w:cs="Arial"/>
                <w:sz w:val="18"/>
                <w:szCs w:val="18"/>
                <w:lang w:val="bg-BG"/>
              </w:rPr>
            </w:pPr>
          </w:p>
        </w:tc>
        <w:tc>
          <w:tcPr>
            <w:tcW w:w="142" w:type="dxa"/>
          </w:tcPr>
          <w:p w14:paraId="1E10E672" w14:textId="77777777" w:rsidR="00017A0C" w:rsidRPr="00721663" w:rsidRDefault="00017A0C" w:rsidP="00017A0C">
            <w:pPr>
              <w:tabs>
                <w:tab w:val="left" w:pos="1356"/>
              </w:tabs>
              <w:ind w:right="123"/>
              <w:jc w:val="right"/>
              <w:rPr>
                <w:rFonts w:ascii="Arial" w:hAnsi="Arial" w:cs="Arial"/>
                <w:b/>
                <w:sz w:val="18"/>
                <w:szCs w:val="18"/>
                <w:lang w:val="bg-BG"/>
              </w:rPr>
            </w:pPr>
          </w:p>
        </w:tc>
        <w:tc>
          <w:tcPr>
            <w:tcW w:w="1134" w:type="dxa"/>
            <w:tcBorders>
              <w:bottom w:val="double" w:sz="4" w:space="0" w:color="auto"/>
            </w:tcBorders>
            <w:vAlign w:val="center"/>
          </w:tcPr>
          <w:p w14:paraId="09655ACA" w14:textId="3B196094" w:rsidR="00017A0C" w:rsidRPr="00721663" w:rsidRDefault="00017A0C" w:rsidP="00017A0C">
            <w:pPr>
              <w:tabs>
                <w:tab w:val="left" w:pos="1356"/>
              </w:tabs>
              <w:ind w:right="123"/>
              <w:jc w:val="right"/>
              <w:rPr>
                <w:rFonts w:ascii="Arial" w:hAnsi="Arial" w:cs="Arial"/>
                <w:b/>
                <w:sz w:val="18"/>
                <w:szCs w:val="18"/>
                <w:lang w:val="bg-BG"/>
              </w:rPr>
            </w:pPr>
            <w:r>
              <w:rPr>
                <w:rFonts w:ascii="Arial" w:hAnsi="Arial" w:cs="Arial"/>
                <w:b/>
                <w:sz w:val="18"/>
                <w:szCs w:val="18"/>
                <w:lang w:val="en-GB" w:eastAsia="bg-BG"/>
              </w:rPr>
              <w:t>1,460</w:t>
            </w:r>
          </w:p>
        </w:tc>
        <w:tc>
          <w:tcPr>
            <w:tcW w:w="142" w:type="dxa"/>
            <w:vAlign w:val="center"/>
          </w:tcPr>
          <w:p w14:paraId="1058BF48" w14:textId="77777777" w:rsidR="00017A0C" w:rsidRPr="00721663" w:rsidRDefault="00017A0C" w:rsidP="00017A0C">
            <w:pPr>
              <w:jc w:val="right"/>
              <w:rPr>
                <w:rFonts w:ascii="Arial" w:hAnsi="Arial" w:cs="Arial"/>
                <w:b/>
                <w:sz w:val="18"/>
                <w:szCs w:val="18"/>
                <w:lang w:val="bg-BG"/>
              </w:rPr>
            </w:pPr>
          </w:p>
        </w:tc>
        <w:tc>
          <w:tcPr>
            <w:tcW w:w="1134" w:type="dxa"/>
            <w:tcBorders>
              <w:bottom w:val="double" w:sz="4" w:space="0" w:color="auto"/>
            </w:tcBorders>
            <w:vAlign w:val="center"/>
          </w:tcPr>
          <w:p w14:paraId="37AED85A" w14:textId="55D9A42B" w:rsidR="00017A0C" w:rsidRPr="00721663" w:rsidRDefault="00017A0C" w:rsidP="00017A0C">
            <w:pPr>
              <w:ind w:right="123"/>
              <w:jc w:val="right"/>
              <w:rPr>
                <w:rFonts w:ascii="Arial" w:hAnsi="Arial" w:cs="Arial"/>
                <w:b/>
                <w:sz w:val="18"/>
                <w:szCs w:val="18"/>
                <w:lang w:val="bg-BG"/>
              </w:rPr>
            </w:pPr>
            <w:r>
              <w:rPr>
                <w:rFonts w:ascii="Arial" w:hAnsi="Arial" w:cs="Arial"/>
                <w:b/>
                <w:sz w:val="18"/>
                <w:szCs w:val="18"/>
                <w:lang w:val="en-GB" w:eastAsia="bg-BG"/>
              </w:rPr>
              <w:t>146</w:t>
            </w:r>
          </w:p>
        </w:tc>
        <w:tc>
          <w:tcPr>
            <w:tcW w:w="142" w:type="dxa"/>
            <w:vAlign w:val="center"/>
          </w:tcPr>
          <w:p w14:paraId="49AED6D0" w14:textId="77777777" w:rsidR="00017A0C" w:rsidRPr="00721663" w:rsidRDefault="00017A0C" w:rsidP="00017A0C">
            <w:pPr>
              <w:tabs>
                <w:tab w:val="left" w:pos="1356"/>
              </w:tabs>
              <w:ind w:right="123"/>
              <w:jc w:val="right"/>
              <w:rPr>
                <w:rFonts w:ascii="Arial" w:hAnsi="Arial" w:cs="Arial"/>
                <w:b/>
                <w:sz w:val="18"/>
                <w:szCs w:val="18"/>
                <w:lang w:val="bg-BG"/>
              </w:rPr>
            </w:pPr>
          </w:p>
        </w:tc>
        <w:tc>
          <w:tcPr>
            <w:tcW w:w="1275" w:type="dxa"/>
            <w:tcBorders>
              <w:top w:val="single" w:sz="4" w:space="0" w:color="auto"/>
              <w:bottom w:val="double" w:sz="4" w:space="0" w:color="auto"/>
            </w:tcBorders>
            <w:vAlign w:val="center"/>
          </w:tcPr>
          <w:p w14:paraId="5373D11D" w14:textId="4146CE63" w:rsidR="00017A0C" w:rsidRPr="00721663" w:rsidRDefault="00017A0C" w:rsidP="00017A0C">
            <w:pPr>
              <w:tabs>
                <w:tab w:val="left" w:pos="1356"/>
              </w:tabs>
              <w:ind w:right="123"/>
              <w:jc w:val="right"/>
              <w:rPr>
                <w:rFonts w:ascii="Arial" w:hAnsi="Arial" w:cs="Arial"/>
                <w:b/>
                <w:sz w:val="18"/>
                <w:szCs w:val="18"/>
                <w:lang w:val="bg-BG"/>
              </w:rPr>
            </w:pPr>
            <w:r>
              <w:rPr>
                <w:rFonts w:ascii="Arial" w:hAnsi="Arial" w:cs="Arial"/>
                <w:b/>
                <w:sz w:val="18"/>
                <w:szCs w:val="18"/>
                <w:lang w:val="en-GB" w:eastAsia="bg-BG"/>
              </w:rPr>
              <w:t>1,460</w:t>
            </w:r>
          </w:p>
        </w:tc>
        <w:tc>
          <w:tcPr>
            <w:tcW w:w="142" w:type="dxa"/>
            <w:vAlign w:val="center"/>
          </w:tcPr>
          <w:p w14:paraId="1D2A206D" w14:textId="77777777" w:rsidR="00017A0C" w:rsidRPr="00721663" w:rsidRDefault="00017A0C" w:rsidP="00017A0C">
            <w:pPr>
              <w:jc w:val="right"/>
              <w:rPr>
                <w:rFonts w:ascii="Arial" w:hAnsi="Arial" w:cs="Arial"/>
                <w:b/>
                <w:sz w:val="18"/>
                <w:szCs w:val="18"/>
                <w:lang w:val="bg-BG"/>
              </w:rPr>
            </w:pPr>
          </w:p>
        </w:tc>
        <w:tc>
          <w:tcPr>
            <w:tcW w:w="1276" w:type="dxa"/>
            <w:tcBorders>
              <w:top w:val="single" w:sz="4" w:space="0" w:color="auto"/>
              <w:bottom w:val="double" w:sz="4" w:space="0" w:color="auto"/>
            </w:tcBorders>
            <w:vAlign w:val="center"/>
          </w:tcPr>
          <w:p w14:paraId="742AB5BC" w14:textId="46E53866" w:rsidR="00017A0C" w:rsidRPr="00721663" w:rsidRDefault="00017A0C" w:rsidP="00017A0C">
            <w:pPr>
              <w:ind w:right="123"/>
              <w:jc w:val="right"/>
              <w:rPr>
                <w:rFonts w:ascii="Arial" w:hAnsi="Arial" w:cs="Arial"/>
                <w:b/>
                <w:sz w:val="18"/>
                <w:szCs w:val="18"/>
                <w:lang w:val="bg-BG"/>
              </w:rPr>
            </w:pPr>
            <w:r>
              <w:rPr>
                <w:rFonts w:ascii="Arial" w:hAnsi="Arial" w:cs="Arial"/>
                <w:b/>
                <w:sz w:val="18"/>
                <w:szCs w:val="18"/>
                <w:lang w:val="en-GB" w:eastAsia="bg-BG"/>
              </w:rPr>
              <w:t>146</w:t>
            </w:r>
          </w:p>
        </w:tc>
      </w:tr>
    </w:tbl>
    <w:p w14:paraId="5ACF3B63" w14:textId="77777777" w:rsidR="00E07C4E" w:rsidRPr="00721663" w:rsidRDefault="00E07C4E" w:rsidP="00144930"/>
    <w:tbl>
      <w:tblPr>
        <w:tblW w:w="8364" w:type="dxa"/>
        <w:tblLayout w:type="fixed"/>
        <w:tblCellMar>
          <w:left w:w="0" w:type="dxa"/>
          <w:right w:w="0" w:type="dxa"/>
        </w:tblCellMar>
        <w:tblLook w:val="0000" w:firstRow="0" w:lastRow="0" w:firstColumn="0" w:lastColumn="0" w:noHBand="0" w:noVBand="0"/>
      </w:tblPr>
      <w:tblGrid>
        <w:gridCol w:w="4820"/>
        <w:gridCol w:w="142"/>
        <w:gridCol w:w="1417"/>
        <w:gridCol w:w="142"/>
        <w:gridCol w:w="1701"/>
        <w:gridCol w:w="142"/>
      </w:tblGrid>
      <w:tr w:rsidR="00E07C4E" w:rsidRPr="00721663" w14:paraId="7F969409" w14:textId="77777777" w:rsidTr="00551604">
        <w:trPr>
          <w:trHeight w:val="397"/>
        </w:trPr>
        <w:tc>
          <w:tcPr>
            <w:tcW w:w="4820" w:type="dxa"/>
            <w:tcBorders>
              <w:top w:val="nil"/>
              <w:left w:val="nil"/>
              <w:right w:val="nil"/>
            </w:tcBorders>
            <w:noWrap/>
            <w:vAlign w:val="bottom"/>
          </w:tcPr>
          <w:p w14:paraId="5B26331C" w14:textId="77777777" w:rsidR="00E07C4E" w:rsidRPr="00721663" w:rsidRDefault="00E07C4E" w:rsidP="00551604">
            <w:pPr>
              <w:ind w:right="709"/>
              <w:jc w:val="left"/>
              <w:rPr>
                <w:rFonts w:ascii="Arial" w:eastAsia="Arial Unicode MS" w:hAnsi="Arial" w:cs="Arial"/>
                <w:sz w:val="18"/>
                <w:szCs w:val="18"/>
                <w:lang w:val="bg-BG"/>
              </w:rPr>
            </w:pPr>
          </w:p>
        </w:tc>
        <w:tc>
          <w:tcPr>
            <w:tcW w:w="142" w:type="dxa"/>
            <w:tcBorders>
              <w:top w:val="nil"/>
              <w:left w:val="nil"/>
              <w:right w:val="nil"/>
            </w:tcBorders>
          </w:tcPr>
          <w:p w14:paraId="63839375" w14:textId="77777777" w:rsidR="00E07C4E" w:rsidRPr="00721663" w:rsidRDefault="00E07C4E" w:rsidP="00551604">
            <w:pPr>
              <w:ind w:right="142"/>
              <w:jc w:val="left"/>
              <w:rPr>
                <w:rFonts w:ascii="Arial" w:eastAsia="Arial Unicode MS" w:hAnsi="Arial" w:cs="Arial"/>
                <w:sz w:val="18"/>
                <w:szCs w:val="18"/>
                <w:lang w:val="bg-BG"/>
              </w:rPr>
            </w:pPr>
          </w:p>
        </w:tc>
        <w:tc>
          <w:tcPr>
            <w:tcW w:w="1417" w:type="dxa"/>
            <w:tcBorders>
              <w:top w:val="nil"/>
              <w:left w:val="nil"/>
              <w:bottom w:val="single" w:sz="6" w:space="0" w:color="auto"/>
              <w:right w:val="nil"/>
            </w:tcBorders>
            <w:noWrap/>
            <w:vAlign w:val="bottom"/>
          </w:tcPr>
          <w:p w14:paraId="49BCEAFC" w14:textId="5325EDBD" w:rsidR="00E07C4E" w:rsidRPr="00721663" w:rsidRDefault="00144930" w:rsidP="00551604">
            <w:pPr>
              <w:jc w:val="right"/>
              <w:rPr>
                <w:rFonts w:ascii="Arial" w:hAnsi="Arial" w:cs="Arial"/>
                <w:b/>
                <w:sz w:val="18"/>
                <w:szCs w:val="18"/>
                <w:lang w:val="bg-BG"/>
              </w:rPr>
            </w:pPr>
            <w:r>
              <w:rPr>
                <w:rFonts w:ascii="Arial" w:hAnsi="Arial" w:cs="Arial"/>
                <w:b/>
                <w:sz w:val="18"/>
                <w:szCs w:val="18"/>
                <w:lang w:val="bg-BG"/>
              </w:rPr>
              <w:t>30 юни 2017</w:t>
            </w:r>
          </w:p>
        </w:tc>
        <w:tc>
          <w:tcPr>
            <w:tcW w:w="142" w:type="dxa"/>
            <w:tcBorders>
              <w:top w:val="nil"/>
              <w:left w:val="nil"/>
              <w:right w:val="nil"/>
            </w:tcBorders>
            <w:vAlign w:val="bottom"/>
          </w:tcPr>
          <w:p w14:paraId="6F8FAC92" w14:textId="77777777" w:rsidR="00E07C4E" w:rsidRPr="00721663" w:rsidRDefault="00E07C4E" w:rsidP="00551604">
            <w:pPr>
              <w:jc w:val="right"/>
              <w:rPr>
                <w:rFonts w:ascii="Arial" w:hAnsi="Arial" w:cs="Arial"/>
                <w:b/>
                <w:sz w:val="18"/>
                <w:szCs w:val="18"/>
                <w:lang w:val="bg-BG"/>
              </w:rPr>
            </w:pPr>
          </w:p>
        </w:tc>
        <w:tc>
          <w:tcPr>
            <w:tcW w:w="1701" w:type="dxa"/>
            <w:tcBorders>
              <w:top w:val="nil"/>
              <w:left w:val="nil"/>
              <w:bottom w:val="single" w:sz="6" w:space="0" w:color="auto"/>
              <w:right w:val="nil"/>
            </w:tcBorders>
            <w:vAlign w:val="bottom"/>
          </w:tcPr>
          <w:p w14:paraId="75DC53DF" w14:textId="771C37A5" w:rsidR="00E07C4E" w:rsidRPr="00721663" w:rsidRDefault="00144930" w:rsidP="00551604">
            <w:pPr>
              <w:jc w:val="right"/>
              <w:rPr>
                <w:rFonts w:ascii="Arial" w:hAnsi="Arial" w:cs="Arial"/>
                <w:b/>
                <w:sz w:val="18"/>
                <w:szCs w:val="18"/>
                <w:lang w:val="bg-BG"/>
              </w:rPr>
            </w:pPr>
            <w:r>
              <w:rPr>
                <w:rFonts w:ascii="Arial" w:hAnsi="Arial" w:cs="Arial"/>
                <w:b/>
                <w:sz w:val="18"/>
                <w:szCs w:val="18"/>
                <w:lang w:val="bg-BG"/>
              </w:rPr>
              <w:t>30 юни 2016</w:t>
            </w:r>
          </w:p>
        </w:tc>
        <w:tc>
          <w:tcPr>
            <w:tcW w:w="142" w:type="dxa"/>
            <w:tcBorders>
              <w:top w:val="nil"/>
              <w:left w:val="nil"/>
              <w:right w:val="nil"/>
            </w:tcBorders>
          </w:tcPr>
          <w:p w14:paraId="208A9583" w14:textId="77777777" w:rsidR="00E07C4E" w:rsidRPr="00721663" w:rsidRDefault="00E07C4E" w:rsidP="00551604">
            <w:pPr>
              <w:jc w:val="right"/>
              <w:rPr>
                <w:rFonts w:ascii="Arial" w:hAnsi="Arial" w:cs="Arial"/>
                <w:b/>
                <w:bCs/>
                <w:sz w:val="18"/>
                <w:szCs w:val="18"/>
                <w:lang w:val="bg-BG"/>
              </w:rPr>
            </w:pPr>
          </w:p>
        </w:tc>
      </w:tr>
      <w:tr w:rsidR="00E07C4E" w:rsidRPr="00721663" w14:paraId="5A81D2DA" w14:textId="77777777" w:rsidTr="00551604">
        <w:trPr>
          <w:trHeight w:hRule="exact" w:val="284"/>
        </w:trPr>
        <w:tc>
          <w:tcPr>
            <w:tcW w:w="4820" w:type="dxa"/>
            <w:tcBorders>
              <w:left w:val="nil"/>
              <w:right w:val="nil"/>
            </w:tcBorders>
            <w:noWrap/>
            <w:vAlign w:val="bottom"/>
          </w:tcPr>
          <w:p w14:paraId="4EBA081E" w14:textId="77777777" w:rsidR="00E07C4E" w:rsidRPr="00721663" w:rsidRDefault="00E07C4E" w:rsidP="00551604">
            <w:pPr>
              <w:jc w:val="left"/>
              <w:rPr>
                <w:rFonts w:ascii="Arial" w:eastAsia="Arial Unicode MS" w:hAnsi="Arial" w:cs="Arial"/>
                <w:sz w:val="18"/>
                <w:szCs w:val="18"/>
                <w:lang w:val="bg-BG"/>
              </w:rPr>
            </w:pPr>
          </w:p>
        </w:tc>
        <w:tc>
          <w:tcPr>
            <w:tcW w:w="142" w:type="dxa"/>
            <w:tcBorders>
              <w:left w:val="nil"/>
              <w:right w:val="nil"/>
            </w:tcBorders>
          </w:tcPr>
          <w:p w14:paraId="51D641A3" w14:textId="77777777" w:rsidR="00E07C4E" w:rsidRPr="00721663" w:rsidRDefault="00E07C4E" w:rsidP="00551604">
            <w:pPr>
              <w:jc w:val="left"/>
              <w:rPr>
                <w:rFonts w:ascii="Arial" w:eastAsia="Arial Unicode MS" w:hAnsi="Arial" w:cs="Arial"/>
                <w:sz w:val="18"/>
                <w:szCs w:val="18"/>
                <w:lang w:val="bg-BG"/>
              </w:rPr>
            </w:pPr>
          </w:p>
        </w:tc>
        <w:tc>
          <w:tcPr>
            <w:tcW w:w="1417" w:type="dxa"/>
            <w:tcBorders>
              <w:top w:val="single" w:sz="6" w:space="0" w:color="auto"/>
              <w:left w:val="nil"/>
              <w:right w:val="nil"/>
            </w:tcBorders>
            <w:noWrap/>
            <w:vAlign w:val="bottom"/>
          </w:tcPr>
          <w:p w14:paraId="23A0E2C8" w14:textId="77777777" w:rsidR="00E07C4E" w:rsidRPr="00721663" w:rsidRDefault="00E07C4E" w:rsidP="00551604">
            <w:pPr>
              <w:spacing w:before="40"/>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142" w:type="dxa"/>
            <w:tcBorders>
              <w:left w:val="nil"/>
              <w:right w:val="nil"/>
            </w:tcBorders>
          </w:tcPr>
          <w:p w14:paraId="6E28E0F4" w14:textId="77777777" w:rsidR="00E07C4E" w:rsidRPr="00721663" w:rsidRDefault="00E07C4E" w:rsidP="00551604">
            <w:pPr>
              <w:spacing w:before="40"/>
              <w:jc w:val="left"/>
              <w:rPr>
                <w:rFonts w:ascii="Arial" w:eastAsia="Arial Unicode MS" w:hAnsi="Arial" w:cs="Arial"/>
                <w:sz w:val="18"/>
                <w:szCs w:val="18"/>
                <w:lang w:val="bg-BG"/>
              </w:rPr>
            </w:pPr>
          </w:p>
        </w:tc>
        <w:tc>
          <w:tcPr>
            <w:tcW w:w="1701" w:type="dxa"/>
            <w:tcBorders>
              <w:top w:val="single" w:sz="6" w:space="0" w:color="auto"/>
              <w:left w:val="nil"/>
              <w:right w:val="nil"/>
            </w:tcBorders>
            <w:vAlign w:val="bottom"/>
          </w:tcPr>
          <w:p w14:paraId="314AE9BA" w14:textId="77777777" w:rsidR="00E07C4E" w:rsidRPr="00721663" w:rsidRDefault="00E07C4E" w:rsidP="00551604">
            <w:pPr>
              <w:spacing w:before="40"/>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142" w:type="dxa"/>
            <w:tcBorders>
              <w:left w:val="nil"/>
              <w:right w:val="nil"/>
            </w:tcBorders>
          </w:tcPr>
          <w:p w14:paraId="21F54C6E" w14:textId="77777777" w:rsidR="00E07C4E" w:rsidRPr="00721663" w:rsidRDefault="00E07C4E" w:rsidP="00551604">
            <w:pPr>
              <w:jc w:val="left"/>
              <w:rPr>
                <w:rFonts w:ascii="Arial" w:eastAsia="Arial Unicode MS" w:hAnsi="Arial" w:cs="Arial"/>
                <w:sz w:val="18"/>
                <w:szCs w:val="18"/>
                <w:lang w:val="bg-BG"/>
              </w:rPr>
            </w:pPr>
          </w:p>
        </w:tc>
      </w:tr>
      <w:tr w:rsidR="00017A0C" w:rsidRPr="00721663" w14:paraId="03702CDB" w14:textId="77777777" w:rsidTr="00551604">
        <w:trPr>
          <w:trHeight w:hRule="exact" w:val="301"/>
        </w:trPr>
        <w:tc>
          <w:tcPr>
            <w:tcW w:w="4820" w:type="dxa"/>
            <w:tcBorders>
              <w:top w:val="nil"/>
              <w:left w:val="nil"/>
              <w:right w:val="nil"/>
            </w:tcBorders>
            <w:noWrap/>
            <w:vAlign w:val="center"/>
          </w:tcPr>
          <w:p w14:paraId="4182EC8E" w14:textId="77777777" w:rsidR="00017A0C" w:rsidRPr="00721663" w:rsidRDefault="00017A0C" w:rsidP="00017A0C">
            <w:pPr>
              <w:jc w:val="left"/>
              <w:rPr>
                <w:rFonts w:ascii="Arial" w:eastAsia="Arial Unicode MS" w:hAnsi="Arial" w:cs="Arial"/>
                <w:sz w:val="18"/>
                <w:szCs w:val="18"/>
                <w:lang w:val="bg-BG"/>
              </w:rPr>
            </w:pPr>
            <w:r w:rsidRPr="00721663">
              <w:rPr>
                <w:rFonts w:ascii="Arial" w:eastAsia="Arial Unicode MS" w:hAnsi="Arial" w:cs="Arial"/>
                <w:sz w:val="18"/>
                <w:szCs w:val="18"/>
                <w:lang w:val="bg-BG"/>
              </w:rPr>
              <w:t>Отсрочен данъчен актив / (пасив) в началото на периода</w:t>
            </w:r>
          </w:p>
        </w:tc>
        <w:tc>
          <w:tcPr>
            <w:tcW w:w="142" w:type="dxa"/>
            <w:tcBorders>
              <w:top w:val="nil"/>
              <w:left w:val="nil"/>
              <w:right w:val="nil"/>
            </w:tcBorders>
          </w:tcPr>
          <w:p w14:paraId="56B9EAFC" w14:textId="77777777" w:rsidR="00017A0C" w:rsidRPr="00721663" w:rsidRDefault="00017A0C" w:rsidP="00017A0C">
            <w:pPr>
              <w:ind w:right="142"/>
              <w:jc w:val="left"/>
              <w:rPr>
                <w:rFonts w:ascii="Arial" w:eastAsia="Arial Unicode MS" w:hAnsi="Arial" w:cs="Arial"/>
                <w:sz w:val="18"/>
                <w:szCs w:val="18"/>
                <w:lang w:val="bg-BG"/>
              </w:rPr>
            </w:pPr>
          </w:p>
        </w:tc>
        <w:tc>
          <w:tcPr>
            <w:tcW w:w="1417" w:type="dxa"/>
            <w:tcBorders>
              <w:top w:val="nil"/>
              <w:left w:val="nil"/>
              <w:right w:val="nil"/>
            </w:tcBorders>
            <w:noWrap/>
            <w:vAlign w:val="center"/>
          </w:tcPr>
          <w:p w14:paraId="3578B8DD" w14:textId="74804EDB" w:rsidR="00017A0C" w:rsidRPr="00721663" w:rsidRDefault="00017A0C" w:rsidP="00017A0C">
            <w:pPr>
              <w:ind w:right="142"/>
              <w:jc w:val="right"/>
              <w:rPr>
                <w:rFonts w:ascii="Arial" w:eastAsia="Arial Unicode MS" w:hAnsi="Arial" w:cs="Arial"/>
                <w:sz w:val="18"/>
                <w:szCs w:val="18"/>
                <w:lang w:val="bg-BG"/>
              </w:rPr>
            </w:pPr>
            <w:r>
              <w:rPr>
                <w:rFonts w:ascii="Arial" w:eastAsia="Arial Unicode MS" w:hAnsi="Arial" w:cs="Arial"/>
                <w:sz w:val="18"/>
                <w:szCs w:val="18"/>
                <w:lang w:val="en-GB" w:eastAsia="bg-BG"/>
              </w:rPr>
              <w:t>146</w:t>
            </w:r>
          </w:p>
        </w:tc>
        <w:tc>
          <w:tcPr>
            <w:tcW w:w="142" w:type="dxa"/>
            <w:tcBorders>
              <w:top w:val="nil"/>
              <w:left w:val="nil"/>
              <w:right w:val="nil"/>
            </w:tcBorders>
            <w:vAlign w:val="center"/>
          </w:tcPr>
          <w:p w14:paraId="7358BEAA" w14:textId="77777777" w:rsidR="00017A0C" w:rsidRPr="00721663" w:rsidRDefault="00017A0C" w:rsidP="00017A0C">
            <w:pPr>
              <w:ind w:right="142"/>
              <w:jc w:val="right"/>
              <w:rPr>
                <w:rFonts w:ascii="Arial" w:eastAsia="Arial Unicode MS" w:hAnsi="Arial" w:cs="Arial"/>
                <w:sz w:val="18"/>
                <w:szCs w:val="18"/>
                <w:lang w:val="bg-BG"/>
              </w:rPr>
            </w:pPr>
          </w:p>
        </w:tc>
        <w:tc>
          <w:tcPr>
            <w:tcW w:w="1701" w:type="dxa"/>
            <w:tcBorders>
              <w:top w:val="nil"/>
              <w:left w:val="nil"/>
              <w:right w:val="nil"/>
            </w:tcBorders>
            <w:vAlign w:val="center"/>
          </w:tcPr>
          <w:p w14:paraId="2E976B6E" w14:textId="2A64E9F8" w:rsidR="00017A0C" w:rsidRPr="00721663" w:rsidRDefault="00017A0C" w:rsidP="00017A0C">
            <w:pPr>
              <w:ind w:right="142"/>
              <w:jc w:val="right"/>
              <w:rPr>
                <w:rFonts w:ascii="Arial" w:eastAsia="Arial Unicode MS" w:hAnsi="Arial" w:cs="Arial"/>
                <w:sz w:val="18"/>
                <w:szCs w:val="18"/>
                <w:lang w:val="bg-BG"/>
              </w:rPr>
            </w:pPr>
            <w:r>
              <w:rPr>
                <w:rFonts w:ascii="Arial" w:eastAsia="Arial Unicode MS" w:hAnsi="Arial" w:cs="Arial"/>
                <w:sz w:val="18"/>
                <w:szCs w:val="18"/>
                <w:lang w:val="en-GB" w:eastAsia="bg-BG"/>
              </w:rPr>
              <w:t>185</w:t>
            </w:r>
          </w:p>
        </w:tc>
        <w:tc>
          <w:tcPr>
            <w:tcW w:w="142" w:type="dxa"/>
            <w:tcBorders>
              <w:top w:val="nil"/>
              <w:left w:val="nil"/>
              <w:right w:val="nil"/>
            </w:tcBorders>
          </w:tcPr>
          <w:p w14:paraId="0201358E" w14:textId="77777777" w:rsidR="00017A0C" w:rsidRPr="00721663" w:rsidRDefault="00017A0C" w:rsidP="00017A0C">
            <w:pPr>
              <w:ind w:right="142"/>
              <w:jc w:val="right"/>
              <w:rPr>
                <w:rFonts w:ascii="Arial" w:eastAsia="Arial Unicode MS" w:hAnsi="Arial" w:cs="Arial"/>
                <w:sz w:val="18"/>
                <w:szCs w:val="18"/>
                <w:lang w:val="bg-BG"/>
              </w:rPr>
            </w:pPr>
          </w:p>
        </w:tc>
      </w:tr>
      <w:tr w:rsidR="00017A0C" w:rsidRPr="00721663" w14:paraId="4F1C51DE" w14:textId="77777777" w:rsidTr="00551604">
        <w:trPr>
          <w:trHeight w:hRule="exact" w:val="301"/>
        </w:trPr>
        <w:tc>
          <w:tcPr>
            <w:tcW w:w="4820" w:type="dxa"/>
            <w:tcBorders>
              <w:top w:val="nil"/>
              <w:left w:val="nil"/>
              <w:right w:val="nil"/>
            </w:tcBorders>
            <w:noWrap/>
            <w:vAlign w:val="center"/>
          </w:tcPr>
          <w:p w14:paraId="01757DBE" w14:textId="77777777" w:rsidR="00017A0C" w:rsidRPr="00721663" w:rsidRDefault="00017A0C" w:rsidP="00017A0C">
            <w:pPr>
              <w:jc w:val="left"/>
              <w:rPr>
                <w:rFonts w:ascii="Arial" w:hAnsi="Arial" w:cs="Arial"/>
                <w:sz w:val="18"/>
                <w:szCs w:val="18"/>
                <w:lang w:val="bg-BG"/>
              </w:rPr>
            </w:pPr>
            <w:r w:rsidRPr="00721663">
              <w:rPr>
                <w:rFonts w:ascii="Arial" w:hAnsi="Arial" w:cs="Arial"/>
                <w:sz w:val="18"/>
                <w:szCs w:val="18"/>
                <w:lang w:val="bg-BG"/>
              </w:rPr>
              <w:t>Приход / (разход) в печалби и загуби</w:t>
            </w:r>
          </w:p>
        </w:tc>
        <w:tc>
          <w:tcPr>
            <w:tcW w:w="142" w:type="dxa"/>
            <w:tcBorders>
              <w:top w:val="nil"/>
              <w:left w:val="nil"/>
              <w:right w:val="nil"/>
            </w:tcBorders>
          </w:tcPr>
          <w:p w14:paraId="1365A4A1" w14:textId="77777777" w:rsidR="00017A0C" w:rsidRPr="00721663" w:rsidRDefault="00017A0C" w:rsidP="00017A0C">
            <w:pPr>
              <w:ind w:right="142"/>
              <w:jc w:val="left"/>
              <w:rPr>
                <w:rFonts w:ascii="Arial" w:eastAsia="Arial Unicode MS" w:hAnsi="Arial" w:cs="Arial"/>
                <w:sz w:val="18"/>
                <w:szCs w:val="18"/>
                <w:lang w:val="bg-BG"/>
              </w:rPr>
            </w:pPr>
          </w:p>
        </w:tc>
        <w:tc>
          <w:tcPr>
            <w:tcW w:w="1417" w:type="dxa"/>
            <w:tcBorders>
              <w:top w:val="nil"/>
              <w:left w:val="nil"/>
              <w:right w:val="nil"/>
            </w:tcBorders>
            <w:noWrap/>
            <w:vAlign w:val="center"/>
          </w:tcPr>
          <w:p w14:paraId="3D696B11" w14:textId="048FDE3B" w:rsidR="00017A0C" w:rsidRPr="00DC3829" w:rsidRDefault="00017A0C" w:rsidP="00017A0C">
            <w:pPr>
              <w:ind w:right="142"/>
              <w:jc w:val="right"/>
              <w:rPr>
                <w:rFonts w:ascii="Arial" w:eastAsia="Arial Unicode MS" w:hAnsi="Arial" w:cs="Arial"/>
                <w:sz w:val="18"/>
                <w:szCs w:val="18"/>
              </w:rPr>
            </w:pPr>
            <w:r>
              <w:rPr>
                <w:rFonts w:ascii="Arial" w:eastAsia="Arial Unicode MS" w:hAnsi="Arial" w:cs="Arial"/>
                <w:sz w:val="18"/>
                <w:szCs w:val="18"/>
                <w:lang w:val="en-GB" w:eastAsia="bg-BG"/>
              </w:rPr>
              <w:t>-</w:t>
            </w:r>
          </w:p>
        </w:tc>
        <w:tc>
          <w:tcPr>
            <w:tcW w:w="142" w:type="dxa"/>
            <w:tcBorders>
              <w:top w:val="nil"/>
              <w:left w:val="nil"/>
              <w:right w:val="nil"/>
            </w:tcBorders>
            <w:vAlign w:val="center"/>
          </w:tcPr>
          <w:p w14:paraId="103D3A8C" w14:textId="77777777" w:rsidR="00017A0C" w:rsidRPr="00721663" w:rsidRDefault="00017A0C" w:rsidP="00017A0C">
            <w:pPr>
              <w:ind w:right="142"/>
              <w:jc w:val="right"/>
              <w:rPr>
                <w:rFonts w:ascii="Arial" w:eastAsia="Arial Unicode MS" w:hAnsi="Arial" w:cs="Arial"/>
                <w:sz w:val="18"/>
                <w:szCs w:val="18"/>
                <w:lang w:val="bg-BG"/>
              </w:rPr>
            </w:pPr>
          </w:p>
        </w:tc>
        <w:tc>
          <w:tcPr>
            <w:tcW w:w="1701" w:type="dxa"/>
            <w:tcBorders>
              <w:top w:val="nil"/>
              <w:left w:val="nil"/>
              <w:right w:val="nil"/>
            </w:tcBorders>
            <w:vAlign w:val="center"/>
          </w:tcPr>
          <w:p w14:paraId="17FBC62F" w14:textId="1220AEE8" w:rsidR="00017A0C" w:rsidRPr="00721663" w:rsidRDefault="00017A0C" w:rsidP="00017A0C">
            <w:pPr>
              <w:ind w:right="142"/>
              <w:jc w:val="right"/>
              <w:rPr>
                <w:rFonts w:ascii="Arial" w:eastAsia="Arial Unicode MS" w:hAnsi="Arial" w:cs="Arial"/>
                <w:sz w:val="18"/>
                <w:szCs w:val="18"/>
                <w:lang w:val="bg-BG"/>
              </w:rPr>
            </w:pPr>
            <w:r>
              <w:rPr>
                <w:rFonts w:ascii="Arial" w:eastAsia="Arial Unicode MS" w:hAnsi="Arial" w:cs="Arial"/>
                <w:sz w:val="18"/>
                <w:szCs w:val="18"/>
                <w:lang w:val="en-GB" w:eastAsia="bg-BG"/>
              </w:rPr>
              <w:t>4</w:t>
            </w:r>
          </w:p>
        </w:tc>
        <w:tc>
          <w:tcPr>
            <w:tcW w:w="142" w:type="dxa"/>
            <w:tcBorders>
              <w:top w:val="nil"/>
              <w:left w:val="nil"/>
              <w:right w:val="nil"/>
            </w:tcBorders>
          </w:tcPr>
          <w:p w14:paraId="30EEAAD4" w14:textId="77777777" w:rsidR="00017A0C" w:rsidRPr="00721663" w:rsidRDefault="00017A0C" w:rsidP="00017A0C">
            <w:pPr>
              <w:ind w:right="142"/>
              <w:jc w:val="right"/>
              <w:rPr>
                <w:rFonts w:ascii="Arial" w:eastAsia="Arial Unicode MS" w:hAnsi="Arial" w:cs="Arial"/>
                <w:sz w:val="18"/>
                <w:szCs w:val="18"/>
                <w:lang w:val="bg-BG"/>
              </w:rPr>
            </w:pPr>
          </w:p>
        </w:tc>
      </w:tr>
      <w:tr w:rsidR="00017A0C" w:rsidRPr="00721663" w14:paraId="75689BBF" w14:textId="77777777" w:rsidTr="00551604">
        <w:trPr>
          <w:trHeight w:hRule="exact" w:val="113"/>
        </w:trPr>
        <w:tc>
          <w:tcPr>
            <w:tcW w:w="4820" w:type="dxa"/>
            <w:tcBorders>
              <w:top w:val="nil"/>
              <w:left w:val="nil"/>
              <w:bottom w:val="nil"/>
              <w:right w:val="nil"/>
            </w:tcBorders>
            <w:noWrap/>
            <w:vAlign w:val="center"/>
          </w:tcPr>
          <w:p w14:paraId="0C7D9D19" w14:textId="77777777" w:rsidR="00017A0C" w:rsidRPr="00721663" w:rsidRDefault="00017A0C" w:rsidP="00017A0C">
            <w:pPr>
              <w:jc w:val="left"/>
              <w:rPr>
                <w:rFonts w:ascii="Arial" w:eastAsia="Arial Unicode MS" w:hAnsi="Arial" w:cs="Arial"/>
                <w:sz w:val="18"/>
                <w:szCs w:val="18"/>
                <w:lang w:val="bg-BG"/>
              </w:rPr>
            </w:pPr>
          </w:p>
        </w:tc>
        <w:tc>
          <w:tcPr>
            <w:tcW w:w="142" w:type="dxa"/>
            <w:tcBorders>
              <w:top w:val="nil"/>
              <w:left w:val="nil"/>
              <w:bottom w:val="nil"/>
              <w:right w:val="nil"/>
            </w:tcBorders>
          </w:tcPr>
          <w:p w14:paraId="4A008DB1" w14:textId="77777777" w:rsidR="00017A0C" w:rsidRPr="00721663" w:rsidRDefault="00017A0C" w:rsidP="00017A0C">
            <w:pPr>
              <w:ind w:right="142"/>
              <w:jc w:val="left"/>
              <w:rPr>
                <w:rFonts w:ascii="Arial" w:eastAsia="Arial Unicode MS" w:hAnsi="Arial" w:cs="Arial"/>
                <w:sz w:val="18"/>
                <w:szCs w:val="18"/>
                <w:lang w:val="bg-BG"/>
              </w:rPr>
            </w:pPr>
          </w:p>
        </w:tc>
        <w:tc>
          <w:tcPr>
            <w:tcW w:w="1417" w:type="dxa"/>
            <w:tcBorders>
              <w:top w:val="single" w:sz="6" w:space="0" w:color="auto"/>
              <w:left w:val="nil"/>
              <w:right w:val="nil"/>
            </w:tcBorders>
            <w:noWrap/>
            <w:vAlign w:val="center"/>
          </w:tcPr>
          <w:p w14:paraId="12488F54" w14:textId="77777777" w:rsidR="00017A0C" w:rsidRPr="00721663" w:rsidRDefault="00017A0C" w:rsidP="00017A0C">
            <w:pPr>
              <w:ind w:right="142"/>
              <w:jc w:val="right"/>
              <w:rPr>
                <w:rFonts w:ascii="Arial" w:eastAsia="Arial Unicode MS" w:hAnsi="Arial" w:cs="Arial"/>
                <w:b/>
                <w:sz w:val="18"/>
                <w:szCs w:val="18"/>
                <w:lang w:val="bg-BG"/>
              </w:rPr>
            </w:pPr>
          </w:p>
        </w:tc>
        <w:tc>
          <w:tcPr>
            <w:tcW w:w="142" w:type="dxa"/>
            <w:tcBorders>
              <w:left w:val="nil"/>
              <w:right w:val="nil"/>
            </w:tcBorders>
            <w:vAlign w:val="center"/>
          </w:tcPr>
          <w:p w14:paraId="04AF3CB2" w14:textId="77777777" w:rsidR="00017A0C" w:rsidRPr="00721663" w:rsidRDefault="00017A0C" w:rsidP="00017A0C">
            <w:pPr>
              <w:ind w:right="142"/>
              <w:jc w:val="right"/>
              <w:rPr>
                <w:rFonts w:ascii="Arial" w:eastAsia="Arial Unicode MS" w:hAnsi="Arial" w:cs="Arial"/>
                <w:b/>
                <w:sz w:val="18"/>
                <w:szCs w:val="18"/>
                <w:lang w:val="bg-BG"/>
              </w:rPr>
            </w:pPr>
          </w:p>
        </w:tc>
        <w:tc>
          <w:tcPr>
            <w:tcW w:w="1701" w:type="dxa"/>
            <w:tcBorders>
              <w:top w:val="single" w:sz="6" w:space="0" w:color="auto"/>
              <w:left w:val="nil"/>
              <w:right w:val="nil"/>
            </w:tcBorders>
            <w:vAlign w:val="center"/>
          </w:tcPr>
          <w:p w14:paraId="51B82E76" w14:textId="77777777" w:rsidR="00017A0C" w:rsidRPr="00721663" w:rsidRDefault="00017A0C" w:rsidP="00017A0C">
            <w:pPr>
              <w:ind w:right="142"/>
              <w:jc w:val="right"/>
              <w:rPr>
                <w:rFonts w:ascii="Arial" w:eastAsia="Arial Unicode MS" w:hAnsi="Arial" w:cs="Arial"/>
                <w:b/>
                <w:sz w:val="18"/>
                <w:szCs w:val="18"/>
                <w:lang w:val="bg-BG"/>
              </w:rPr>
            </w:pPr>
          </w:p>
        </w:tc>
        <w:tc>
          <w:tcPr>
            <w:tcW w:w="142" w:type="dxa"/>
            <w:tcBorders>
              <w:left w:val="nil"/>
              <w:right w:val="nil"/>
            </w:tcBorders>
          </w:tcPr>
          <w:p w14:paraId="21DB4EBE" w14:textId="77777777" w:rsidR="00017A0C" w:rsidRPr="00721663" w:rsidRDefault="00017A0C" w:rsidP="00017A0C">
            <w:pPr>
              <w:ind w:right="142"/>
              <w:jc w:val="right"/>
              <w:rPr>
                <w:rFonts w:ascii="Arial" w:eastAsia="Arial Unicode MS" w:hAnsi="Arial" w:cs="Arial"/>
                <w:b/>
                <w:sz w:val="18"/>
                <w:szCs w:val="18"/>
                <w:lang w:val="bg-BG"/>
              </w:rPr>
            </w:pPr>
          </w:p>
        </w:tc>
      </w:tr>
      <w:tr w:rsidR="00017A0C" w:rsidRPr="00721663" w14:paraId="13D147E7" w14:textId="77777777" w:rsidTr="00551604">
        <w:trPr>
          <w:trHeight w:hRule="exact" w:val="301"/>
        </w:trPr>
        <w:tc>
          <w:tcPr>
            <w:tcW w:w="4820" w:type="dxa"/>
            <w:tcBorders>
              <w:top w:val="nil"/>
              <w:left w:val="nil"/>
              <w:bottom w:val="nil"/>
              <w:right w:val="nil"/>
            </w:tcBorders>
            <w:noWrap/>
            <w:vAlign w:val="center"/>
          </w:tcPr>
          <w:p w14:paraId="492BEE97" w14:textId="77777777" w:rsidR="00017A0C" w:rsidRPr="00721663" w:rsidRDefault="00017A0C" w:rsidP="00017A0C">
            <w:pPr>
              <w:jc w:val="left"/>
              <w:rPr>
                <w:rFonts w:ascii="Arial" w:eastAsia="Arial Unicode MS" w:hAnsi="Arial" w:cs="Arial"/>
                <w:sz w:val="18"/>
                <w:szCs w:val="18"/>
                <w:lang w:val="bg-BG"/>
              </w:rPr>
            </w:pPr>
            <w:r w:rsidRPr="00721663">
              <w:rPr>
                <w:rFonts w:ascii="Arial" w:eastAsia="Arial Unicode MS" w:hAnsi="Arial" w:cs="Arial"/>
                <w:sz w:val="18"/>
                <w:szCs w:val="18"/>
                <w:lang w:val="bg-BG"/>
              </w:rPr>
              <w:t>Отсрочен данъчен актив / (пасив) в края на периода</w:t>
            </w:r>
          </w:p>
        </w:tc>
        <w:tc>
          <w:tcPr>
            <w:tcW w:w="142" w:type="dxa"/>
            <w:tcBorders>
              <w:top w:val="nil"/>
              <w:left w:val="nil"/>
              <w:bottom w:val="nil"/>
              <w:right w:val="nil"/>
            </w:tcBorders>
          </w:tcPr>
          <w:p w14:paraId="356CE89A" w14:textId="77777777" w:rsidR="00017A0C" w:rsidRPr="00721663" w:rsidRDefault="00017A0C" w:rsidP="00017A0C">
            <w:pPr>
              <w:ind w:right="142"/>
              <w:jc w:val="left"/>
              <w:rPr>
                <w:rFonts w:ascii="Arial" w:eastAsia="Arial Unicode MS" w:hAnsi="Arial" w:cs="Arial"/>
                <w:sz w:val="18"/>
                <w:szCs w:val="18"/>
                <w:lang w:val="bg-BG"/>
              </w:rPr>
            </w:pPr>
          </w:p>
        </w:tc>
        <w:tc>
          <w:tcPr>
            <w:tcW w:w="1417" w:type="dxa"/>
            <w:tcBorders>
              <w:left w:val="nil"/>
              <w:right w:val="nil"/>
            </w:tcBorders>
            <w:noWrap/>
            <w:vAlign w:val="center"/>
          </w:tcPr>
          <w:p w14:paraId="2E243C4E" w14:textId="35F9F419" w:rsidR="00017A0C" w:rsidRPr="00DC3829" w:rsidRDefault="00017A0C" w:rsidP="00017A0C">
            <w:pPr>
              <w:ind w:right="142"/>
              <w:jc w:val="right"/>
              <w:rPr>
                <w:rFonts w:ascii="Arial" w:eastAsia="Arial Unicode MS" w:hAnsi="Arial" w:cs="Arial"/>
                <w:b/>
                <w:sz w:val="18"/>
                <w:szCs w:val="18"/>
              </w:rPr>
            </w:pPr>
            <w:r>
              <w:rPr>
                <w:rFonts w:ascii="Arial" w:eastAsia="Arial Unicode MS" w:hAnsi="Arial" w:cs="Arial"/>
                <w:b/>
                <w:sz w:val="18"/>
                <w:szCs w:val="18"/>
                <w:lang w:val="en-GB" w:eastAsia="bg-BG"/>
              </w:rPr>
              <w:t>146</w:t>
            </w:r>
          </w:p>
        </w:tc>
        <w:tc>
          <w:tcPr>
            <w:tcW w:w="142" w:type="dxa"/>
            <w:tcBorders>
              <w:left w:val="nil"/>
              <w:right w:val="nil"/>
            </w:tcBorders>
            <w:vAlign w:val="center"/>
          </w:tcPr>
          <w:p w14:paraId="3F2A4671" w14:textId="77777777" w:rsidR="00017A0C" w:rsidRPr="00721663" w:rsidRDefault="00017A0C" w:rsidP="00017A0C">
            <w:pPr>
              <w:ind w:right="142"/>
              <w:jc w:val="right"/>
              <w:rPr>
                <w:rFonts w:ascii="Arial" w:eastAsia="Arial Unicode MS" w:hAnsi="Arial" w:cs="Arial"/>
                <w:b/>
                <w:sz w:val="18"/>
                <w:szCs w:val="18"/>
                <w:lang w:val="bg-BG"/>
              </w:rPr>
            </w:pPr>
          </w:p>
        </w:tc>
        <w:tc>
          <w:tcPr>
            <w:tcW w:w="1701" w:type="dxa"/>
            <w:tcBorders>
              <w:left w:val="nil"/>
              <w:right w:val="nil"/>
            </w:tcBorders>
            <w:vAlign w:val="center"/>
          </w:tcPr>
          <w:p w14:paraId="53DD292D" w14:textId="5A1E1E95" w:rsidR="00017A0C" w:rsidRPr="00721663" w:rsidRDefault="00017A0C" w:rsidP="00017A0C">
            <w:pPr>
              <w:ind w:right="142"/>
              <w:jc w:val="right"/>
              <w:rPr>
                <w:rFonts w:ascii="Arial" w:eastAsia="Arial Unicode MS" w:hAnsi="Arial" w:cs="Arial"/>
                <w:b/>
                <w:sz w:val="18"/>
                <w:szCs w:val="18"/>
                <w:lang w:val="bg-BG"/>
              </w:rPr>
            </w:pPr>
            <w:r>
              <w:rPr>
                <w:rFonts w:ascii="Arial" w:eastAsia="Arial Unicode MS" w:hAnsi="Arial" w:cs="Arial"/>
                <w:b/>
                <w:sz w:val="18"/>
                <w:szCs w:val="18"/>
                <w:lang w:val="en-GB" w:eastAsia="bg-BG"/>
              </w:rPr>
              <w:t>189</w:t>
            </w:r>
          </w:p>
        </w:tc>
        <w:tc>
          <w:tcPr>
            <w:tcW w:w="142" w:type="dxa"/>
            <w:tcBorders>
              <w:left w:val="nil"/>
              <w:right w:val="nil"/>
            </w:tcBorders>
          </w:tcPr>
          <w:p w14:paraId="6681922A" w14:textId="77777777" w:rsidR="00017A0C" w:rsidRPr="00721663" w:rsidRDefault="00017A0C" w:rsidP="00017A0C">
            <w:pPr>
              <w:ind w:right="142"/>
              <w:jc w:val="right"/>
              <w:rPr>
                <w:rFonts w:ascii="Arial" w:eastAsia="Arial Unicode MS" w:hAnsi="Arial" w:cs="Arial"/>
                <w:b/>
                <w:sz w:val="18"/>
                <w:szCs w:val="18"/>
                <w:lang w:val="bg-BG"/>
              </w:rPr>
            </w:pPr>
          </w:p>
        </w:tc>
      </w:tr>
    </w:tbl>
    <w:p w14:paraId="5EC018F2" w14:textId="77777777" w:rsidR="00E07C4E" w:rsidRDefault="00E07C4E" w:rsidP="00E07C4E"/>
    <w:p w14:paraId="0A89E651" w14:textId="77777777" w:rsidR="00E07C4E" w:rsidRDefault="00E07C4E" w:rsidP="00E07C4E">
      <w:pPr>
        <w:spacing w:line="240" w:lineRule="auto"/>
        <w:jc w:val="left"/>
      </w:pPr>
      <w:r>
        <w:br w:type="page"/>
      </w:r>
    </w:p>
    <w:p w14:paraId="67556234" w14:textId="77777777" w:rsidR="00E07C4E" w:rsidRPr="009451E6" w:rsidRDefault="00E07C4E" w:rsidP="009451E6">
      <w:pPr>
        <w:spacing w:after="120"/>
      </w:pPr>
      <w:r w:rsidRPr="009B0F52">
        <w:rPr>
          <w:rFonts w:ascii="Arial" w:hAnsi="Arial" w:cs="Arial"/>
          <w:b/>
          <w:lang w:val="bg-BG"/>
        </w:rPr>
        <w:t xml:space="preserve">6. Данък върху дохода </w:t>
      </w:r>
      <w:r w:rsidRPr="009451E6">
        <w:rPr>
          <w:rFonts w:ascii="Arial" w:hAnsi="Arial" w:cs="Arial"/>
          <w:b/>
          <w:lang w:val="bg-BG"/>
        </w:rPr>
        <w:t>(продължение)</w:t>
      </w:r>
    </w:p>
    <w:p w14:paraId="51A5483F" w14:textId="77777777" w:rsidR="00E07C4E" w:rsidRPr="00721663" w:rsidRDefault="00E07C4E" w:rsidP="00E07C4E">
      <w:pPr>
        <w:pStyle w:val="Heading2"/>
        <w:tabs>
          <w:tab w:val="left" w:pos="227"/>
          <w:tab w:val="left" w:pos="454"/>
          <w:tab w:val="left" w:pos="680"/>
          <w:tab w:val="left" w:pos="907"/>
        </w:tabs>
        <w:spacing w:before="0" w:after="120"/>
        <w:jc w:val="left"/>
        <w:rPr>
          <w:rFonts w:ascii="Arial" w:hAnsi="Arial" w:cs="Arial"/>
          <w:sz w:val="18"/>
          <w:szCs w:val="18"/>
          <w:lang w:val="bg-BG"/>
        </w:rPr>
      </w:pPr>
      <w:r w:rsidRPr="00721663">
        <w:rPr>
          <w:rFonts w:ascii="Arial" w:hAnsi="Arial" w:cs="Arial"/>
          <w:sz w:val="18"/>
          <w:szCs w:val="18"/>
          <w:lang w:val="bg-BG"/>
        </w:rPr>
        <w:t>Отсрочени данъчни активи / (пасиви)</w:t>
      </w:r>
      <w:r>
        <w:rPr>
          <w:rFonts w:ascii="Arial" w:hAnsi="Arial" w:cs="Arial"/>
          <w:sz w:val="18"/>
          <w:szCs w:val="18"/>
          <w:lang w:val="bg-BG"/>
        </w:rPr>
        <w:t xml:space="preserve"> </w:t>
      </w:r>
      <w:r w:rsidRPr="001A0664">
        <w:rPr>
          <w:rFonts w:ascii="Arial" w:hAnsi="Arial" w:cs="Arial"/>
          <w:i/>
          <w:sz w:val="18"/>
          <w:szCs w:val="18"/>
          <w:lang w:val="bg-BG"/>
        </w:rPr>
        <w:t>(продължение)</w:t>
      </w:r>
    </w:p>
    <w:tbl>
      <w:tblPr>
        <w:tblW w:w="7758" w:type="dxa"/>
        <w:tblLayout w:type="fixed"/>
        <w:tblLook w:val="04A0" w:firstRow="1" w:lastRow="0" w:firstColumn="1" w:lastColumn="0" w:noHBand="0" w:noVBand="1"/>
      </w:tblPr>
      <w:tblGrid>
        <w:gridCol w:w="1572"/>
        <w:gridCol w:w="2152"/>
        <w:gridCol w:w="2241"/>
        <w:gridCol w:w="1793"/>
      </w:tblGrid>
      <w:tr w:rsidR="00E07C4E" w:rsidRPr="00721663" w14:paraId="12606C20" w14:textId="77777777" w:rsidTr="00551604">
        <w:tc>
          <w:tcPr>
            <w:tcW w:w="1572" w:type="dxa"/>
            <w:vAlign w:val="bottom"/>
          </w:tcPr>
          <w:p w14:paraId="4CD16D2E" w14:textId="77777777" w:rsidR="00E07C4E" w:rsidRDefault="00E07C4E" w:rsidP="00551604">
            <w:pPr>
              <w:pStyle w:val="Default"/>
              <w:keepNext/>
              <w:spacing w:before="120" w:after="120" w:line="260" w:lineRule="atLeast"/>
              <w:jc w:val="right"/>
              <w:rPr>
                <w:bCs/>
                <w:color w:val="auto"/>
                <w:sz w:val="18"/>
                <w:szCs w:val="18"/>
              </w:rPr>
            </w:pPr>
          </w:p>
          <w:p w14:paraId="195664D1" w14:textId="77777777" w:rsidR="00E07C4E" w:rsidRPr="00721663" w:rsidRDefault="00E07C4E" w:rsidP="00551604">
            <w:pPr>
              <w:pStyle w:val="Default"/>
              <w:keepNext/>
              <w:spacing w:before="120" w:after="120" w:line="260" w:lineRule="atLeast"/>
              <w:jc w:val="right"/>
              <w:rPr>
                <w:bCs/>
                <w:color w:val="auto"/>
                <w:sz w:val="18"/>
                <w:szCs w:val="18"/>
              </w:rPr>
            </w:pPr>
            <w:r w:rsidRPr="00721663">
              <w:rPr>
                <w:bCs/>
                <w:color w:val="auto"/>
                <w:sz w:val="18"/>
                <w:szCs w:val="18"/>
              </w:rPr>
              <w:t>Година на възникване</w:t>
            </w:r>
          </w:p>
        </w:tc>
        <w:tc>
          <w:tcPr>
            <w:tcW w:w="2152" w:type="dxa"/>
            <w:shd w:val="clear" w:color="auto" w:fill="auto"/>
            <w:vAlign w:val="bottom"/>
          </w:tcPr>
          <w:p w14:paraId="22665702" w14:textId="77777777" w:rsidR="00E07C4E" w:rsidRPr="00721663" w:rsidRDefault="00E07C4E" w:rsidP="00551604">
            <w:pPr>
              <w:pStyle w:val="Default"/>
              <w:keepNext/>
              <w:spacing w:before="120" w:after="120" w:line="260" w:lineRule="atLeast"/>
              <w:jc w:val="right"/>
              <w:rPr>
                <w:bCs/>
                <w:color w:val="auto"/>
                <w:sz w:val="18"/>
                <w:szCs w:val="18"/>
              </w:rPr>
            </w:pPr>
            <w:r w:rsidRPr="00721663">
              <w:rPr>
                <w:bCs/>
                <w:color w:val="auto"/>
                <w:sz w:val="18"/>
                <w:szCs w:val="18"/>
              </w:rPr>
              <w:t>Сума на лихвите</w:t>
            </w:r>
            <w:r w:rsidRPr="00721663">
              <w:rPr>
                <w:color w:val="auto"/>
                <w:sz w:val="18"/>
                <w:szCs w:val="18"/>
              </w:rPr>
              <w:t>, регулирани по режима на слабата капитализация</w:t>
            </w:r>
          </w:p>
        </w:tc>
        <w:tc>
          <w:tcPr>
            <w:tcW w:w="2241" w:type="dxa"/>
            <w:vAlign w:val="bottom"/>
          </w:tcPr>
          <w:p w14:paraId="4B249A3A" w14:textId="77777777" w:rsidR="00E07C4E" w:rsidRPr="00721663" w:rsidRDefault="00E07C4E" w:rsidP="00551604">
            <w:pPr>
              <w:pStyle w:val="Default"/>
              <w:keepNext/>
              <w:spacing w:before="120" w:after="120" w:line="260" w:lineRule="atLeast"/>
              <w:jc w:val="right"/>
              <w:rPr>
                <w:bCs/>
                <w:color w:val="auto"/>
                <w:sz w:val="18"/>
                <w:szCs w:val="18"/>
              </w:rPr>
            </w:pPr>
            <w:r w:rsidRPr="00721663">
              <w:rPr>
                <w:bCs/>
                <w:color w:val="auto"/>
                <w:sz w:val="18"/>
                <w:szCs w:val="18"/>
              </w:rPr>
              <w:t>Признати отсрочени данъчни активи</w:t>
            </w:r>
          </w:p>
        </w:tc>
        <w:tc>
          <w:tcPr>
            <w:tcW w:w="1793" w:type="dxa"/>
            <w:vAlign w:val="bottom"/>
          </w:tcPr>
          <w:p w14:paraId="563D8D3E" w14:textId="77777777" w:rsidR="00E07C4E" w:rsidRPr="00721663" w:rsidRDefault="00E07C4E" w:rsidP="00551604">
            <w:pPr>
              <w:pStyle w:val="Default"/>
              <w:keepNext/>
              <w:spacing w:before="120" w:after="120" w:line="260" w:lineRule="atLeast"/>
              <w:jc w:val="right"/>
              <w:rPr>
                <w:bCs/>
                <w:color w:val="auto"/>
                <w:sz w:val="18"/>
                <w:szCs w:val="18"/>
              </w:rPr>
            </w:pPr>
            <w:r w:rsidRPr="00721663">
              <w:rPr>
                <w:bCs/>
                <w:color w:val="auto"/>
                <w:sz w:val="18"/>
                <w:szCs w:val="18"/>
              </w:rPr>
              <w:t>Налични до</w:t>
            </w:r>
          </w:p>
        </w:tc>
      </w:tr>
      <w:tr w:rsidR="00017A0C" w:rsidRPr="00721663" w14:paraId="7A22BB56" w14:textId="77777777" w:rsidTr="00551604">
        <w:trPr>
          <w:trHeight w:val="184"/>
        </w:trPr>
        <w:tc>
          <w:tcPr>
            <w:tcW w:w="1572" w:type="dxa"/>
            <w:vAlign w:val="bottom"/>
          </w:tcPr>
          <w:p w14:paraId="176094C2" w14:textId="77777777" w:rsidR="00017A0C" w:rsidRPr="00BC2D1E" w:rsidRDefault="00017A0C" w:rsidP="00017A0C">
            <w:pPr>
              <w:pStyle w:val="Default"/>
              <w:keepNext/>
              <w:spacing w:line="260" w:lineRule="atLeast"/>
              <w:jc w:val="right"/>
              <w:rPr>
                <w:color w:val="auto"/>
                <w:sz w:val="18"/>
                <w:szCs w:val="18"/>
                <w:lang w:val="en-GB"/>
              </w:rPr>
            </w:pPr>
            <w:r w:rsidRPr="00BC2D1E">
              <w:rPr>
                <w:color w:val="auto"/>
                <w:sz w:val="18"/>
                <w:szCs w:val="18"/>
                <w:lang w:val="en-GB"/>
              </w:rPr>
              <w:t>2013</w:t>
            </w:r>
          </w:p>
        </w:tc>
        <w:tc>
          <w:tcPr>
            <w:tcW w:w="2152" w:type="dxa"/>
            <w:shd w:val="clear" w:color="auto" w:fill="auto"/>
            <w:vAlign w:val="bottom"/>
          </w:tcPr>
          <w:p w14:paraId="6F379B09" w14:textId="505C1418" w:rsidR="00017A0C" w:rsidRPr="00BC2D1E" w:rsidRDefault="00017A0C" w:rsidP="00017A0C">
            <w:pPr>
              <w:pStyle w:val="Default"/>
              <w:keepNext/>
              <w:spacing w:line="260" w:lineRule="atLeast"/>
              <w:jc w:val="right"/>
              <w:rPr>
                <w:color w:val="auto"/>
                <w:sz w:val="18"/>
                <w:szCs w:val="18"/>
                <w:lang w:val="en-GB"/>
              </w:rPr>
            </w:pPr>
            <w:r>
              <w:rPr>
                <w:color w:val="auto"/>
                <w:sz w:val="18"/>
                <w:szCs w:val="18"/>
                <w:lang w:val="en-GB"/>
              </w:rPr>
              <w:t>507</w:t>
            </w:r>
          </w:p>
        </w:tc>
        <w:tc>
          <w:tcPr>
            <w:tcW w:w="2241" w:type="dxa"/>
            <w:vAlign w:val="bottom"/>
          </w:tcPr>
          <w:p w14:paraId="434389D4" w14:textId="61D209B4" w:rsidR="00017A0C" w:rsidRPr="00BC2D1E" w:rsidRDefault="00017A0C" w:rsidP="00017A0C">
            <w:pPr>
              <w:pStyle w:val="Default"/>
              <w:keepNext/>
              <w:spacing w:line="260" w:lineRule="atLeast"/>
              <w:jc w:val="right"/>
              <w:rPr>
                <w:color w:val="auto"/>
                <w:sz w:val="18"/>
                <w:szCs w:val="18"/>
                <w:lang w:val="en-GB"/>
              </w:rPr>
            </w:pPr>
            <w:r>
              <w:rPr>
                <w:color w:val="auto"/>
                <w:sz w:val="18"/>
                <w:szCs w:val="18"/>
                <w:lang w:val="en-GB"/>
              </w:rPr>
              <w:t>51</w:t>
            </w:r>
          </w:p>
        </w:tc>
        <w:tc>
          <w:tcPr>
            <w:tcW w:w="1793" w:type="dxa"/>
          </w:tcPr>
          <w:p w14:paraId="110B50AD" w14:textId="79FCC39E" w:rsidR="00017A0C" w:rsidRPr="00BC2D1E" w:rsidRDefault="00017A0C" w:rsidP="00017A0C">
            <w:pPr>
              <w:pStyle w:val="Default"/>
              <w:keepNext/>
              <w:spacing w:line="260" w:lineRule="atLeast"/>
              <w:jc w:val="right"/>
              <w:rPr>
                <w:color w:val="auto"/>
                <w:sz w:val="18"/>
                <w:szCs w:val="18"/>
                <w:lang w:val="en-GB"/>
              </w:rPr>
            </w:pPr>
            <w:r>
              <w:rPr>
                <w:color w:val="auto"/>
                <w:sz w:val="18"/>
                <w:szCs w:val="18"/>
                <w:lang w:val="en-GB"/>
              </w:rPr>
              <w:t>2018</w:t>
            </w:r>
          </w:p>
        </w:tc>
      </w:tr>
      <w:tr w:rsidR="00017A0C" w:rsidRPr="00721663" w14:paraId="6A64E15E" w14:textId="77777777" w:rsidTr="00551604">
        <w:tc>
          <w:tcPr>
            <w:tcW w:w="1572" w:type="dxa"/>
            <w:vAlign w:val="bottom"/>
          </w:tcPr>
          <w:p w14:paraId="2179BED1" w14:textId="77777777" w:rsidR="00017A0C" w:rsidRPr="00BC2D1E" w:rsidRDefault="00017A0C" w:rsidP="00017A0C">
            <w:pPr>
              <w:pStyle w:val="Default"/>
              <w:keepNext/>
              <w:spacing w:line="260" w:lineRule="atLeast"/>
              <w:jc w:val="right"/>
              <w:rPr>
                <w:color w:val="auto"/>
                <w:sz w:val="18"/>
                <w:szCs w:val="18"/>
                <w:lang w:val="en-GB"/>
              </w:rPr>
            </w:pPr>
            <w:r w:rsidRPr="00BC2D1E">
              <w:rPr>
                <w:color w:val="auto"/>
                <w:sz w:val="18"/>
                <w:szCs w:val="18"/>
                <w:lang w:val="en-GB"/>
              </w:rPr>
              <w:t>2014</w:t>
            </w:r>
          </w:p>
        </w:tc>
        <w:tc>
          <w:tcPr>
            <w:tcW w:w="2152" w:type="dxa"/>
            <w:shd w:val="clear" w:color="auto" w:fill="auto"/>
            <w:vAlign w:val="bottom"/>
          </w:tcPr>
          <w:p w14:paraId="569A130B" w14:textId="46AB3B0F" w:rsidR="00017A0C" w:rsidRPr="00BC2D1E" w:rsidRDefault="00017A0C" w:rsidP="00017A0C">
            <w:pPr>
              <w:pStyle w:val="Default"/>
              <w:keepNext/>
              <w:spacing w:line="260" w:lineRule="atLeast"/>
              <w:jc w:val="right"/>
              <w:rPr>
                <w:color w:val="auto"/>
                <w:sz w:val="18"/>
                <w:szCs w:val="18"/>
                <w:lang w:val="en-GB"/>
              </w:rPr>
            </w:pPr>
            <w:r>
              <w:rPr>
                <w:color w:val="auto"/>
                <w:sz w:val="18"/>
                <w:szCs w:val="18"/>
                <w:lang w:val="en-GB"/>
              </w:rPr>
              <w:t>621</w:t>
            </w:r>
          </w:p>
        </w:tc>
        <w:tc>
          <w:tcPr>
            <w:tcW w:w="2241" w:type="dxa"/>
            <w:vAlign w:val="bottom"/>
          </w:tcPr>
          <w:p w14:paraId="6FD972E5" w14:textId="18A3980F" w:rsidR="00017A0C" w:rsidRPr="00BC2D1E" w:rsidRDefault="00017A0C" w:rsidP="00017A0C">
            <w:pPr>
              <w:pStyle w:val="Default"/>
              <w:keepNext/>
              <w:spacing w:line="260" w:lineRule="atLeast"/>
              <w:jc w:val="right"/>
              <w:rPr>
                <w:color w:val="auto"/>
                <w:sz w:val="18"/>
                <w:szCs w:val="18"/>
                <w:lang w:val="en-GB"/>
              </w:rPr>
            </w:pPr>
            <w:r>
              <w:rPr>
                <w:color w:val="auto"/>
                <w:sz w:val="18"/>
                <w:szCs w:val="18"/>
                <w:lang w:val="en-GB"/>
              </w:rPr>
              <w:t>62</w:t>
            </w:r>
          </w:p>
        </w:tc>
        <w:tc>
          <w:tcPr>
            <w:tcW w:w="1793" w:type="dxa"/>
          </w:tcPr>
          <w:p w14:paraId="0419BC99" w14:textId="30768949" w:rsidR="00017A0C" w:rsidRPr="00BC2D1E" w:rsidRDefault="00017A0C" w:rsidP="00017A0C">
            <w:pPr>
              <w:pStyle w:val="Default"/>
              <w:keepNext/>
              <w:spacing w:line="260" w:lineRule="atLeast"/>
              <w:jc w:val="right"/>
              <w:rPr>
                <w:color w:val="auto"/>
                <w:sz w:val="18"/>
                <w:szCs w:val="18"/>
                <w:lang w:val="en-GB"/>
              </w:rPr>
            </w:pPr>
            <w:r>
              <w:rPr>
                <w:color w:val="auto"/>
                <w:sz w:val="18"/>
                <w:szCs w:val="18"/>
                <w:lang w:val="en-GB"/>
              </w:rPr>
              <w:t>2019</w:t>
            </w:r>
          </w:p>
        </w:tc>
      </w:tr>
      <w:tr w:rsidR="00017A0C" w:rsidRPr="00721663" w14:paraId="4BC3AA7C" w14:textId="77777777" w:rsidTr="00551604">
        <w:trPr>
          <w:trHeight w:val="166"/>
        </w:trPr>
        <w:tc>
          <w:tcPr>
            <w:tcW w:w="1572" w:type="dxa"/>
            <w:vAlign w:val="bottom"/>
          </w:tcPr>
          <w:p w14:paraId="3B26BE4C" w14:textId="77777777" w:rsidR="00017A0C" w:rsidRPr="00BC2D1E" w:rsidRDefault="00017A0C" w:rsidP="00017A0C">
            <w:pPr>
              <w:pStyle w:val="Default"/>
              <w:keepNext/>
              <w:spacing w:line="260" w:lineRule="atLeast"/>
              <w:jc w:val="right"/>
              <w:rPr>
                <w:color w:val="auto"/>
                <w:sz w:val="18"/>
                <w:szCs w:val="18"/>
                <w:lang w:val="en-GB"/>
              </w:rPr>
            </w:pPr>
            <w:r>
              <w:rPr>
                <w:color w:val="auto"/>
                <w:sz w:val="18"/>
                <w:szCs w:val="18"/>
                <w:lang w:val="en-GB"/>
              </w:rPr>
              <w:t>2015</w:t>
            </w:r>
          </w:p>
        </w:tc>
        <w:tc>
          <w:tcPr>
            <w:tcW w:w="2152" w:type="dxa"/>
            <w:shd w:val="clear" w:color="auto" w:fill="auto"/>
            <w:vAlign w:val="bottom"/>
          </w:tcPr>
          <w:p w14:paraId="585F39B5" w14:textId="41B250F0" w:rsidR="00017A0C" w:rsidRPr="00BC2D1E" w:rsidRDefault="00017A0C" w:rsidP="00017A0C">
            <w:pPr>
              <w:pStyle w:val="Default"/>
              <w:keepNext/>
              <w:spacing w:line="260" w:lineRule="atLeast"/>
              <w:jc w:val="right"/>
              <w:rPr>
                <w:color w:val="auto"/>
                <w:sz w:val="18"/>
                <w:szCs w:val="18"/>
                <w:lang w:val="en-GB"/>
              </w:rPr>
            </w:pPr>
            <w:r>
              <w:rPr>
                <w:color w:val="auto"/>
                <w:sz w:val="18"/>
                <w:szCs w:val="18"/>
                <w:lang w:val="en-GB"/>
              </w:rPr>
              <w:t>258</w:t>
            </w:r>
          </w:p>
        </w:tc>
        <w:tc>
          <w:tcPr>
            <w:tcW w:w="2241" w:type="dxa"/>
            <w:vAlign w:val="bottom"/>
          </w:tcPr>
          <w:p w14:paraId="5835B543" w14:textId="26E603F0" w:rsidR="00017A0C" w:rsidRPr="00BC2D1E" w:rsidRDefault="00017A0C" w:rsidP="00017A0C">
            <w:pPr>
              <w:pStyle w:val="Default"/>
              <w:keepNext/>
              <w:spacing w:line="260" w:lineRule="atLeast"/>
              <w:jc w:val="right"/>
              <w:rPr>
                <w:color w:val="auto"/>
                <w:sz w:val="18"/>
                <w:szCs w:val="18"/>
                <w:lang w:val="en-GB"/>
              </w:rPr>
            </w:pPr>
            <w:r>
              <w:rPr>
                <w:color w:val="auto"/>
                <w:sz w:val="18"/>
                <w:szCs w:val="18"/>
                <w:lang w:val="en-GB"/>
              </w:rPr>
              <w:t>26</w:t>
            </w:r>
          </w:p>
        </w:tc>
        <w:tc>
          <w:tcPr>
            <w:tcW w:w="1793" w:type="dxa"/>
          </w:tcPr>
          <w:p w14:paraId="1F77A362" w14:textId="50A53CFA" w:rsidR="00017A0C" w:rsidRPr="00BC2D1E" w:rsidRDefault="00017A0C" w:rsidP="00017A0C">
            <w:pPr>
              <w:pStyle w:val="Default"/>
              <w:keepNext/>
              <w:spacing w:line="260" w:lineRule="atLeast"/>
              <w:jc w:val="right"/>
              <w:rPr>
                <w:color w:val="auto"/>
                <w:sz w:val="18"/>
                <w:szCs w:val="18"/>
                <w:lang w:val="en-GB"/>
              </w:rPr>
            </w:pPr>
            <w:r>
              <w:rPr>
                <w:color w:val="auto"/>
                <w:sz w:val="18"/>
                <w:szCs w:val="18"/>
                <w:lang w:val="en-GB"/>
              </w:rPr>
              <w:t>2020</w:t>
            </w:r>
          </w:p>
        </w:tc>
      </w:tr>
      <w:tr w:rsidR="00017A0C" w:rsidRPr="00721663" w14:paraId="6BEB9D75" w14:textId="77777777" w:rsidTr="00551604">
        <w:trPr>
          <w:trHeight w:hRule="exact" w:val="288"/>
        </w:trPr>
        <w:tc>
          <w:tcPr>
            <w:tcW w:w="1572" w:type="dxa"/>
            <w:vAlign w:val="bottom"/>
          </w:tcPr>
          <w:p w14:paraId="4641B606" w14:textId="77777777" w:rsidR="00017A0C" w:rsidRPr="00721663" w:rsidRDefault="00017A0C" w:rsidP="00017A0C">
            <w:pPr>
              <w:pStyle w:val="Default"/>
              <w:keepNext/>
              <w:spacing w:line="260" w:lineRule="atLeast"/>
              <w:jc w:val="right"/>
              <w:rPr>
                <w:color w:val="auto"/>
                <w:sz w:val="18"/>
                <w:szCs w:val="18"/>
              </w:rPr>
            </w:pPr>
          </w:p>
        </w:tc>
        <w:tc>
          <w:tcPr>
            <w:tcW w:w="2152" w:type="dxa"/>
            <w:tcBorders>
              <w:top w:val="single" w:sz="2" w:space="0" w:color="auto"/>
              <w:bottom w:val="single" w:sz="2" w:space="0" w:color="auto"/>
            </w:tcBorders>
            <w:shd w:val="clear" w:color="auto" w:fill="auto"/>
            <w:vAlign w:val="bottom"/>
          </w:tcPr>
          <w:p w14:paraId="61F0EB34" w14:textId="06BA180E" w:rsidR="00017A0C" w:rsidRPr="00721663" w:rsidRDefault="00017A0C" w:rsidP="00017A0C">
            <w:pPr>
              <w:pStyle w:val="Default"/>
              <w:keepNext/>
              <w:spacing w:after="200" w:line="260" w:lineRule="atLeast"/>
              <w:jc w:val="right"/>
              <w:rPr>
                <w:b/>
                <w:color w:val="auto"/>
                <w:sz w:val="18"/>
                <w:szCs w:val="18"/>
              </w:rPr>
            </w:pPr>
            <w:r>
              <w:rPr>
                <w:b/>
                <w:color w:val="auto"/>
                <w:sz w:val="18"/>
                <w:szCs w:val="18"/>
                <w:lang w:val="en-GB"/>
              </w:rPr>
              <w:t>1,386</w:t>
            </w:r>
          </w:p>
        </w:tc>
        <w:tc>
          <w:tcPr>
            <w:tcW w:w="2241" w:type="dxa"/>
            <w:tcBorders>
              <w:top w:val="single" w:sz="2" w:space="0" w:color="auto"/>
              <w:bottom w:val="single" w:sz="2" w:space="0" w:color="auto"/>
            </w:tcBorders>
            <w:vAlign w:val="bottom"/>
          </w:tcPr>
          <w:p w14:paraId="727C20B9" w14:textId="3468E7F4" w:rsidR="00017A0C" w:rsidRPr="00721663" w:rsidRDefault="00017A0C" w:rsidP="00017A0C">
            <w:pPr>
              <w:pStyle w:val="Default"/>
              <w:keepNext/>
              <w:spacing w:after="200" w:line="260" w:lineRule="atLeast"/>
              <w:jc w:val="right"/>
              <w:rPr>
                <w:b/>
                <w:color w:val="auto"/>
                <w:sz w:val="18"/>
                <w:szCs w:val="18"/>
              </w:rPr>
            </w:pPr>
            <w:r>
              <w:rPr>
                <w:b/>
                <w:color w:val="auto"/>
                <w:sz w:val="18"/>
                <w:szCs w:val="18"/>
                <w:lang w:val="en-GB"/>
              </w:rPr>
              <w:t>139</w:t>
            </w:r>
          </w:p>
        </w:tc>
        <w:tc>
          <w:tcPr>
            <w:tcW w:w="1793" w:type="dxa"/>
            <w:vAlign w:val="bottom"/>
          </w:tcPr>
          <w:p w14:paraId="1F005C8F" w14:textId="77777777" w:rsidR="00017A0C" w:rsidRPr="00721663" w:rsidRDefault="00017A0C" w:rsidP="00017A0C">
            <w:pPr>
              <w:pStyle w:val="Default"/>
              <w:keepNext/>
              <w:spacing w:line="260" w:lineRule="atLeast"/>
              <w:jc w:val="right"/>
              <w:rPr>
                <w:b/>
                <w:color w:val="auto"/>
                <w:sz w:val="18"/>
                <w:szCs w:val="18"/>
              </w:rPr>
            </w:pPr>
          </w:p>
        </w:tc>
      </w:tr>
    </w:tbl>
    <w:p w14:paraId="49048498" w14:textId="77777777" w:rsidR="00E07C4E" w:rsidRPr="00721663" w:rsidRDefault="00E07C4E" w:rsidP="00E07C4E">
      <w:pPr>
        <w:spacing w:line="240" w:lineRule="auto"/>
        <w:jc w:val="left"/>
        <w:rPr>
          <w:rFonts w:ascii="Arial" w:hAnsi="Arial" w:cs="Arial"/>
          <w:b/>
          <w:sz w:val="18"/>
          <w:szCs w:val="18"/>
          <w:lang w:val="bg-BG"/>
        </w:rPr>
      </w:pPr>
    </w:p>
    <w:p w14:paraId="4D5F950F" w14:textId="58F5A71D" w:rsidR="00E07C4E" w:rsidRPr="00721663" w:rsidRDefault="00E07C4E" w:rsidP="00E07C4E">
      <w:pPr>
        <w:jc w:val="left"/>
        <w:rPr>
          <w:rFonts w:ascii="Arial" w:hAnsi="Arial" w:cs="Arial"/>
          <w:sz w:val="18"/>
          <w:szCs w:val="18"/>
          <w:lang w:val="bg-BG"/>
        </w:rPr>
      </w:pPr>
      <w:r w:rsidRPr="00721663">
        <w:rPr>
          <w:rFonts w:ascii="Arial" w:hAnsi="Arial" w:cs="Arial"/>
          <w:sz w:val="18"/>
          <w:szCs w:val="18"/>
          <w:lang w:val="bg-BG"/>
        </w:rPr>
        <w:t xml:space="preserve">Данъчни загуби към </w:t>
      </w:r>
      <w:r w:rsidR="00144930">
        <w:rPr>
          <w:rFonts w:ascii="Arial" w:hAnsi="Arial" w:cs="Arial"/>
          <w:sz w:val="18"/>
          <w:szCs w:val="18"/>
          <w:lang w:val="bg-BG"/>
        </w:rPr>
        <w:t>30 юни 2017</w:t>
      </w:r>
      <w:r w:rsidRPr="00721663">
        <w:rPr>
          <w:rFonts w:ascii="Arial" w:hAnsi="Arial" w:cs="Arial"/>
          <w:sz w:val="18"/>
          <w:szCs w:val="18"/>
          <w:lang w:val="bg-BG"/>
        </w:rPr>
        <w:t xml:space="preserve"> г. и </w:t>
      </w:r>
      <w:r w:rsidR="00144930">
        <w:rPr>
          <w:rFonts w:ascii="Arial" w:hAnsi="Arial" w:cs="Arial"/>
          <w:sz w:val="18"/>
          <w:szCs w:val="18"/>
          <w:lang w:val="bg-BG"/>
        </w:rPr>
        <w:t>31 декември 2016</w:t>
      </w:r>
      <w:r w:rsidRPr="00721663">
        <w:rPr>
          <w:rFonts w:ascii="Arial" w:hAnsi="Arial" w:cs="Arial"/>
          <w:sz w:val="18"/>
          <w:szCs w:val="18"/>
          <w:lang w:val="bg-BG"/>
        </w:rPr>
        <w:t xml:space="preserve"> г., върху които не са признати отсрочени данъчни активи, са, както следва:</w:t>
      </w:r>
    </w:p>
    <w:p w14:paraId="66E6321E" w14:textId="77777777" w:rsidR="00E07C4E" w:rsidRPr="00721663" w:rsidRDefault="00E07C4E" w:rsidP="00E07C4E">
      <w:pPr>
        <w:jc w:val="left"/>
        <w:rPr>
          <w:rFonts w:ascii="Arial" w:hAnsi="Arial" w:cs="Arial"/>
          <w:sz w:val="18"/>
          <w:szCs w:val="18"/>
          <w:lang w:val="bg-BG"/>
        </w:rPr>
      </w:pPr>
    </w:p>
    <w:tbl>
      <w:tblPr>
        <w:tblpPr w:leftFromText="141" w:rightFromText="141" w:vertAnchor="text" w:tblpX="70" w:tblpY="1"/>
        <w:tblOverlap w:val="never"/>
        <w:tblW w:w="8596" w:type="dxa"/>
        <w:tblLayout w:type="fixed"/>
        <w:tblCellMar>
          <w:left w:w="70" w:type="dxa"/>
          <w:right w:w="70" w:type="dxa"/>
        </w:tblCellMar>
        <w:tblLook w:val="04A0" w:firstRow="1" w:lastRow="0" w:firstColumn="1" w:lastColumn="0" w:noHBand="0" w:noVBand="1"/>
      </w:tblPr>
      <w:tblGrid>
        <w:gridCol w:w="3331"/>
        <w:gridCol w:w="160"/>
        <w:gridCol w:w="2249"/>
        <w:gridCol w:w="160"/>
        <w:gridCol w:w="1276"/>
        <w:gridCol w:w="160"/>
        <w:gridCol w:w="1260"/>
      </w:tblGrid>
      <w:tr w:rsidR="00E07C4E" w:rsidRPr="00721663" w14:paraId="40300500" w14:textId="77777777" w:rsidTr="00551604">
        <w:trPr>
          <w:trHeight w:val="282"/>
        </w:trPr>
        <w:tc>
          <w:tcPr>
            <w:tcW w:w="3331" w:type="dxa"/>
            <w:tcBorders>
              <w:top w:val="nil"/>
              <w:left w:val="nil"/>
              <w:bottom w:val="single" w:sz="4" w:space="0" w:color="auto"/>
              <w:right w:val="nil"/>
            </w:tcBorders>
            <w:shd w:val="clear" w:color="auto" w:fill="auto"/>
            <w:noWrap/>
            <w:vAlign w:val="bottom"/>
            <w:hideMark/>
          </w:tcPr>
          <w:p w14:paraId="281DA8A7" w14:textId="77777777" w:rsidR="00E07C4E" w:rsidRPr="00721663" w:rsidRDefault="00E07C4E" w:rsidP="00551604">
            <w:pPr>
              <w:jc w:val="left"/>
              <w:rPr>
                <w:rFonts w:ascii="Arial" w:hAnsi="Arial" w:cs="Arial"/>
                <w:sz w:val="18"/>
                <w:szCs w:val="18"/>
                <w:lang w:val="bg-BG"/>
              </w:rPr>
            </w:pPr>
            <w:r w:rsidRPr="00721663">
              <w:rPr>
                <w:rFonts w:ascii="Arial" w:hAnsi="Arial" w:cs="Arial"/>
                <w:sz w:val="18"/>
                <w:szCs w:val="18"/>
                <w:lang w:val="bg-BG"/>
              </w:rPr>
              <w:t>Година на възникване</w:t>
            </w:r>
          </w:p>
        </w:tc>
        <w:tc>
          <w:tcPr>
            <w:tcW w:w="160" w:type="dxa"/>
            <w:tcBorders>
              <w:top w:val="nil"/>
              <w:left w:val="nil"/>
              <w:bottom w:val="nil"/>
              <w:right w:val="nil"/>
            </w:tcBorders>
            <w:shd w:val="clear" w:color="auto" w:fill="auto"/>
            <w:noWrap/>
            <w:vAlign w:val="bottom"/>
            <w:hideMark/>
          </w:tcPr>
          <w:p w14:paraId="14DBDCE5" w14:textId="77777777" w:rsidR="00E07C4E" w:rsidRPr="00721663" w:rsidRDefault="00E07C4E" w:rsidP="00551604">
            <w:pPr>
              <w:ind w:right="142"/>
              <w:jc w:val="left"/>
              <w:rPr>
                <w:rFonts w:ascii="Arial" w:eastAsia="Arial Unicode MS" w:hAnsi="Arial" w:cs="Arial"/>
                <w:sz w:val="18"/>
                <w:szCs w:val="18"/>
                <w:lang w:val="bg-BG"/>
              </w:rPr>
            </w:pPr>
          </w:p>
        </w:tc>
        <w:tc>
          <w:tcPr>
            <w:tcW w:w="2249" w:type="dxa"/>
            <w:tcBorders>
              <w:top w:val="nil"/>
              <w:left w:val="nil"/>
              <w:bottom w:val="single" w:sz="4" w:space="0" w:color="auto"/>
              <w:right w:val="nil"/>
            </w:tcBorders>
            <w:shd w:val="clear" w:color="auto" w:fill="auto"/>
            <w:noWrap/>
            <w:vAlign w:val="bottom"/>
            <w:hideMark/>
          </w:tcPr>
          <w:p w14:paraId="51B608F1" w14:textId="77777777" w:rsidR="00E07C4E" w:rsidRPr="00721663" w:rsidRDefault="00E07C4E" w:rsidP="00551604">
            <w:pPr>
              <w:jc w:val="right"/>
              <w:rPr>
                <w:rFonts w:ascii="Arial" w:hAnsi="Arial" w:cs="Arial"/>
                <w:sz w:val="18"/>
                <w:szCs w:val="18"/>
                <w:lang w:val="bg-BG"/>
              </w:rPr>
            </w:pPr>
            <w:r w:rsidRPr="00721663">
              <w:rPr>
                <w:rFonts w:ascii="Arial" w:hAnsi="Arial" w:cs="Arial"/>
                <w:sz w:val="18"/>
                <w:szCs w:val="18"/>
                <w:lang w:val="bg-BG"/>
              </w:rPr>
              <w:t>Период на пренасяне на данъчна загуба</w:t>
            </w:r>
          </w:p>
        </w:tc>
        <w:tc>
          <w:tcPr>
            <w:tcW w:w="160" w:type="dxa"/>
            <w:vAlign w:val="bottom"/>
          </w:tcPr>
          <w:p w14:paraId="4F81F7E4" w14:textId="77777777" w:rsidR="00E07C4E" w:rsidRPr="00721663" w:rsidRDefault="00E07C4E" w:rsidP="00551604">
            <w:pPr>
              <w:ind w:right="142"/>
              <w:jc w:val="left"/>
              <w:rPr>
                <w:rFonts w:ascii="Arial" w:eastAsia="Arial Unicode MS" w:hAnsi="Arial" w:cs="Arial"/>
                <w:sz w:val="18"/>
                <w:szCs w:val="18"/>
                <w:lang w:val="bg-BG"/>
              </w:rPr>
            </w:pPr>
          </w:p>
        </w:tc>
        <w:tc>
          <w:tcPr>
            <w:tcW w:w="1276" w:type="dxa"/>
            <w:tcBorders>
              <w:bottom w:val="single" w:sz="4" w:space="0" w:color="auto"/>
            </w:tcBorders>
            <w:vAlign w:val="bottom"/>
          </w:tcPr>
          <w:p w14:paraId="480FC6B6" w14:textId="0E5A7852" w:rsidR="00E07C4E" w:rsidRPr="00721663" w:rsidRDefault="00144930" w:rsidP="00551604">
            <w:pPr>
              <w:jc w:val="right"/>
              <w:rPr>
                <w:rFonts w:ascii="Arial" w:hAnsi="Arial" w:cs="Arial"/>
                <w:b/>
                <w:sz w:val="18"/>
                <w:szCs w:val="18"/>
                <w:lang w:val="bg-BG"/>
              </w:rPr>
            </w:pPr>
            <w:r>
              <w:rPr>
                <w:rFonts w:ascii="Arial" w:hAnsi="Arial" w:cs="Arial"/>
                <w:b/>
                <w:sz w:val="18"/>
                <w:szCs w:val="18"/>
                <w:lang w:val="bg-BG"/>
              </w:rPr>
              <w:t>30 юни 2017</w:t>
            </w:r>
          </w:p>
        </w:tc>
        <w:tc>
          <w:tcPr>
            <w:tcW w:w="160" w:type="dxa"/>
            <w:vAlign w:val="bottom"/>
          </w:tcPr>
          <w:p w14:paraId="204708A3" w14:textId="77777777" w:rsidR="00E07C4E" w:rsidRPr="00721663" w:rsidRDefault="00E07C4E" w:rsidP="00551604">
            <w:pPr>
              <w:jc w:val="right"/>
              <w:rPr>
                <w:rFonts w:ascii="Arial" w:hAnsi="Arial" w:cs="Arial"/>
                <w:b/>
                <w:sz w:val="18"/>
                <w:szCs w:val="18"/>
                <w:lang w:val="bg-BG"/>
              </w:rPr>
            </w:pPr>
          </w:p>
        </w:tc>
        <w:tc>
          <w:tcPr>
            <w:tcW w:w="1260" w:type="dxa"/>
            <w:tcBorders>
              <w:bottom w:val="single" w:sz="4" w:space="0" w:color="auto"/>
            </w:tcBorders>
            <w:vAlign w:val="bottom"/>
          </w:tcPr>
          <w:p w14:paraId="60232ADB" w14:textId="4DEB66C9" w:rsidR="00E07C4E" w:rsidRPr="00721663" w:rsidRDefault="00144930" w:rsidP="00551604">
            <w:pPr>
              <w:jc w:val="right"/>
              <w:rPr>
                <w:rFonts w:ascii="Arial" w:hAnsi="Arial" w:cs="Arial"/>
                <w:b/>
                <w:sz w:val="18"/>
                <w:szCs w:val="18"/>
                <w:lang w:val="bg-BG"/>
              </w:rPr>
            </w:pPr>
            <w:r>
              <w:rPr>
                <w:rFonts w:ascii="Arial" w:hAnsi="Arial" w:cs="Arial"/>
                <w:b/>
                <w:sz w:val="18"/>
                <w:szCs w:val="18"/>
                <w:lang w:val="bg-BG"/>
              </w:rPr>
              <w:t>31 декември 2016</w:t>
            </w:r>
            <w:r w:rsidR="00E07C4E" w:rsidRPr="00721663">
              <w:rPr>
                <w:rFonts w:ascii="Arial" w:hAnsi="Arial" w:cs="Arial"/>
                <w:b/>
                <w:sz w:val="18"/>
                <w:szCs w:val="18"/>
                <w:lang w:val="bg-BG"/>
              </w:rPr>
              <w:t xml:space="preserve"> </w:t>
            </w:r>
          </w:p>
        </w:tc>
      </w:tr>
      <w:tr w:rsidR="00E07C4E" w:rsidRPr="00721663" w14:paraId="1FE2BB43" w14:textId="77777777" w:rsidTr="00551604">
        <w:trPr>
          <w:trHeight w:hRule="exact" w:val="318"/>
        </w:trPr>
        <w:tc>
          <w:tcPr>
            <w:tcW w:w="3331" w:type="dxa"/>
            <w:tcBorders>
              <w:top w:val="nil"/>
              <w:left w:val="nil"/>
              <w:bottom w:val="nil"/>
              <w:right w:val="nil"/>
            </w:tcBorders>
            <w:shd w:val="clear" w:color="auto" w:fill="auto"/>
            <w:noWrap/>
            <w:vAlign w:val="center"/>
            <w:hideMark/>
          </w:tcPr>
          <w:p w14:paraId="0D3CAAFE" w14:textId="77777777" w:rsidR="00E07C4E" w:rsidRPr="00721663" w:rsidRDefault="00E07C4E" w:rsidP="00551604">
            <w:pPr>
              <w:jc w:val="left"/>
              <w:rPr>
                <w:rFonts w:ascii="Arial" w:hAnsi="Arial" w:cs="Arial"/>
                <w:sz w:val="18"/>
                <w:szCs w:val="18"/>
                <w:lang w:val="bg-BG"/>
              </w:rPr>
            </w:pPr>
          </w:p>
        </w:tc>
        <w:tc>
          <w:tcPr>
            <w:tcW w:w="160" w:type="dxa"/>
            <w:tcBorders>
              <w:top w:val="nil"/>
              <w:left w:val="nil"/>
              <w:bottom w:val="nil"/>
              <w:right w:val="nil"/>
            </w:tcBorders>
            <w:shd w:val="clear" w:color="auto" w:fill="auto"/>
            <w:noWrap/>
            <w:vAlign w:val="bottom"/>
            <w:hideMark/>
          </w:tcPr>
          <w:p w14:paraId="6B788B84" w14:textId="77777777" w:rsidR="00E07C4E" w:rsidRPr="00721663" w:rsidRDefault="00E07C4E" w:rsidP="00551604">
            <w:pPr>
              <w:ind w:right="142"/>
              <w:jc w:val="left"/>
              <w:rPr>
                <w:rFonts w:ascii="Arial" w:eastAsia="Arial Unicode MS" w:hAnsi="Arial" w:cs="Arial"/>
                <w:sz w:val="18"/>
                <w:szCs w:val="18"/>
                <w:lang w:val="bg-BG"/>
              </w:rPr>
            </w:pPr>
          </w:p>
        </w:tc>
        <w:tc>
          <w:tcPr>
            <w:tcW w:w="2249" w:type="dxa"/>
            <w:tcBorders>
              <w:top w:val="nil"/>
              <w:left w:val="nil"/>
              <w:bottom w:val="nil"/>
              <w:right w:val="nil"/>
            </w:tcBorders>
            <w:shd w:val="clear" w:color="auto" w:fill="auto"/>
            <w:noWrap/>
            <w:vAlign w:val="center"/>
            <w:hideMark/>
          </w:tcPr>
          <w:p w14:paraId="0A8D3E78" w14:textId="77777777" w:rsidR="00E07C4E" w:rsidRPr="00721663" w:rsidRDefault="00E07C4E" w:rsidP="00551604">
            <w:pPr>
              <w:jc w:val="right"/>
              <w:rPr>
                <w:rFonts w:ascii="Arial" w:hAnsi="Arial" w:cs="Arial"/>
                <w:sz w:val="18"/>
                <w:szCs w:val="18"/>
                <w:lang w:val="bg-BG"/>
              </w:rPr>
            </w:pPr>
          </w:p>
        </w:tc>
        <w:tc>
          <w:tcPr>
            <w:tcW w:w="160" w:type="dxa"/>
            <w:vAlign w:val="center"/>
          </w:tcPr>
          <w:p w14:paraId="67A22A47" w14:textId="77777777" w:rsidR="00E07C4E" w:rsidRPr="00721663" w:rsidRDefault="00E07C4E" w:rsidP="00551604">
            <w:pPr>
              <w:ind w:right="142"/>
              <w:jc w:val="left"/>
              <w:rPr>
                <w:rFonts w:ascii="Arial" w:eastAsia="Arial Unicode MS" w:hAnsi="Arial" w:cs="Arial"/>
                <w:sz w:val="18"/>
                <w:szCs w:val="18"/>
                <w:lang w:val="bg-BG"/>
              </w:rPr>
            </w:pPr>
          </w:p>
        </w:tc>
        <w:tc>
          <w:tcPr>
            <w:tcW w:w="1276" w:type="dxa"/>
            <w:vAlign w:val="bottom"/>
          </w:tcPr>
          <w:p w14:paraId="533CD7D5" w14:textId="77777777" w:rsidR="00E07C4E" w:rsidRPr="00721663" w:rsidRDefault="00E07C4E" w:rsidP="00551604">
            <w:pPr>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160" w:type="dxa"/>
            <w:vAlign w:val="bottom"/>
          </w:tcPr>
          <w:p w14:paraId="6030F1C0" w14:textId="77777777" w:rsidR="00E07C4E" w:rsidRPr="00721663" w:rsidRDefault="00E07C4E" w:rsidP="00551604">
            <w:pPr>
              <w:ind w:right="142"/>
              <w:jc w:val="left"/>
              <w:rPr>
                <w:rFonts w:ascii="Arial" w:eastAsia="Arial Unicode MS" w:hAnsi="Arial" w:cs="Arial"/>
                <w:sz w:val="18"/>
                <w:szCs w:val="18"/>
                <w:lang w:val="bg-BG"/>
              </w:rPr>
            </w:pPr>
          </w:p>
        </w:tc>
        <w:tc>
          <w:tcPr>
            <w:tcW w:w="1260" w:type="dxa"/>
            <w:vAlign w:val="bottom"/>
          </w:tcPr>
          <w:p w14:paraId="50B737C1" w14:textId="77777777" w:rsidR="00E07C4E" w:rsidRPr="00721663" w:rsidRDefault="00E07C4E" w:rsidP="00551604">
            <w:pPr>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r>
      <w:tr w:rsidR="00017A0C" w:rsidRPr="00721663" w14:paraId="33B3C53E" w14:textId="77777777" w:rsidTr="00551604">
        <w:trPr>
          <w:trHeight w:hRule="exact" w:val="318"/>
        </w:trPr>
        <w:tc>
          <w:tcPr>
            <w:tcW w:w="3331" w:type="dxa"/>
            <w:tcBorders>
              <w:top w:val="nil"/>
              <w:left w:val="nil"/>
              <w:bottom w:val="nil"/>
              <w:right w:val="nil"/>
            </w:tcBorders>
            <w:shd w:val="clear" w:color="auto" w:fill="auto"/>
            <w:noWrap/>
            <w:vAlign w:val="center"/>
            <w:hideMark/>
          </w:tcPr>
          <w:p w14:paraId="5836AC24" w14:textId="77777777" w:rsidR="00017A0C" w:rsidRPr="00BC2D1E" w:rsidRDefault="00017A0C" w:rsidP="00017A0C">
            <w:pPr>
              <w:jc w:val="left"/>
              <w:rPr>
                <w:rFonts w:ascii="Arial" w:hAnsi="Arial" w:cs="Arial"/>
                <w:sz w:val="18"/>
                <w:szCs w:val="18"/>
                <w:lang w:val="en-GB"/>
              </w:rPr>
            </w:pPr>
            <w:r w:rsidRPr="00BC2D1E">
              <w:rPr>
                <w:rFonts w:ascii="Arial" w:hAnsi="Arial" w:cs="Arial"/>
                <w:sz w:val="18"/>
                <w:szCs w:val="18"/>
                <w:lang w:val="en-GB"/>
              </w:rPr>
              <w:t>2011</w:t>
            </w:r>
          </w:p>
        </w:tc>
        <w:tc>
          <w:tcPr>
            <w:tcW w:w="160" w:type="dxa"/>
            <w:tcBorders>
              <w:top w:val="nil"/>
              <w:left w:val="nil"/>
              <w:bottom w:val="nil"/>
              <w:right w:val="nil"/>
            </w:tcBorders>
            <w:shd w:val="clear" w:color="auto" w:fill="auto"/>
            <w:noWrap/>
            <w:vAlign w:val="bottom"/>
            <w:hideMark/>
          </w:tcPr>
          <w:p w14:paraId="4476C0C3" w14:textId="77777777" w:rsidR="00017A0C" w:rsidRPr="00BC2D1E" w:rsidRDefault="00017A0C" w:rsidP="00017A0C">
            <w:pPr>
              <w:jc w:val="left"/>
              <w:rPr>
                <w:rFonts w:ascii="Arial" w:hAnsi="Arial" w:cs="Arial"/>
                <w:sz w:val="18"/>
                <w:szCs w:val="18"/>
                <w:lang w:val="en-GB"/>
              </w:rPr>
            </w:pPr>
          </w:p>
        </w:tc>
        <w:tc>
          <w:tcPr>
            <w:tcW w:w="2249" w:type="dxa"/>
            <w:tcBorders>
              <w:top w:val="nil"/>
              <w:left w:val="nil"/>
              <w:bottom w:val="nil"/>
              <w:right w:val="nil"/>
            </w:tcBorders>
            <w:shd w:val="clear" w:color="auto" w:fill="auto"/>
            <w:noWrap/>
            <w:vAlign w:val="center"/>
            <w:hideMark/>
          </w:tcPr>
          <w:p w14:paraId="1ACDD0F5" w14:textId="77777777" w:rsidR="00017A0C" w:rsidRPr="00BC2D1E" w:rsidRDefault="00017A0C" w:rsidP="00017A0C">
            <w:pPr>
              <w:jc w:val="right"/>
              <w:rPr>
                <w:rFonts w:ascii="Arial" w:hAnsi="Arial" w:cs="Arial"/>
                <w:sz w:val="18"/>
                <w:szCs w:val="18"/>
                <w:lang w:val="en-GB"/>
              </w:rPr>
            </w:pPr>
            <w:r w:rsidRPr="00BC2D1E">
              <w:rPr>
                <w:rFonts w:ascii="Arial" w:hAnsi="Arial" w:cs="Arial"/>
                <w:sz w:val="18"/>
                <w:szCs w:val="18"/>
                <w:lang w:val="en-GB"/>
              </w:rPr>
              <w:t>2012-2016</w:t>
            </w:r>
          </w:p>
        </w:tc>
        <w:tc>
          <w:tcPr>
            <w:tcW w:w="160" w:type="dxa"/>
            <w:vAlign w:val="center"/>
          </w:tcPr>
          <w:p w14:paraId="64D611DB" w14:textId="77777777" w:rsidR="00017A0C" w:rsidRPr="00BC2D1E" w:rsidRDefault="00017A0C" w:rsidP="00017A0C">
            <w:pPr>
              <w:jc w:val="right"/>
              <w:rPr>
                <w:rFonts w:ascii="Arial" w:hAnsi="Arial" w:cs="Arial"/>
                <w:sz w:val="18"/>
                <w:szCs w:val="18"/>
                <w:lang w:val="en-GB"/>
              </w:rPr>
            </w:pPr>
          </w:p>
        </w:tc>
        <w:tc>
          <w:tcPr>
            <w:tcW w:w="1276" w:type="dxa"/>
            <w:vAlign w:val="center"/>
          </w:tcPr>
          <w:p w14:paraId="0377EA03" w14:textId="7221695B" w:rsidR="00017A0C" w:rsidRPr="00BC2D1E" w:rsidRDefault="00017A0C" w:rsidP="00017A0C">
            <w:pPr>
              <w:jc w:val="right"/>
              <w:rPr>
                <w:rFonts w:ascii="Arial" w:hAnsi="Arial" w:cs="Arial"/>
                <w:sz w:val="18"/>
                <w:szCs w:val="18"/>
                <w:lang w:val="en-GB"/>
              </w:rPr>
            </w:pPr>
            <w:r>
              <w:rPr>
                <w:rFonts w:ascii="Arial" w:hAnsi="Arial" w:cs="Arial"/>
                <w:sz w:val="18"/>
                <w:szCs w:val="18"/>
                <w:lang w:val="en-GB" w:eastAsia="bg-BG"/>
              </w:rPr>
              <w:t>-</w:t>
            </w:r>
          </w:p>
        </w:tc>
        <w:tc>
          <w:tcPr>
            <w:tcW w:w="160" w:type="dxa"/>
            <w:vAlign w:val="center"/>
          </w:tcPr>
          <w:p w14:paraId="2A591456" w14:textId="77777777" w:rsidR="00017A0C" w:rsidRPr="00BC2D1E" w:rsidRDefault="00017A0C" w:rsidP="00017A0C">
            <w:pPr>
              <w:jc w:val="right"/>
              <w:rPr>
                <w:rFonts w:ascii="Arial" w:hAnsi="Arial" w:cs="Arial"/>
                <w:sz w:val="18"/>
                <w:szCs w:val="18"/>
                <w:lang w:val="en-GB"/>
              </w:rPr>
            </w:pPr>
          </w:p>
        </w:tc>
        <w:tc>
          <w:tcPr>
            <w:tcW w:w="1260" w:type="dxa"/>
            <w:vAlign w:val="center"/>
          </w:tcPr>
          <w:p w14:paraId="366DF744" w14:textId="040A376F" w:rsidR="00017A0C" w:rsidRPr="00BC2D1E" w:rsidRDefault="00017A0C" w:rsidP="00017A0C">
            <w:pPr>
              <w:jc w:val="right"/>
              <w:rPr>
                <w:rFonts w:ascii="Arial" w:hAnsi="Arial" w:cs="Arial"/>
                <w:sz w:val="18"/>
                <w:szCs w:val="18"/>
                <w:lang w:val="en-GB"/>
              </w:rPr>
            </w:pPr>
            <w:r>
              <w:rPr>
                <w:rFonts w:ascii="Arial" w:hAnsi="Arial" w:cs="Arial"/>
                <w:sz w:val="18"/>
                <w:szCs w:val="18"/>
                <w:lang w:val="en-GB" w:eastAsia="bg-BG"/>
              </w:rPr>
              <w:t>-</w:t>
            </w:r>
          </w:p>
        </w:tc>
      </w:tr>
      <w:tr w:rsidR="00017A0C" w:rsidRPr="00721663" w14:paraId="41A6B1A7" w14:textId="77777777" w:rsidTr="00551604">
        <w:trPr>
          <w:trHeight w:hRule="exact" w:val="318"/>
        </w:trPr>
        <w:tc>
          <w:tcPr>
            <w:tcW w:w="3331" w:type="dxa"/>
            <w:tcBorders>
              <w:top w:val="nil"/>
              <w:left w:val="nil"/>
              <w:bottom w:val="nil"/>
              <w:right w:val="nil"/>
            </w:tcBorders>
            <w:shd w:val="clear" w:color="auto" w:fill="auto"/>
            <w:noWrap/>
            <w:vAlign w:val="center"/>
            <w:hideMark/>
          </w:tcPr>
          <w:p w14:paraId="12A2B7B0" w14:textId="77777777" w:rsidR="00017A0C" w:rsidRPr="00BC2D1E" w:rsidRDefault="00017A0C" w:rsidP="00017A0C">
            <w:pPr>
              <w:jc w:val="left"/>
              <w:rPr>
                <w:rFonts w:ascii="Arial" w:hAnsi="Arial" w:cs="Arial"/>
                <w:sz w:val="18"/>
                <w:szCs w:val="18"/>
                <w:lang w:val="en-GB"/>
              </w:rPr>
            </w:pPr>
            <w:r w:rsidRPr="00BC2D1E">
              <w:rPr>
                <w:rFonts w:ascii="Arial" w:hAnsi="Arial" w:cs="Arial"/>
                <w:sz w:val="18"/>
                <w:szCs w:val="18"/>
                <w:lang w:val="en-GB"/>
              </w:rPr>
              <w:t>2012</w:t>
            </w:r>
          </w:p>
        </w:tc>
        <w:tc>
          <w:tcPr>
            <w:tcW w:w="160" w:type="dxa"/>
            <w:tcBorders>
              <w:top w:val="nil"/>
              <w:left w:val="nil"/>
              <w:bottom w:val="nil"/>
              <w:right w:val="nil"/>
            </w:tcBorders>
            <w:shd w:val="clear" w:color="auto" w:fill="auto"/>
            <w:noWrap/>
            <w:vAlign w:val="bottom"/>
            <w:hideMark/>
          </w:tcPr>
          <w:p w14:paraId="076D9E74" w14:textId="77777777" w:rsidR="00017A0C" w:rsidRPr="00BC2D1E" w:rsidRDefault="00017A0C" w:rsidP="00017A0C">
            <w:pPr>
              <w:jc w:val="left"/>
              <w:rPr>
                <w:rFonts w:ascii="Arial" w:hAnsi="Arial" w:cs="Arial"/>
                <w:sz w:val="18"/>
                <w:szCs w:val="18"/>
                <w:lang w:val="en-GB"/>
              </w:rPr>
            </w:pPr>
          </w:p>
        </w:tc>
        <w:tc>
          <w:tcPr>
            <w:tcW w:w="2249" w:type="dxa"/>
            <w:tcBorders>
              <w:top w:val="nil"/>
              <w:left w:val="nil"/>
              <w:bottom w:val="nil"/>
              <w:right w:val="nil"/>
            </w:tcBorders>
            <w:shd w:val="clear" w:color="auto" w:fill="auto"/>
            <w:noWrap/>
            <w:vAlign w:val="center"/>
            <w:hideMark/>
          </w:tcPr>
          <w:p w14:paraId="13646E82" w14:textId="77777777" w:rsidR="00017A0C" w:rsidRPr="00BC2D1E" w:rsidRDefault="00017A0C" w:rsidP="00017A0C">
            <w:pPr>
              <w:jc w:val="right"/>
              <w:rPr>
                <w:rFonts w:ascii="Arial" w:hAnsi="Arial" w:cs="Arial"/>
                <w:sz w:val="18"/>
                <w:szCs w:val="18"/>
                <w:lang w:val="en-GB"/>
              </w:rPr>
            </w:pPr>
            <w:r w:rsidRPr="00BC2D1E">
              <w:rPr>
                <w:rFonts w:ascii="Arial" w:hAnsi="Arial" w:cs="Arial"/>
                <w:sz w:val="18"/>
                <w:szCs w:val="18"/>
                <w:lang w:val="en-GB"/>
              </w:rPr>
              <w:t>2013-2017</w:t>
            </w:r>
          </w:p>
        </w:tc>
        <w:tc>
          <w:tcPr>
            <w:tcW w:w="160" w:type="dxa"/>
            <w:vAlign w:val="center"/>
          </w:tcPr>
          <w:p w14:paraId="0EF024B5" w14:textId="77777777" w:rsidR="00017A0C" w:rsidRPr="00BC2D1E" w:rsidRDefault="00017A0C" w:rsidP="00017A0C">
            <w:pPr>
              <w:jc w:val="right"/>
              <w:rPr>
                <w:rFonts w:ascii="Arial" w:hAnsi="Arial" w:cs="Arial"/>
                <w:sz w:val="18"/>
                <w:szCs w:val="18"/>
                <w:lang w:val="en-GB"/>
              </w:rPr>
            </w:pPr>
          </w:p>
        </w:tc>
        <w:tc>
          <w:tcPr>
            <w:tcW w:w="1276" w:type="dxa"/>
            <w:vAlign w:val="center"/>
          </w:tcPr>
          <w:p w14:paraId="2DBCDF10" w14:textId="111FA27B" w:rsidR="00017A0C" w:rsidRPr="00BC2D1E" w:rsidRDefault="00017A0C" w:rsidP="00017A0C">
            <w:pPr>
              <w:jc w:val="right"/>
              <w:rPr>
                <w:rFonts w:ascii="Arial" w:hAnsi="Arial" w:cs="Arial"/>
                <w:sz w:val="18"/>
                <w:szCs w:val="18"/>
                <w:lang w:val="en-GB"/>
              </w:rPr>
            </w:pPr>
            <w:r>
              <w:rPr>
                <w:rFonts w:ascii="Arial" w:hAnsi="Arial" w:cs="Arial"/>
                <w:sz w:val="18"/>
                <w:szCs w:val="18"/>
                <w:lang w:val="en-GB" w:eastAsia="bg-BG"/>
              </w:rPr>
              <w:t>(21)</w:t>
            </w:r>
          </w:p>
        </w:tc>
        <w:tc>
          <w:tcPr>
            <w:tcW w:w="160" w:type="dxa"/>
            <w:vAlign w:val="center"/>
          </w:tcPr>
          <w:p w14:paraId="41C64234" w14:textId="77777777" w:rsidR="00017A0C" w:rsidRPr="00BC2D1E" w:rsidRDefault="00017A0C" w:rsidP="00017A0C">
            <w:pPr>
              <w:jc w:val="right"/>
              <w:rPr>
                <w:rFonts w:ascii="Arial" w:hAnsi="Arial" w:cs="Arial"/>
                <w:sz w:val="18"/>
                <w:szCs w:val="18"/>
                <w:lang w:val="en-GB"/>
              </w:rPr>
            </w:pPr>
          </w:p>
        </w:tc>
        <w:tc>
          <w:tcPr>
            <w:tcW w:w="1260" w:type="dxa"/>
            <w:vAlign w:val="center"/>
          </w:tcPr>
          <w:p w14:paraId="6DE6931D" w14:textId="40C44CB6" w:rsidR="00017A0C" w:rsidRPr="00BC2D1E" w:rsidRDefault="00017A0C" w:rsidP="00017A0C">
            <w:pPr>
              <w:jc w:val="right"/>
              <w:rPr>
                <w:rFonts w:ascii="Arial" w:hAnsi="Arial" w:cs="Arial"/>
                <w:sz w:val="18"/>
                <w:szCs w:val="18"/>
                <w:lang w:val="en-GB"/>
              </w:rPr>
            </w:pPr>
            <w:r>
              <w:rPr>
                <w:rFonts w:ascii="Arial" w:hAnsi="Arial" w:cs="Arial"/>
                <w:sz w:val="18"/>
                <w:szCs w:val="18"/>
                <w:lang w:val="en-GB" w:eastAsia="bg-BG"/>
              </w:rPr>
              <w:t>(21)</w:t>
            </w:r>
          </w:p>
        </w:tc>
      </w:tr>
      <w:tr w:rsidR="00017A0C" w:rsidRPr="00721663" w14:paraId="5C3CBD38" w14:textId="77777777" w:rsidTr="00551604">
        <w:trPr>
          <w:trHeight w:hRule="exact" w:val="318"/>
        </w:trPr>
        <w:tc>
          <w:tcPr>
            <w:tcW w:w="3331" w:type="dxa"/>
            <w:tcBorders>
              <w:top w:val="nil"/>
              <w:left w:val="nil"/>
              <w:bottom w:val="nil"/>
              <w:right w:val="nil"/>
            </w:tcBorders>
            <w:shd w:val="clear" w:color="auto" w:fill="auto"/>
            <w:noWrap/>
            <w:vAlign w:val="center"/>
          </w:tcPr>
          <w:p w14:paraId="32FA1FB9" w14:textId="77777777" w:rsidR="00017A0C" w:rsidRPr="00BC2D1E" w:rsidRDefault="00017A0C" w:rsidP="00017A0C">
            <w:pPr>
              <w:jc w:val="left"/>
              <w:rPr>
                <w:rFonts w:ascii="Arial" w:hAnsi="Arial" w:cs="Arial"/>
                <w:sz w:val="18"/>
                <w:szCs w:val="18"/>
                <w:lang w:val="en-GB"/>
              </w:rPr>
            </w:pPr>
            <w:r w:rsidRPr="00BC2D1E">
              <w:rPr>
                <w:rFonts w:ascii="Arial" w:hAnsi="Arial" w:cs="Arial"/>
                <w:sz w:val="18"/>
                <w:szCs w:val="18"/>
                <w:lang w:val="en-GB"/>
              </w:rPr>
              <w:t>2013</w:t>
            </w:r>
          </w:p>
        </w:tc>
        <w:tc>
          <w:tcPr>
            <w:tcW w:w="160" w:type="dxa"/>
            <w:tcBorders>
              <w:top w:val="nil"/>
              <w:left w:val="nil"/>
              <w:bottom w:val="nil"/>
              <w:right w:val="nil"/>
            </w:tcBorders>
            <w:shd w:val="clear" w:color="auto" w:fill="auto"/>
            <w:noWrap/>
            <w:vAlign w:val="bottom"/>
          </w:tcPr>
          <w:p w14:paraId="409FBDB2" w14:textId="77777777" w:rsidR="00017A0C" w:rsidRPr="00BC2D1E" w:rsidRDefault="00017A0C" w:rsidP="00017A0C">
            <w:pPr>
              <w:jc w:val="left"/>
              <w:rPr>
                <w:rFonts w:ascii="Arial" w:hAnsi="Arial" w:cs="Arial"/>
                <w:sz w:val="18"/>
                <w:szCs w:val="18"/>
                <w:lang w:val="en-GB"/>
              </w:rPr>
            </w:pPr>
          </w:p>
        </w:tc>
        <w:tc>
          <w:tcPr>
            <w:tcW w:w="2249" w:type="dxa"/>
            <w:tcBorders>
              <w:top w:val="nil"/>
              <w:left w:val="nil"/>
              <w:bottom w:val="nil"/>
              <w:right w:val="nil"/>
            </w:tcBorders>
            <w:shd w:val="clear" w:color="auto" w:fill="auto"/>
            <w:noWrap/>
            <w:vAlign w:val="center"/>
          </w:tcPr>
          <w:p w14:paraId="4B3D2610" w14:textId="77777777" w:rsidR="00017A0C" w:rsidRPr="00BC2D1E" w:rsidRDefault="00017A0C" w:rsidP="00017A0C">
            <w:pPr>
              <w:jc w:val="right"/>
              <w:rPr>
                <w:rFonts w:ascii="Arial" w:hAnsi="Arial" w:cs="Arial"/>
                <w:sz w:val="18"/>
                <w:szCs w:val="18"/>
                <w:lang w:val="en-GB"/>
              </w:rPr>
            </w:pPr>
            <w:r w:rsidRPr="00BC2D1E">
              <w:rPr>
                <w:rFonts w:ascii="Arial" w:hAnsi="Arial" w:cs="Arial"/>
                <w:sz w:val="18"/>
                <w:szCs w:val="18"/>
                <w:lang w:val="en-GB"/>
              </w:rPr>
              <w:t>2014-2018</w:t>
            </w:r>
          </w:p>
        </w:tc>
        <w:tc>
          <w:tcPr>
            <w:tcW w:w="160" w:type="dxa"/>
            <w:vAlign w:val="center"/>
          </w:tcPr>
          <w:p w14:paraId="03EA09D6" w14:textId="77777777" w:rsidR="00017A0C" w:rsidRPr="00BC2D1E" w:rsidRDefault="00017A0C" w:rsidP="00017A0C">
            <w:pPr>
              <w:jc w:val="right"/>
              <w:rPr>
                <w:rFonts w:ascii="Arial" w:hAnsi="Arial" w:cs="Arial"/>
                <w:sz w:val="18"/>
                <w:szCs w:val="18"/>
                <w:lang w:val="en-GB"/>
              </w:rPr>
            </w:pPr>
          </w:p>
        </w:tc>
        <w:tc>
          <w:tcPr>
            <w:tcW w:w="1276" w:type="dxa"/>
            <w:vAlign w:val="center"/>
          </w:tcPr>
          <w:p w14:paraId="4487F7EF" w14:textId="66A622AB" w:rsidR="00017A0C" w:rsidRPr="00BC2D1E" w:rsidRDefault="00017A0C" w:rsidP="00017A0C">
            <w:pPr>
              <w:jc w:val="right"/>
              <w:rPr>
                <w:rFonts w:ascii="Arial" w:hAnsi="Arial" w:cs="Arial"/>
                <w:sz w:val="18"/>
                <w:szCs w:val="18"/>
                <w:lang w:val="en-GB"/>
              </w:rPr>
            </w:pPr>
            <w:r>
              <w:rPr>
                <w:rFonts w:ascii="Arial" w:hAnsi="Arial" w:cs="Arial"/>
                <w:sz w:val="18"/>
                <w:szCs w:val="18"/>
                <w:lang w:val="en-GB" w:eastAsia="bg-BG"/>
              </w:rPr>
              <w:t>(19)</w:t>
            </w:r>
          </w:p>
        </w:tc>
        <w:tc>
          <w:tcPr>
            <w:tcW w:w="160" w:type="dxa"/>
            <w:vAlign w:val="center"/>
          </w:tcPr>
          <w:p w14:paraId="2F3F7793" w14:textId="77777777" w:rsidR="00017A0C" w:rsidRPr="00BC2D1E" w:rsidRDefault="00017A0C" w:rsidP="00017A0C">
            <w:pPr>
              <w:jc w:val="right"/>
              <w:rPr>
                <w:rFonts w:ascii="Arial" w:hAnsi="Arial" w:cs="Arial"/>
                <w:sz w:val="18"/>
                <w:szCs w:val="18"/>
                <w:lang w:val="en-GB"/>
              </w:rPr>
            </w:pPr>
          </w:p>
        </w:tc>
        <w:tc>
          <w:tcPr>
            <w:tcW w:w="1260" w:type="dxa"/>
            <w:vAlign w:val="center"/>
          </w:tcPr>
          <w:p w14:paraId="30DAFD86" w14:textId="4C5BAE26" w:rsidR="00017A0C" w:rsidRPr="00BC2D1E" w:rsidRDefault="00017A0C" w:rsidP="00017A0C">
            <w:pPr>
              <w:jc w:val="right"/>
              <w:rPr>
                <w:rFonts w:ascii="Arial" w:hAnsi="Arial" w:cs="Arial"/>
                <w:sz w:val="18"/>
                <w:szCs w:val="18"/>
                <w:lang w:val="en-GB"/>
              </w:rPr>
            </w:pPr>
            <w:r>
              <w:rPr>
                <w:rFonts w:ascii="Arial" w:hAnsi="Arial" w:cs="Arial"/>
                <w:sz w:val="18"/>
                <w:szCs w:val="18"/>
                <w:lang w:val="en-GB" w:eastAsia="bg-BG"/>
              </w:rPr>
              <w:t>(19)</w:t>
            </w:r>
          </w:p>
        </w:tc>
      </w:tr>
      <w:tr w:rsidR="00017A0C" w:rsidRPr="00721663" w14:paraId="554DBDCB" w14:textId="77777777" w:rsidTr="00551604">
        <w:trPr>
          <w:trHeight w:hRule="exact" w:val="318"/>
        </w:trPr>
        <w:tc>
          <w:tcPr>
            <w:tcW w:w="3331" w:type="dxa"/>
            <w:tcBorders>
              <w:top w:val="nil"/>
              <w:left w:val="nil"/>
              <w:bottom w:val="nil"/>
              <w:right w:val="nil"/>
            </w:tcBorders>
            <w:shd w:val="clear" w:color="auto" w:fill="auto"/>
            <w:noWrap/>
            <w:vAlign w:val="center"/>
          </w:tcPr>
          <w:p w14:paraId="2133E862" w14:textId="77777777" w:rsidR="00017A0C" w:rsidRPr="00BC2D1E" w:rsidRDefault="00017A0C" w:rsidP="00017A0C">
            <w:pPr>
              <w:jc w:val="left"/>
              <w:rPr>
                <w:rFonts w:ascii="Arial" w:hAnsi="Arial" w:cs="Arial"/>
                <w:sz w:val="18"/>
                <w:szCs w:val="18"/>
                <w:lang w:val="en-GB"/>
              </w:rPr>
            </w:pPr>
            <w:r>
              <w:rPr>
                <w:rFonts w:ascii="Arial" w:hAnsi="Arial" w:cs="Arial"/>
                <w:sz w:val="18"/>
                <w:szCs w:val="18"/>
                <w:lang w:val="en-GB"/>
              </w:rPr>
              <w:t>2015</w:t>
            </w:r>
          </w:p>
        </w:tc>
        <w:tc>
          <w:tcPr>
            <w:tcW w:w="160" w:type="dxa"/>
            <w:tcBorders>
              <w:top w:val="nil"/>
              <w:left w:val="nil"/>
              <w:bottom w:val="nil"/>
              <w:right w:val="nil"/>
            </w:tcBorders>
            <w:shd w:val="clear" w:color="auto" w:fill="auto"/>
            <w:noWrap/>
            <w:vAlign w:val="bottom"/>
          </w:tcPr>
          <w:p w14:paraId="5F66C5AD" w14:textId="77777777" w:rsidR="00017A0C" w:rsidRPr="00BC2D1E" w:rsidRDefault="00017A0C" w:rsidP="00017A0C">
            <w:pPr>
              <w:jc w:val="left"/>
              <w:rPr>
                <w:rFonts w:ascii="Arial" w:hAnsi="Arial" w:cs="Arial"/>
                <w:sz w:val="18"/>
                <w:szCs w:val="18"/>
                <w:lang w:val="en-GB"/>
              </w:rPr>
            </w:pPr>
          </w:p>
        </w:tc>
        <w:tc>
          <w:tcPr>
            <w:tcW w:w="2249" w:type="dxa"/>
            <w:tcBorders>
              <w:top w:val="nil"/>
              <w:left w:val="nil"/>
              <w:bottom w:val="nil"/>
              <w:right w:val="nil"/>
            </w:tcBorders>
            <w:shd w:val="clear" w:color="auto" w:fill="auto"/>
            <w:noWrap/>
            <w:vAlign w:val="center"/>
          </w:tcPr>
          <w:p w14:paraId="04BA6208" w14:textId="77777777" w:rsidR="00017A0C" w:rsidRPr="00BC2D1E" w:rsidRDefault="00017A0C" w:rsidP="00017A0C">
            <w:pPr>
              <w:jc w:val="right"/>
              <w:rPr>
                <w:rFonts w:ascii="Arial" w:hAnsi="Arial" w:cs="Arial"/>
                <w:sz w:val="18"/>
                <w:szCs w:val="18"/>
                <w:lang w:val="en-GB"/>
              </w:rPr>
            </w:pPr>
            <w:r>
              <w:rPr>
                <w:rFonts w:ascii="Arial" w:hAnsi="Arial" w:cs="Arial"/>
                <w:sz w:val="18"/>
                <w:szCs w:val="18"/>
                <w:lang w:val="en-GB"/>
              </w:rPr>
              <w:t>2016-2020</w:t>
            </w:r>
          </w:p>
        </w:tc>
        <w:tc>
          <w:tcPr>
            <w:tcW w:w="160" w:type="dxa"/>
            <w:vAlign w:val="center"/>
          </w:tcPr>
          <w:p w14:paraId="7D4F7AC2" w14:textId="77777777" w:rsidR="00017A0C" w:rsidRPr="00BC2D1E" w:rsidRDefault="00017A0C" w:rsidP="00017A0C">
            <w:pPr>
              <w:jc w:val="right"/>
              <w:rPr>
                <w:rFonts w:ascii="Arial" w:hAnsi="Arial" w:cs="Arial"/>
                <w:sz w:val="18"/>
                <w:szCs w:val="18"/>
                <w:lang w:val="en-GB"/>
              </w:rPr>
            </w:pPr>
          </w:p>
        </w:tc>
        <w:tc>
          <w:tcPr>
            <w:tcW w:w="1276" w:type="dxa"/>
            <w:vAlign w:val="center"/>
          </w:tcPr>
          <w:p w14:paraId="6D256AF8" w14:textId="2976ABC6" w:rsidR="00017A0C" w:rsidRPr="00BC2D1E" w:rsidRDefault="00017A0C" w:rsidP="00017A0C">
            <w:pPr>
              <w:jc w:val="right"/>
              <w:rPr>
                <w:rFonts w:ascii="Arial" w:hAnsi="Arial" w:cs="Arial"/>
                <w:sz w:val="18"/>
                <w:szCs w:val="18"/>
                <w:lang w:val="en-GB"/>
              </w:rPr>
            </w:pPr>
            <w:r>
              <w:rPr>
                <w:rFonts w:ascii="Arial" w:hAnsi="Arial" w:cs="Arial"/>
                <w:sz w:val="18"/>
                <w:szCs w:val="18"/>
                <w:lang w:val="en-GB" w:eastAsia="bg-BG"/>
              </w:rPr>
              <w:t>(21)</w:t>
            </w:r>
          </w:p>
        </w:tc>
        <w:tc>
          <w:tcPr>
            <w:tcW w:w="160" w:type="dxa"/>
            <w:vAlign w:val="center"/>
          </w:tcPr>
          <w:p w14:paraId="4F85AE18" w14:textId="77777777" w:rsidR="00017A0C" w:rsidRPr="00BC2D1E" w:rsidRDefault="00017A0C" w:rsidP="00017A0C">
            <w:pPr>
              <w:jc w:val="right"/>
              <w:rPr>
                <w:rFonts w:ascii="Arial" w:hAnsi="Arial" w:cs="Arial"/>
                <w:sz w:val="18"/>
                <w:szCs w:val="18"/>
                <w:lang w:val="en-GB"/>
              </w:rPr>
            </w:pPr>
          </w:p>
        </w:tc>
        <w:tc>
          <w:tcPr>
            <w:tcW w:w="1260" w:type="dxa"/>
            <w:vAlign w:val="center"/>
          </w:tcPr>
          <w:p w14:paraId="5674AE40" w14:textId="08F9A8EA" w:rsidR="00017A0C" w:rsidRPr="00BC2D1E" w:rsidRDefault="00017A0C" w:rsidP="00017A0C">
            <w:pPr>
              <w:jc w:val="right"/>
              <w:rPr>
                <w:rFonts w:ascii="Arial" w:hAnsi="Arial" w:cs="Arial"/>
                <w:sz w:val="18"/>
                <w:szCs w:val="18"/>
                <w:lang w:val="en-GB"/>
              </w:rPr>
            </w:pPr>
            <w:r>
              <w:rPr>
                <w:rFonts w:ascii="Arial" w:hAnsi="Arial" w:cs="Arial"/>
                <w:sz w:val="18"/>
                <w:szCs w:val="18"/>
                <w:lang w:val="en-GB" w:eastAsia="bg-BG"/>
              </w:rPr>
              <w:t>(21)</w:t>
            </w:r>
          </w:p>
        </w:tc>
      </w:tr>
      <w:tr w:rsidR="00017A0C" w:rsidRPr="00721663" w14:paraId="3D188865" w14:textId="77777777" w:rsidTr="00551604">
        <w:trPr>
          <w:trHeight w:hRule="exact" w:val="318"/>
        </w:trPr>
        <w:tc>
          <w:tcPr>
            <w:tcW w:w="3331" w:type="dxa"/>
            <w:tcBorders>
              <w:top w:val="nil"/>
              <w:left w:val="nil"/>
              <w:bottom w:val="nil"/>
              <w:right w:val="nil"/>
            </w:tcBorders>
            <w:shd w:val="clear" w:color="auto" w:fill="auto"/>
            <w:noWrap/>
            <w:vAlign w:val="center"/>
          </w:tcPr>
          <w:p w14:paraId="2276E7D8" w14:textId="77777777" w:rsidR="00017A0C" w:rsidRPr="00BC2D1E" w:rsidRDefault="00017A0C" w:rsidP="00017A0C">
            <w:pPr>
              <w:jc w:val="left"/>
              <w:rPr>
                <w:rFonts w:ascii="Arial" w:hAnsi="Arial" w:cs="Arial"/>
                <w:sz w:val="18"/>
                <w:szCs w:val="18"/>
                <w:lang w:val="en-GB"/>
              </w:rPr>
            </w:pPr>
            <w:r>
              <w:rPr>
                <w:rFonts w:ascii="Arial" w:hAnsi="Arial" w:cs="Arial"/>
                <w:sz w:val="18"/>
                <w:szCs w:val="18"/>
                <w:lang w:val="en-GB"/>
              </w:rPr>
              <w:t>2016</w:t>
            </w:r>
          </w:p>
        </w:tc>
        <w:tc>
          <w:tcPr>
            <w:tcW w:w="160" w:type="dxa"/>
            <w:tcBorders>
              <w:top w:val="nil"/>
              <w:left w:val="nil"/>
              <w:bottom w:val="nil"/>
              <w:right w:val="nil"/>
            </w:tcBorders>
            <w:shd w:val="clear" w:color="auto" w:fill="auto"/>
            <w:noWrap/>
            <w:vAlign w:val="bottom"/>
          </w:tcPr>
          <w:p w14:paraId="46A90DCE" w14:textId="77777777" w:rsidR="00017A0C" w:rsidRPr="00BC2D1E" w:rsidRDefault="00017A0C" w:rsidP="00017A0C">
            <w:pPr>
              <w:jc w:val="left"/>
              <w:rPr>
                <w:rFonts w:ascii="Arial" w:hAnsi="Arial" w:cs="Arial"/>
                <w:sz w:val="18"/>
                <w:szCs w:val="18"/>
                <w:lang w:val="en-GB"/>
              </w:rPr>
            </w:pPr>
          </w:p>
        </w:tc>
        <w:tc>
          <w:tcPr>
            <w:tcW w:w="2249" w:type="dxa"/>
            <w:tcBorders>
              <w:top w:val="nil"/>
              <w:left w:val="nil"/>
              <w:bottom w:val="nil"/>
              <w:right w:val="nil"/>
            </w:tcBorders>
            <w:shd w:val="clear" w:color="auto" w:fill="auto"/>
            <w:noWrap/>
            <w:vAlign w:val="center"/>
          </w:tcPr>
          <w:p w14:paraId="5E83647C" w14:textId="77777777" w:rsidR="00017A0C" w:rsidRPr="00BC2D1E" w:rsidRDefault="00017A0C" w:rsidP="00017A0C">
            <w:pPr>
              <w:jc w:val="right"/>
              <w:rPr>
                <w:rFonts w:ascii="Arial" w:hAnsi="Arial" w:cs="Arial"/>
                <w:sz w:val="18"/>
                <w:szCs w:val="18"/>
                <w:lang w:val="en-GB"/>
              </w:rPr>
            </w:pPr>
            <w:r w:rsidRPr="00BC2D1E">
              <w:rPr>
                <w:rFonts w:ascii="Arial" w:hAnsi="Arial" w:cs="Arial"/>
                <w:sz w:val="18"/>
                <w:szCs w:val="18"/>
                <w:lang w:val="en-GB"/>
              </w:rPr>
              <w:t>2</w:t>
            </w:r>
            <w:r>
              <w:rPr>
                <w:rFonts w:ascii="Arial" w:hAnsi="Arial" w:cs="Arial"/>
                <w:sz w:val="18"/>
                <w:szCs w:val="18"/>
                <w:lang w:val="en-GB"/>
              </w:rPr>
              <w:t>017-</w:t>
            </w:r>
            <w:r w:rsidRPr="00BC2D1E">
              <w:rPr>
                <w:rFonts w:ascii="Arial" w:hAnsi="Arial" w:cs="Arial"/>
                <w:sz w:val="18"/>
                <w:szCs w:val="18"/>
                <w:lang w:val="en-GB"/>
              </w:rPr>
              <w:t>202</w:t>
            </w:r>
            <w:r>
              <w:rPr>
                <w:rFonts w:ascii="Arial" w:hAnsi="Arial" w:cs="Arial"/>
                <w:sz w:val="18"/>
                <w:szCs w:val="18"/>
                <w:lang w:val="en-GB"/>
              </w:rPr>
              <w:t>1</w:t>
            </w:r>
          </w:p>
        </w:tc>
        <w:tc>
          <w:tcPr>
            <w:tcW w:w="160" w:type="dxa"/>
            <w:vAlign w:val="center"/>
          </w:tcPr>
          <w:p w14:paraId="71B2E247" w14:textId="77777777" w:rsidR="00017A0C" w:rsidRPr="00BC2D1E" w:rsidRDefault="00017A0C" w:rsidP="00017A0C">
            <w:pPr>
              <w:jc w:val="right"/>
              <w:rPr>
                <w:rFonts w:ascii="Arial" w:hAnsi="Arial" w:cs="Arial"/>
                <w:sz w:val="18"/>
                <w:szCs w:val="18"/>
                <w:lang w:val="en-GB"/>
              </w:rPr>
            </w:pPr>
          </w:p>
        </w:tc>
        <w:tc>
          <w:tcPr>
            <w:tcW w:w="1276" w:type="dxa"/>
            <w:vAlign w:val="center"/>
          </w:tcPr>
          <w:p w14:paraId="769FB9F2" w14:textId="47EEFF19" w:rsidR="00017A0C" w:rsidRPr="00BC2D1E" w:rsidRDefault="00017A0C" w:rsidP="00017A0C">
            <w:pPr>
              <w:jc w:val="right"/>
              <w:rPr>
                <w:rFonts w:ascii="Arial" w:hAnsi="Arial" w:cs="Arial"/>
                <w:sz w:val="18"/>
                <w:szCs w:val="18"/>
                <w:lang w:val="en-GB"/>
              </w:rPr>
            </w:pPr>
            <w:r>
              <w:rPr>
                <w:rFonts w:ascii="Arial" w:hAnsi="Arial" w:cs="Arial"/>
                <w:sz w:val="18"/>
                <w:szCs w:val="18"/>
                <w:lang w:val="en-GB" w:eastAsia="bg-BG"/>
              </w:rPr>
              <w:t>(11)</w:t>
            </w:r>
          </w:p>
        </w:tc>
        <w:tc>
          <w:tcPr>
            <w:tcW w:w="160" w:type="dxa"/>
            <w:vAlign w:val="center"/>
          </w:tcPr>
          <w:p w14:paraId="68AD785D" w14:textId="77777777" w:rsidR="00017A0C" w:rsidRPr="00BC2D1E" w:rsidRDefault="00017A0C" w:rsidP="00017A0C">
            <w:pPr>
              <w:jc w:val="right"/>
              <w:rPr>
                <w:rFonts w:ascii="Arial" w:hAnsi="Arial" w:cs="Arial"/>
                <w:sz w:val="18"/>
                <w:szCs w:val="18"/>
                <w:lang w:val="en-GB"/>
              </w:rPr>
            </w:pPr>
          </w:p>
        </w:tc>
        <w:tc>
          <w:tcPr>
            <w:tcW w:w="1260" w:type="dxa"/>
            <w:vAlign w:val="center"/>
          </w:tcPr>
          <w:p w14:paraId="61EF86F0" w14:textId="14999F72" w:rsidR="00017A0C" w:rsidRPr="00BC2D1E" w:rsidRDefault="00017A0C" w:rsidP="00017A0C">
            <w:pPr>
              <w:jc w:val="right"/>
              <w:rPr>
                <w:rFonts w:ascii="Arial" w:hAnsi="Arial" w:cs="Arial"/>
                <w:sz w:val="18"/>
                <w:szCs w:val="18"/>
                <w:lang w:val="en-GB"/>
              </w:rPr>
            </w:pPr>
            <w:r>
              <w:rPr>
                <w:rFonts w:ascii="Arial" w:hAnsi="Arial" w:cs="Arial"/>
                <w:sz w:val="18"/>
                <w:szCs w:val="18"/>
                <w:lang w:val="en-GB" w:eastAsia="bg-BG"/>
              </w:rPr>
              <w:t>(11)</w:t>
            </w:r>
          </w:p>
        </w:tc>
      </w:tr>
      <w:tr w:rsidR="00017A0C" w:rsidRPr="00721663" w14:paraId="20DDFE27" w14:textId="77777777" w:rsidTr="00551604">
        <w:trPr>
          <w:trHeight w:hRule="exact" w:val="318"/>
        </w:trPr>
        <w:tc>
          <w:tcPr>
            <w:tcW w:w="3331" w:type="dxa"/>
            <w:tcBorders>
              <w:top w:val="nil"/>
              <w:left w:val="nil"/>
              <w:bottom w:val="nil"/>
              <w:right w:val="nil"/>
            </w:tcBorders>
            <w:shd w:val="clear" w:color="auto" w:fill="auto"/>
            <w:noWrap/>
            <w:vAlign w:val="center"/>
          </w:tcPr>
          <w:p w14:paraId="00FDABCC" w14:textId="7F6BE51F" w:rsidR="00017A0C" w:rsidRPr="00017A0C" w:rsidRDefault="00017A0C" w:rsidP="00017A0C">
            <w:pPr>
              <w:jc w:val="left"/>
              <w:rPr>
                <w:rFonts w:ascii="Arial" w:hAnsi="Arial" w:cs="Arial"/>
                <w:sz w:val="18"/>
                <w:szCs w:val="18"/>
                <w:lang w:val="bg-BG"/>
              </w:rPr>
            </w:pPr>
            <w:r>
              <w:rPr>
                <w:rFonts w:ascii="Arial" w:hAnsi="Arial" w:cs="Arial"/>
                <w:sz w:val="18"/>
                <w:szCs w:val="18"/>
                <w:lang w:val="bg-BG"/>
              </w:rPr>
              <w:t>2017</w:t>
            </w:r>
          </w:p>
        </w:tc>
        <w:tc>
          <w:tcPr>
            <w:tcW w:w="160" w:type="dxa"/>
            <w:tcBorders>
              <w:top w:val="nil"/>
              <w:left w:val="nil"/>
              <w:bottom w:val="nil"/>
              <w:right w:val="nil"/>
            </w:tcBorders>
            <w:shd w:val="clear" w:color="auto" w:fill="auto"/>
            <w:noWrap/>
            <w:vAlign w:val="bottom"/>
          </w:tcPr>
          <w:p w14:paraId="1EB44FC2" w14:textId="77777777" w:rsidR="00017A0C" w:rsidRPr="00BC2D1E" w:rsidRDefault="00017A0C" w:rsidP="00017A0C">
            <w:pPr>
              <w:jc w:val="left"/>
              <w:rPr>
                <w:rFonts w:ascii="Arial" w:hAnsi="Arial" w:cs="Arial"/>
                <w:sz w:val="18"/>
                <w:szCs w:val="18"/>
                <w:lang w:val="en-GB"/>
              </w:rPr>
            </w:pPr>
          </w:p>
        </w:tc>
        <w:tc>
          <w:tcPr>
            <w:tcW w:w="2249" w:type="dxa"/>
            <w:tcBorders>
              <w:top w:val="nil"/>
              <w:left w:val="nil"/>
              <w:bottom w:val="nil"/>
              <w:right w:val="nil"/>
            </w:tcBorders>
            <w:shd w:val="clear" w:color="auto" w:fill="auto"/>
            <w:noWrap/>
            <w:vAlign w:val="center"/>
          </w:tcPr>
          <w:p w14:paraId="0664841F" w14:textId="6941D6FD" w:rsidR="00017A0C" w:rsidRPr="00017A0C" w:rsidRDefault="00017A0C" w:rsidP="00017A0C">
            <w:pPr>
              <w:jc w:val="right"/>
              <w:rPr>
                <w:rFonts w:ascii="Arial" w:hAnsi="Arial" w:cs="Arial"/>
                <w:sz w:val="18"/>
                <w:szCs w:val="18"/>
                <w:lang w:val="bg-BG"/>
              </w:rPr>
            </w:pPr>
            <w:r>
              <w:rPr>
                <w:rFonts w:ascii="Arial" w:hAnsi="Arial" w:cs="Arial"/>
                <w:sz w:val="18"/>
                <w:szCs w:val="18"/>
                <w:lang w:val="bg-BG"/>
              </w:rPr>
              <w:t>2018-2022</w:t>
            </w:r>
          </w:p>
        </w:tc>
        <w:tc>
          <w:tcPr>
            <w:tcW w:w="160" w:type="dxa"/>
            <w:vAlign w:val="center"/>
          </w:tcPr>
          <w:p w14:paraId="592D528B" w14:textId="77777777" w:rsidR="00017A0C" w:rsidRPr="00BC2D1E" w:rsidRDefault="00017A0C" w:rsidP="00017A0C">
            <w:pPr>
              <w:jc w:val="right"/>
              <w:rPr>
                <w:rFonts w:ascii="Arial" w:hAnsi="Arial" w:cs="Arial"/>
                <w:sz w:val="18"/>
                <w:szCs w:val="18"/>
                <w:lang w:val="en-GB"/>
              </w:rPr>
            </w:pPr>
          </w:p>
        </w:tc>
        <w:tc>
          <w:tcPr>
            <w:tcW w:w="1276" w:type="dxa"/>
            <w:vAlign w:val="center"/>
          </w:tcPr>
          <w:p w14:paraId="3AC4864F" w14:textId="6486860B" w:rsidR="00017A0C" w:rsidRPr="00BC2D1E" w:rsidRDefault="00017A0C" w:rsidP="00017A0C">
            <w:pPr>
              <w:jc w:val="right"/>
              <w:rPr>
                <w:rFonts w:ascii="Arial" w:hAnsi="Arial" w:cs="Arial"/>
                <w:sz w:val="18"/>
                <w:szCs w:val="18"/>
                <w:lang w:val="en-GB"/>
              </w:rPr>
            </w:pPr>
            <w:r>
              <w:rPr>
                <w:rFonts w:ascii="Arial" w:hAnsi="Arial" w:cs="Arial"/>
                <w:sz w:val="18"/>
                <w:szCs w:val="18"/>
                <w:lang w:val="en-GB" w:eastAsia="bg-BG"/>
              </w:rPr>
              <w:t>(5)</w:t>
            </w:r>
          </w:p>
        </w:tc>
        <w:tc>
          <w:tcPr>
            <w:tcW w:w="160" w:type="dxa"/>
            <w:vAlign w:val="center"/>
          </w:tcPr>
          <w:p w14:paraId="206164C2" w14:textId="77777777" w:rsidR="00017A0C" w:rsidRPr="00BC2D1E" w:rsidRDefault="00017A0C" w:rsidP="00017A0C">
            <w:pPr>
              <w:jc w:val="right"/>
              <w:rPr>
                <w:rFonts w:ascii="Arial" w:hAnsi="Arial" w:cs="Arial"/>
                <w:sz w:val="18"/>
                <w:szCs w:val="18"/>
                <w:lang w:val="en-GB"/>
              </w:rPr>
            </w:pPr>
          </w:p>
        </w:tc>
        <w:tc>
          <w:tcPr>
            <w:tcW w:w="1260" w:type="dxa"/>
            <w:vAlign w:val="center"/>
          </w:tcPr>
          <w:p w14:paraId="53633B12" w14:textId="17D14597" w:rsidR="00017A0C" w:rsidRPr="00BC2D1E" w:rsidRDefault="00017A0C" w:rsidP="00017A0C">
            <w:pPr>
              <w:jc w:val="right"/>
              <w:rPr>
                <w:rFonts w:ascii="Arial" w:hAnsi="Arial" w:cs="Arial"/>
                <w:sz w:val="18"/>
                <w:szCs w:val="18"/>
                <w:lang w:val="en-GB"/>
              </w:rPr>
            </w:pPr>
            <w:r>
              <w:rPr>
                <w:rFonts w:ascii="Arial" w:hAnsi="Arial" w:cs="Arial"/>
                <w:sz w:val="18"/>
                <w:szCs w:val="18"/>
                <w:lang w:val="en-GB" w:eastAsia="bg-BG"/>
              </w:rPr>
              <w:t>-</w:t>
            </w:r>
          </w:p>
        </w:tc>
      </w:tr>
      <w:tr w:rsidR="00017A0C" w:rsidRPr="00721663" w14:paraId="7E384A5D" w14:textId="77777777" w:rsidTr="00551604">
        <w:trPr>
          <w:trHeight w:hRule="exact" w:val="318"/>
        </w:trPr>
        <w:tc>
          <w:tcPr>
            <w:tcW w:w="3331" w:type="dxa"/>
            <w:tcBorders>
              <w:top w:val="nil"/>
              <w:left w:val="nil"/>
              <w:bottom w:val="nil"/>
              <w:right w:val="nil"/>
            </w:tcBorders>
            <w:shd w:val="clear" w:color="auto" w:fill="auto"/>
            <w:noWrap/>
            <w:vAlign w:val="center"/>
            <w:hideMark/>
          </w:tcPr>
          <w:p w14:paraId="7135510C" w14:textId="77777777" w:rsidR="00017A0C" w:rsidRPr="00721663" w:rsidRDefault="00017A0C" w:rsidP="00017A0C">
            <w:pPr>
              <w:jc w:val="left"/>
              <w:rPr>
                <w:rFonts w:ascii="Arial" w:hAnsi="Arial" w:cs="Arial"/>
                <w:sz w:val="18"/>
                <w:szCs w:val="18"/>
                <w:lang w:val="bg-BG"/>
              </w:rPr>
            </w:pPr>
            <w:r w:rsidRPr="00721663">
              <w:rPr>
                <w:rFonts w:ascii="Arial" w:hAnsi="Arial" w:cs="Arial"/>
                <w:sz w:val="18"/>
                <w:szCs w:val="18"/>
                <w:lang w:val="bg-BG"/>
              </w:rPr>
              <w:t>Общо пренесена данъчна загуба</w:t>
            </w:r>
          </w:p>
        </w:tc>
        <w:tc>
          <w:tcPr>
            <w:tcW w:w="160" w:type="dxa"/>
            <w:tcBorders>
              <w:top w:val="nil"/>
              <w:left w:val="nil"/>
              <w:bottom w:val="nil"/>
              <w:right w:val="nil"/>
            </w:tcBorders>
            <w:shd w:val="clear" w:color="auto" w:fill="auto"/>
            <w:noWrap/>
            <w:vAlign w:val="bottom"/>
            <w:hideMark/>
          </w:tcPr>
          <w:p w14:paraId="257328B4" w14:textId="77777777" w:rsidR="00017A0C" w:rsidRPr="00721663" w:rsidRDefault="00017A0C" w:rsidP="00017A0C">
            <w:pPr>
              <w:ind w:right="142"/>
              <w:jc w:val="left"/>
              <w:rPr>
                <w:rFonts w:ascii="Arial" w:eastAsia="Arial Unicode MS" w:hAnsi="Arial" w:cs="Arial"/>
                <w:sz w:val="18"/>
                <w:szCs w:val="18"/>
                <w:lang w:val="bg-BG"/>
              </w:rPr>
            </w:pPr>
          </w:p>
        </w:tc>
        <w:tc>
          <w:tcPr>
            <w:tcW w:w="2249" w:type="dxa"/>
            <w:tcBorders>
              <w:top w:val="nil"/>
              <w:left w:val="nil"/>
              <w:bottom w:val="nil"/>
              <w:right w:val="nil"/>
            </w:tcBorders>
            <w:shd w:val="clear" w:color="auto" w:fill="auto"/>
            <w:noWrap/>
            <w:vAlign w:val="center"/>
            <w:hideMark/>
          </w:tcPr>
          <w:p w14:paraId="4DED583B" w14:textId="77777777" w:rsidR="00017A0C" w:rsidRPr="00721663" w:rsidRDefault="00017A0C" w:rsidP="00017A0C">
            <w:pPr>
              <w:jc w:val="right"/>
              <w:rPr>
                <w:rFonts w:ascii="Arial" w:hAnsi="Arial" w:cs="Arial"/>
                <w:sz w:val="18"/>
                <w:szCs w:val="18"/>
                <w:lang w:val="bg-BG"/>
              </w:rPr>
            </w:pPr>
          </w:p>
        </w:tc>
        <w:tc>
          <w:tcPr>
            <w:tcW w:w="160" w:type="dxa"/>
            <w:vAlign w:val="center"/>
          </w:tcPr>
          <w:p w14:paraId="255EBD48" w14:textId="77777777" w:rsidR="00017A0C" w:rsidRPr="00721663" w:rsidRDefault="00017A0C" w:rsidP="00017A0C">
            <w:pPr>
              <w:ind w:right="142"/>
              <w:jc w:val="left"/>
              <w:rPr>
                <w:rFonts w:ascii="Arial" w:eastAsia="Arial Unicode MS" w:hAnsi="Arial" w:cs="Arial"/>
                <w:sz w:val="18"/>
                <w:szCs w:val="18"/>
                <w:lang w:val="bg-BG"/>
              </w:rPr>
            </w:pPr>
          </w:p>
        </w:tc>
        <w:tc>
          <w:tcPr>
            <w:tcW w:w="1276" w:type="dxa"/>
            <w:tcBorders>
              <w:top w:val="single" w:sz="4" w:space="0" w:color="auto"/>
            </w:tcBorders>
            <w:vAlign w:val="center"/>
          </w:tcPr>
          <w:p w14:paraId="3E903192" w14:textId="65C3A73C" w:rsidR="00017A0C" w:rsidRPr="00721663" w:rsidRDefault="00017A0C" w:rsidP="00017A0C">
            <w:pPr>
              <w:jc w:val="right"/>
              <w:rPr>
                <w:rFonts w:ascii="Arial" w:hAnsi="Arial" w:cs="Arial"/>
                <w:b/>
                <w:sz w:val="18"/>
                <w:szCs w:val="18"/>
                <w:lang w:val="bg-BG"/>
              </w:rPr>
            </w:pPr>
            <w:r>
              <w:rPr>
                <w:rFonts w:ascii="Arial" w:hAnsi="Arial" w:cs="Arial"/>
                <w:b/>
                <w:sz w:val="18"/>
                <w:szCs w:val="18"/>
                <w:lang w:val="en-GB" w:eastAsia="bg-BG"/>
              </w:rPr>
              <w:t>(77)</w:t>
            </w:r>
          </w:p>
        </w:tc>
        <w:tc>
          <w:tcPr>
            <w:tcW w:w="160" w:type="dxa"/>
            <w:vAlign w:val="center"/>
          </w:tcPr>
          <w:p w14:paraId="3CCA93A4" w14:textId="77777777" w:rsidR="00017A0C" w:rsidRPr="00721663" w:rsidRDefault="00017A0C" w:rsidP="00017A0C">
            <w:pPr>
              <w:jc w:val="right"/>
              <w:rPr>
                <w:rFonts w:ascii="Arial" w:hAnsi="Arial" w:cs="Arial"/>
                <w:sz w:val="18"/>
                <w:szCs w:val="18"/>
                <w:lang w:val="bg-BG"/>
              </w:rPr>
            </w:pPr>
          </w:p>
        </w:tc>
        <w:tc>
          <w:tcPr>
            <w:tcW w:w="1260" w:type="dxa"/>
            <w:tcBorders>
              <w:top w:val="single" w:sz="4" w:space="0" w:color="auto"/>
            </w:tcBorders>
            <w:vAlign w:val="center"/>
          </w:tcPr>
          <w:p w14:paraId="428EE01B" w14:textId="26768462" w:rsidR="00017A0C" w:rsidRPr="00721663" w:rsidRDefault="00017A0C" w:rsidP="00017A0C">
            <w:pPr>
              <w:jc w:val="right"/>
              <w:rPr>
                <w:rFonts w:ascii="Arial" w:hAnsi="Arial" w:cs="Arial"/>
                <w:b/>
                <w:sz w:val="18"/>
                <w:szCs w:val="18"/>
                <w:lang w:val="bg-BG"/>
              </w:rPr>
            </w:pPr>
            <w:r>
              <w:rPr>
                <w:rFonts w:ascii="Arial" w:hAnsi="Arial" w:cs="Arial"/>
                <w:b/>
                <w:sz w:val="18"/>
                <w:szCs w:val="18"/>
                <w:lang w:val="en-GB" w:eastAsia="bg-BG"/>
              </w:rPr>
              <w:t>(72)</w:t>
            </w:r>
          </w:p>
        </w:tc>
      </w:tr>
      <w:tr w:rsidR="00017A0C" w:rsidRPr="00721663" w14:paraId="7166C32B" w14:textId="77777777" w:rsidTr="00551604">
        <w:trPr>
          <w:trHeight w:hRule="exact" w:val="318"/>
        </w:trPr>
        <w:tc>
          <w:tcPr>
            <w:tcW w:w="3331" w:type="dxa"/>
            <w:tcBorders>
              <w:top w:val="nil"/>
              <w:left w:val="nil"/>
              <w:bottom w:val="nil"/>
              <w:right w:val="nil"/>
            </w:tcBorders>
            <w:shd w:val="clear" w:color="auto" w:fill="auto"/>
            <w:noWrap/>
            <w:vAlign w:val="center"/>
            <w:hideMark/>
          </w:tcPr>
          <w:p w14:paraId="5089DAD4" w14:textId="77777777" w:rsidR="00017A0C" w:rsidRPr="00721663" w:rsidRDefault="00017A0C" w:rsidP="00017A0C">
            <w:pPr>
              <w:jc w:val="left"/>
              <w:rPr>
                <w:rFonts w:ascii="Arial" w:hAnsi="Arial" w:cs="Arial"/>
                <w:sz w:val="18"/>
                <w:szCs w:val="18"/>
                <w:lang w:val="bg-BG"/>
              </w:rPr>
            </w:pPr>
            <w:r w:rsidRPr="00721663">
              <w:rPr>
                <w:rFonts w:ascii="Arial" w:hAnsi="Arial" w:cs="Arial"/>
                <w:sz w:val="18"/>
                <w:szCs w:val="18"/>
                <w:lang w:val="bg-BG"/>
              </w:rPr>
              <w:t>Приложима данъчна ставка</w:t>
            </w:r>
          </w:p>
        </w:tc>
        <w:tc>
          <w:tcPr>
            <w:tcW w:w="160" w:type="dxa"/>
            <w:tcBorders>
              <w:top w:val="nil"/>
              <w:left w:val="nil"/>
              <w:bottom w:val="nil"/>
              <w:right w:val="nil"/>
            </w:tcBorders>
            <w:shd w:val="clear" w:color="auto" w:fill="auto"/>
            <w:noWrap/>
            <w:vAlign w:val="bottom"/>
            <w:hideMark/>
          </w:tcPr>
          <w:p w14:paraId="539CD965" w14:textId="77777777" w:rsidR="00017A0C" w:rsidRPr="00721663" w:rsidRDefault="00017A0C" w:rsidP="00017A0C">
            <w:pPr>
              <w:ind w:right="142"/>
              <w:jc w:val="left"/>
              <w:rPr>
                <w:rFonts w:ascii="Arial" w:eastAsia="Arial Unicode MS" w:hAnsi="Arial" w:cs="Arial"/>
                <w:sz w:val="18"/>
                <w:szCs w:val="18"/>
                <w:lang w:val="bg-BG"/>
              </w:rPr>
            </w:pPr>
          </w:p>
        </w:tc>
        <w:tc>
          <w:tcPr>
            <w:tcW w:w="2249" w:type="dxa"/>
            <w:tcBorders>
              <w:top w:val="nil"/>
              <w:left w:val="nil"/>
              <w:bottom w:val="nil"/>
              <w:right w:val="nil"/>
            </w:tcBorders>
            <w:shd w:val="clear" w:color="auto" w:fill="auto"/>
            <w:noWrap/>
            <w:vAlign w:val="center"/>
            <w:hideMark/>
          </w:tcPr>
          <w:p w14:paraId="434CE47D" w14:textId="77777777" w:rsidR="00017A0C" w:rsidRPr="00721663" w:rsidRDefault="00017A0C" w:rsidP="00017A0C">
            <w:pPr>
              <w:jc w:val="right"/>
              <w:rPr>
                <w:rFonts w:ascii="Arial" w:hAnsi="Arial" w:cs="Arial"/>
                <w:sz w:val="18"/>
                <w:szCs w:val="18"/>
                <w:lang w:val="bg-BG"/>
              </w:rPr>
            </w:pPr>
          </w:p>
        </w:tc>
        <w:tc>
          <w:tcPr>
            <w:tcW w:w="160" w:type="dxa"/>
            <w:vAlign w:val="center"/>
          </w:tcPr>
          <w:p w14:paraId="77E65F5B" w14:textId="77777777" w:rsidR="00017A0C" w:rsidRPr="00721663" w:rsidRDefault="00017A0C" w:rsidP="00017A0C">
            <w:pPr>
              <w:ind w:right="142"/>
              <w:jc w:val="left"/>
              <w:rPr>
                <w:rFonts w:ascii="Arial" w:eastAsia="Arial Unicode MS" w:hAnsi="Arial" w:cs="Arial"/>
                <w:sz w:val="18"/>
                <w:szCs w:val="18"/>
                <w:lang w:val="bg-BG"/>
              </w:rPr>
            </w:pPr>
          </w:p>
        </w:tc>
        <w:tc>
          <w:tcPr>
            <w:tcW w:w="1276" w:type="dxa"/>
            <w:tcBorders>
              <w:bottom w:val="single" w:sz="4" w:space="0" w:color="auto"/>
            </w:tcBorders>
            <w:vAlign w:val="center"/>
          </w:tcPr>
          <w:p w14:paraId="5BE51EFE" w14:textId="355E531C" w:rsidR="00017A0C" w:rsidRPr="00721663" w:rsidRDefault="00017A0C" w:rsidP="00017A0C">
            <w:pPr>
              <w:jc w:val="right"/>
              <w:rPr>
                <w:rFonts w:ascii="Arial" w:hAnsi="Arial" w:cs="Arial"/>
                <w:sz w:val="18"/>
                <w:szCs w:val="18"/>
                <w:lang w:val="bg-BG"/>
              </w:rPr>
            </w:pPr>
            <w:r>
              <w:rPr>
                <w:rFonts w:ascii="Arial" w:hAnsi="Arial" w:cs="Arial"/>
                <w:sz w:val="18"/>
                <w:szCs w:val="18"/>
                <w:lang w:val="en-GB" w:eastAsia="bg-BG"/>
              </w:rPr>
              <w:t>10%</w:t>
            </w:r>
          </w:p>
        </w:tc>
        <w:tc>
          <w:tcPr>
            <w:tcW w:w="160" w:type="dxa"/>
            <w:vAlign w:val="center"/>
          </w:tcPr>
          <w:p w14:paraId="7FE2D6B4" w14:textId="77777777" w:rsidR="00017A0C" w:rsidRPr="00721663" w:rsidRDefault="00017A0C" w:rsidP="00017A0C">
            <w:pPr>
              <w:jc w:val="right"/>
              <w:rPr>
                <w:rFonts w:ascii="Arial" w:hAnsi="Arial" w:cs="Arial"/>
                <w:sz w:val="18"/>
                <w:szCs w:val="18"/>
                <w:lang w:val="bg-BG"/>
              </w:rPr>
            </w:pPr>
          </w:p>
        </w:tc>
        <w:tc>
          <w:tcPr>
            <w:tcW w:w="1260" w:type="dxa"/>
            <w:tcBorders>
              <w:bottom w:val="single" w:sz="4" w:space="0" w:color="auto"/>
            </w:tcBorders>
            <w:vAlign w:val="center"/>
          </w:tcPr>
          <w:p w14:paraId="3C53AED4" w14:textId="6BB3B5EB" w:rsidR="00017A0C" w:rsidRPr="00721663" w:rsidRDefault="00017A0C" w:rsidP="00017A0C">
            <w:pPr>
              <w:jc w:val="right"/>
              <w:rPr>
                <w:rFonts w:ascii="Arial" w:hAnsi="Arial" w:cs="Arial"/>
                <w:sz w:val="18"/>
                <w:szCs w:val="18"/>
                <w:lang w:val="bg-BG"/>
              </w:rPr>
            </w:pPr>
            <w:r>
              <w:rPr>
                <w:rFonts w:ascii="Arial" w:hAnsi="Arial" w:cs="Arial"/>
                <w:sz w:val="18"/>
                <w:szCs w:val="18"/>
                <w:lang w:val="en-GB" w:eastAsia="bg-BG"/>
              </w:rPr>
              <w:t>10%</w:t>
            </w:r>
          </w:p>
        </w:tc>
      </w:tr>
      <w:tr w:rsidR="00017A0C" w:rsidRPr="00721663" w14:paraId="08FAF220" w14:textId="77777777" w:rsidTr="00551604">
        <w:trPr>
          <w:trHeight w:hRule="exact" w:val="318"/>
        </w:trPr>
        <w:tc>
          <w:tcPr>
            <w:tcW w:w="3331" w:type="dxa"/>
            <w:tcBorders>
              <w:top w:val="nil"/>
              <w:left w:val="nil"/>
              <w:bottom w:val="nil"/>
              <w:right w:val="nil"/>
            </w:tcBorders>
            <w:shd w:val="clear" w:color="auto" w:fill="auto"/>
            <w:noWrap/>
            <w:vAlign w:val="center"/>
            <w:hideMark/>
          </w:tcPr>
          <w:p w14:paraId="0E5A45C1" w14:textId="77777777" w:rsidR="00017A0C" w:rsidRPr="00721663" w:rsidRDefault="00017A0C" w:rsidP="00017A0C">
            <w:pPr>
              <w:jc w:val="left"/>
              <w:rPr>
                <w:rFonts w:ascii="Arial" w:hAnsi="Arial" w:cs="Arial"/>
                <w:sz w:val="18"/>
                <w:szCs w:val="18"/>
                <w:lang w:val="bg-BG"/>
              </w:rPr>
            </w:pPr>
            <w:r w:rsidRPr="00721663">
              <w:rPr>
                <w:rFonts w:ascii="Arial" w:hAnsi="Arial" w:cs="Arial"/>
                <w:sz w:val="18"/>
                <w:szCs w:val="18"/>
                <w:lang w:val="bg-BG"/>
              </w:rPr>
              <w:t>Непризнат отсрочен данъчен актив</w:t>
            </w:r>
          </w:p>
        </w:tc>
        <w:tc>
          <w:tcPr>
            <w:tcW w:w="160" w:type="dxa"/>
            <w:tcBorders>
              <w:top w:val="nil"/>
              <w:left w:val="nil"/>
              <w:bottom w:val="nil"/>
              <w:right w:val="nil"/>
            </w:tcBorders>
            <w:shd w:val="clear" w:color="auto" w:fill="auto"/>
            <w:noWrap/>
            <w:vAlign w:val="bottom"/>
            <w:hideMark/>
          </w:tcPr>
          <w:p w14:paraId="3832BDC7" w14:textId="77777777" w:rsidR="00017A0C" w:rsidRPr="00721663" w:rsidRDefault="00017A0C" w:rsidP="00017A0C">
            <w:pPr>
              <w:ind w:right="142"/>
              <w:jc w:val="left"/>
              <w:rPr>
                <w:rFonts w:ascii="Arial" w:eastAsia="Arial Unicode MS" w:hAnsi="Arial" w:cs="Arial"/>
                <w:sz w:val="18"/>
                <w:szCs w:val="18"/>
                <w:lang w:val="bg-BG"/>
              </w:rPr>
            </w:pPr>
          </w:p>
        </w:tc>
        <w:tc>
          <w:tcPr>
            <w:tcW w:w="2249" w:type="dxa"/>
            <w:tcBorders>
              <w:top w:val="nil"/>
              <w:left w:val="nil"/>
              <w:bottom w:val="nil"/>
              <w:right w:val="nil"/>
            </w:tcBorders>
            <w:shd w:val="clear" w:color="auto" w:fill="auto"/>
            <w:noWrap/>
            <w:vAlign w:val="center"/>
            <w:hideMark/>
          </w:tcPr>
          <w:p w14:paraId="0DA74BC5" w14:textId="77777777" w:rsidR="00017A0C" w:rsidRPr="00721663" w:rsidRDefault="00017A0C" w:rsidP="00017A0C">
            <w:pPr>
              <w:jc w:val="right"/>
              <w:rPr>
                <w:rFonts w:ascii="Arial" w:hAnsi="Arial" w:cs="Arial"/>
                <w:sz w:val="18"/>
                <w:szCs w:val="18"/>
                <w:lang w:val="bg-BG"/>
              </w:rPr>
            </w:pPr>
          </w:p>
        </w:tc>
        <w:tc>
          <w:tcPr>
            <w:tcW w:w="160" w:type="dxa"/>
            <w:vAlign w:val="center"/>
          </w:tcPr>
          <w:p w14:paraId="66127B30" w14:textId="77777777" w:rsidR="00017A0C" w:rsidRPr="00721663" w:rsidRDefault="00017A0C" w:rsidP="00017A0C">
            <w:pPr>
              <w:ind w:right="142"/>
              <w:jc w:val="left"/>
              <w:rPr>
                <w:rFonts w:ascii="Arial" w:eastAsia="Arial Unicode MS" w:hAnsi="Arial" w:cs="Arial"/>
                <w:sz w:val="18"/>
                <w:szCs w:val="18"/>
                <w:lang w:val="bg-BG"/>
              </w:rPr>
            </w:pPr>
          </w:p>
        </w:tc>
        <w:tc>
          <w:tcPr>
            <w:tcW w:w="1276" w:type="dxa"/>
            <w:tcBorders>
              <w:top w:val="single" w:sz="4" w:space="0" w:color="auto"/>
              <w:bottom w:val="double" w:sz="4" w:space="0" w:color="auto"/>
            </w:tcBorders>
            <w:vAlign w:val="center"/>
          </w:tcPr>
          <w:p w14:paraId="6E0CCA3C" w14:textId="6B9670A1" w:rsidR="00017A0C" w:rsidRPr="00721663" w:rsidRDefault="00017A0C" w:rsidP="00017A0C">
            <w:pPr>
              <w:jc w:val="right"/>
              <w:rPr>
                <w:rFonts w:ascii="Arial" w:hAnsi="Arial" w:cs="Arial"/>
                <w:b/>
                <w:sz w:val="18"/>
                <w:szCs w:val="18"/>
                <w:lang w:val="bg-BG"/>
              </w:rPr>
            </w:pPr>
            <w:r>
              <w:rPr>
                <w:rFonts w:ascii="Arial" w:hAnsi="Arial" w:cs="Arial"/>
                <w:b/>
                <w:sz w:val="18"/>
                <w:szCs w:val="18"/>
                <w:lang w:val="en-GB" w:eastAsia="bg-BG"/>
              </w:rPr>
              <w:t>8</w:t>
            </w:r>
          </w:p>
        </w:tc>
        <w:tc>
          <w:tcPr>
            <w:tcW w:w="160" w:type="dxa"/>
            <w:vAlign w:val="center"/>
          </w:tcPr>
          <w:p w14:paraId="7BB74BEA" w14:textId="77777777" w:rsidR="00017A0C" w:rsidRPr="00721663" w:rsidRDefault="00017A0C" w:rsidP="00017A0C">
            <w:pPr>
              <w:jc w:val="right"/>
              <w:rPr>
                <w:rFonts w:ascii="Arial" w:hAnsi="Arial" w:cs="Arial"/>
                <w:sz w:val="18"/>
                <w:szCs w:val="18"/>
                <w:lang w:val="bg-BG"/>
              </w:rPr>
            </w:pPr>
          </w:p>
        </w:tc>
        <w:tc>
          <w:tcPr>
            <w:tcW w:w="1260" w:type="dxa"/>
            <w:tcBorders>
              <w:top w:val="single" w:sz="4" w:space="0" w:color="auto"/>
              <w:bottom w:val="double" w:sz="4" w:space="0" w:color="auto"/>
            </w:tcBorders>
            <w:vAlign w:val="center"/>
          </w:tcPr>
          <w:p w14:paraId="41E85468" w14:textId="12B39953" w:rsidR="00017A0C" w:rsidRPr="00721663" w:rsidRDefault="00017A0C" w:rsidP="00017A0C">
            <w:pPr>
              <w:jc w:val="right"/>
              <w:rPr>
                <w:rFonts w:ascii="Arial" w:hAnsi="Arial" w:cs="Arial"/>
                <w:b/>
                <w:sz w:val="18"/>
                <w:szCs w:val="18"/>
                <w:lang w:val="bg-BG"/>
              </w:rPr>
            </w:pPr>
            <w:r>
              <w:rPr>
                <w:rFonts w:ascii="Arial" w:hAnsi="Arial" w:cs="Arial"/>
                <w:b/>
                <w:sz w:val="18"/>
                <w:szCs w:val="18"/>
                <w:lang w:val="en-GB" w:eastAsia="bg-BG"/>
              </w:rPr>
              <w:t>7</w:t>
            </w:r>
          </w:p>
        </w:tc>
      </w:tr>
    </w:tbl>
    <w:p w14:paraId="1E276F06" w14:textId="77777777" w:rsidR="00E07C4E" w:rsidRPr="00721663" w:rsidRDefault="00E07C4E" w:rsidP="00E07C4E">
      <w:pPr>
        <w:spacing w:line="240" w:lineRule="auto"/>
        <w:jc w:val="left"/>
        <w:rPr>
          <w:sz w:val="16"/>
          <w:szCs w:val="16"/>
          <w:lang w:val="bg-BG"/>
        </w:rPr>
      </w:pPr>
    </w:p>
    <w:p w14:paraId="69DAF1E6" w14:textId="77777777" w:rsidR="00E07C4E" w:rsidRPr="00721663" w:rsidRDefault="00E07C4E" w:rsidP="00E07C4E">
      <w:pPr>
        <w:spacing w:line="240" w:lineRule="auto"/>
        <w:jc w:val="left"/>
        <w:rPr>
          <w:sz w:val="16"/>
          <w:szCs w:val="16"/>
          <w:lang w:val="bg-BG"/>
        </w:rPr>
      </w:pPr>
    </w:p>
    <w:tbl>
      <w:tblPr>
        <w:tblW w:w="9356" w:type="dxa"/>
        <w:tblInd w:w="-34" w:type="dxa"/>
        <w:tblLook w:val="01E0" w:firstRow="1" w:lastRow="1" w:firstColumn="1" w:lastColumn="1" w:noHBand="0" w:noVBand="0"/>
      </w:tblPr>
      <w:tblGrid>
        <w:gridCol w:w="5245"/>
        <w:gridCol w:w="284"/>
        <w:gridCol w:w="1843"/>
        <w:gridCol w:w="283"/>
        <w:gridCol w:w="1701"/>
      </w:tblGrid>
      <w:tr w:rsidR="00E07C4E" w:rsidRPr="00721663" w14:paraId="5D712F76" w14:textId="77777777" w:rsidTr="00551604">
        <w:tc>
          <w:tcPr>
            <w:tcW w:w="5245" w:type="dxa"/>
          </w:tcPr>
          <w:p w14:paraId="0F7EF1A7" w14:textId="77777777" w:rsidR="00E07C4E" w:rsidRPr="00721663" w:rsidRDefault="00E07C4E" w:rsidP="00551604">
            <w:pPr>
              <w:rPr>
                <w:rFonts w:ascii="Arial" w:hAnsi="Arial" w:cs="Arial"/>
                <w:b/>
                <w:color w:val="000000"/>
                <w:spacing w:val="-6"/>
                <w:sz w:val="18"/>
                <w:szCs w:val="18"/>
                <w:lang w:val="bg-BG"/>
              </w:rPr>
            </w:pPr>
            <w:r w:rsidRPr="00721663">
              <w:rPr>
                <w:rFonts w:ascii="Arial" w:hAnsi="Arial" w:cs="Arial"/>
                <w:b/>
                <w:color w:val="000000"/>
                <w:spacing w:val="-6"/>
                <w:sz w:val="18"/>
                <w:szCs w:val="18"/>
                <w:lang w:val="bg-BG"/>
              </w:rPr>
              <w:t>Отсрочени данъчни активи/ (пасиви)</w:t>
            </w:r>
          </w:p>
        </w:tc>
        <w:tc>
          <w:tcPr>
            <w:tcW w:w="284" w:type="dxa"/>
          </w:tcPr>
          <w:p w14:paraId="14095921" w14:textId="77777777" w:rsidR="00E07C4E" w:rsidRPr="00721663" w:rsidRDefault="00E07C4E" w:rsidP="00551604">
            <w:pPr>
              <w:jc w:val="right"/>
              <w:rPr>
                <w:rFonts w:ascii="Arial" w:hAnsi="Arial" w:cs="Arial"/>
                <w:b/>
                <w:color w:val="000000"/>
                <w:spacing w:val="-6"/>
                <w:sz w:val="18"/>
                <w:szCs w:val="18"/>
                <w:lang w:val="bg-BG"/>
              </w:rPr>
            </w:pPr>
          </w:p>
        </w:tc>
        <w:tc>
          <w:tcPr>
            <w:tcW w:w="1843" w:type="dxa"/>
            <w:tcBorders>
              <w:bottom w:val="single" w:sz="4" w:space="0" w:color="auto"/>
            </w:tcBorders>
            <w:vAlign w:val="bottom"/>
          </w:tcPr>
          <w:p w14:paraId="45AD0913" w14:textId="40D79DAF" w:rsidR="00E07C4E" w:rsidRPr="00721663" w:rsidRDefault="00144930" w:rsidP="00551604">
            <w:pPr>
              <w:jc w:val="right"/>
              <w:rPr>
                <w:rFonts w:ascii="Arial" w:hAnsi="Arial" w:cs="Arial"/>
                <w:b/>
                <w:sz w:val="18"/>
                <w:szCs w:val="18"/>
                <w:lang w:val="bg-BG"/>
              </w:rPr>
            </w:pPr>
            <w:r>
              <w:rPr>
                <w:rFonts w:ascii="Arial" w:hAnsi="Arial" w:cs="Arial"/>
                <w:b/>
                <w:sz w:val="18"/>
                <w:szCs w:val="18"/>
                <w:lang w:val="bg-BG"/>
              </w:rPr>
              <w:t>30 юни 2017</w:t>
            </w:r>
          </w:p>
        </w:tc>
        <w:tc>
          <w:tcPr>
            <w:tcW w:w="283" w:type="dxa"/>
            <w:vAlign w:val="bottom"/>
          </w:tcPr>
          <w:p w14:paraId="1A41FFB0" w14:textId="77777777" w:rsidR="00E07C4E" w:rsidRPr="00721663" w:rsidRDefault="00E07C4E" w:rsidP="00551604">
            <w:pPr>
              <w:jc w:val="right"/>
              <w:rPr>
                <w:rFonts w:ascii="Arial" w:hAnsi="Arial" w:cs="Arial"/>
                <w:b/>
                <w:sz w:val="18"/>
                <w:szCs w:val="18"/>
                <w:lang w:val="bg-BG"/>
              </w:rPr>
            </w:pPr>
          </w:p>
        </w:tc>
        <w:tc>
          <w:tcPr>
            <w:tcW w:w="1701" w:type="dxa"/>
            <w:tcBorders>
              <w:bottom w:val="single" w:sz="4" w:space="0" w:color="auto"/>
            </w:tcBorders>
            <w:vAlign w:val="bottom"/>
          </w:tcPr>
          <w:p w14:paraId="70FAB7FC" w14:textId="6D33B229" w:rsidR="00E07C4E" w:rsidRPr="00721663" w:rsidRDefault="00144930" w:rsidP="00551604">
            <w:pPr>
              <w:jc w:val="right"/>
              <w:rPr>
                <w:rFonts w:ascii="Arial" w:hAnsi="Arial" w:cs="Arial"/>
                <w:b/>
                <w:sz w:val="18"/>
                <w:szCs w:val="18"/>
                <w:lang w:val="bg-BG"/>
              </w:rPr>
            </w:pPr>
            <w:r>
              <w:rPr>
                <w:rFonts w:ascii="Arial" w:hAnsi="Arial" w:cs="Arial"/>
                <w:b/>
                <w:sz w:val="18"/>
                <w:szCs w:val="18"/>
                <w:lang w:val="bg-BG"/>
              </w:rPr>
              <w:t>31 декември 2016</w:t>
            </w:r>
            <w:r w:rsidR="00E07C4E" w:rsidRPr="00721663">
              <w:rPr>
                <w:rFonts w:ascii="Arial" w:hAnsi="Arial" w:cs="Arial"/>
                <w:b/>
                <w:sz w:val="18"/>
                <w:szCs w:val="18"/>
                <w:lang w:val="bg-BG"/>
              </w:rPr>
              <w:t xml:space="preserve"> </w:t>
            </w:r>
          </w:p>
        </w:tc>
      </w:tr>
      <w:tr w:rsidR="00017A0C" w:rsidRPr="00721663" w14:paraId="1EA333A4" w14:textId="77777777" w:rsidTr="00551604">
        <w:tc>
          <w:tcPr>
            <w:tcW w:w="5245" w:type="dxa"/>
          </w:tcPr>
          <w:p w14:paraId="5A36B7E1" w14:textId="77777777" w:rsidR="00017A0C" w:rsidRPr="00721663" w:rsidRDefault="00017A0C" w:rsidP="00017A0C">
            <w:pPr>
              <w:rPr>
                <w:rFonts w:ascii="Arial" w:hAnsi="Arial" w:cs="Arial"/>
                <w:iCs/>
                <w:color w:val="000000"/>
                <w:spacing w:val="-6"/>
                <w:sz w:val="18"/>
                <w:szCs w:val="18"/>
                <w:lang w:val="bg-BG"/>
              </w:rPr>
            </w:pPr>
            <w:r w:rsidRPr="00721663">
              <w:rPr>
                <w:rFonts w:ascii="Arial" w:hAnsi="Arial" w:cs="Arial"/>
                <w:color w:val="000000"/>
                <w:spacing w:val="-6"/>
                <w:sz w:val="18"/>
                <w:szCs w:val="18"/>
                <w:lang w:val="bg-BG"/>
              </w:rPr>
              <w:t>Отсрочени данъчни активи за възстановяване след 12 месеца</w:t>
            </w:r>
          </w:p>
        </w:tc>
        <w:tc>
          <w:tcPr>
            <w:tcW w:w="284" w:type="dxa"/>
          </w:tcPr>
          <w:p w14:paraId="00390FCE" w14:textId="77777777" w:rsidR="00017A0C" w:rsidRPr="00721663" w:rsidRDefault="00017A0C" w:rsidP="00017A0C">
            <w:pPr>
              <w:jc w:val="right"/>
              <w:rPr>
                <w:rFonts w:ascii="Arial" w:hAnsi="Arial" w:cs="Arial"/>
                <w:color w:val="000000"/>
                <w:spacing w:val="-6"/>
                <w:sz w:val="18"/>
                <w:szCs w:val="18"/>
                <w:lang w:val="bg-BG"/>
              </w:rPr>
            </w:pPr>
          </w:p>
        </w:tc>
        <w:tc>
          <w:tcPr>
            <w:tcW w:w="1843" w:type="dxa"/>
            <w:tcBorders>
              <w:top w:val="single" w:sz="4" w:space="0" w:color="auto"/>
            </w:tcBorders>
          </w:tcPr>
          <w:p w14:paraId="281FF5E1" w14:textId="6781D644" w:rsidR="00017A0C" w:rsidRPr="004D2D7A" w:rsidRDefault="00017A0C" w:rsidP="00017A0C">
            <w:pPr>
              <w:jc w:val="right"/>
              <w:rPr>
                <w:rFonts w:ascii="Arial" w:hAnsi="Arial" w:cs="Arial"/>
                <w:color w:val="000000"/>
                <w:spacing w:val="-6"/>
                <w:sz w:val="18"/>
                <w:szCs w:val="18"/>
              </w:rPr>
            </w:pPr>
            <w:r>
              <w:rPr>
                <w:rFonts w:ascii="Arial" w:hAnsi="Arial" w:cs="Arial"/>
                <w:color w:val="000000"/>
                <w:spacing w:val="-6"/>
                <w:sz w:val="18"/>
                <w:szCs w:val="18"/>
                <w:lang w:val="en-GB" w:eastAsia="bg-BG"/>
              </w:rPr>
              <w:t>152</w:t>
            </w:r>
          </w:p>
        </w:tc>
        <w:tc>
          <w:tcPr>
            <w:tcW w:w="283" w:type="dxa"/>
          </w:tcPr>
          <w:p w14:paraId="6D287A60" w14:textId="77777777" w:rsidR="00017A0C" w:rsidRPr="00721663" w:rsidRDefault="00017A0C" w:rsidP="00017A0C">
            <w:pPr>
              <w:jc w:val="right"/>
              <w:rPr>
                <w:rFonts w:ascii="Arial" w:hAnsi="Arial" w:cs="Arial"/>
                <w:color w:val="000000"/>
                <w:spacing w:val="-6"/>
                <w:sz w:val="18"/>
                <w:szCs w:val="18"/>
                <w:lang w:val="bg-BG"/>
              </w:rPr>
            </w:pPr>
          </w:p>
        </w:tc>
        <w:tc>
          <w:tcPr>
            <w:tcW w:w="1701" w:type="dxa"/>
            <w:tcBorders>
              <w:top w:val="single" w:sz="4" w:space="0" w:color="auto"/>
            </w:tcBorders>
          </w:tcPr>
          <w:p w14:paraId="44EBA199" w14:textId="2BD3A12A" w:rsidR="00017A0C" w:rsidRPr="00721663" w:rsidRDefault="00017A0C" w:rsidP="00017A0C">
            <w:pPr>
              <w:jc w:val="right"/>
              <w:rPr>
                <w:rFonts w:ascii="Arial" w:hAnsi="Arial" w:cs="Arial"/>
                <w:color w:val="000000"/>
                <w:spacing w:val="-6"/>
                <w:sz w:val="18"/>
                <w:szCs w:val="18"/>
                <w:lang w:val="bg-BG"/>
              </w:rPr>
            </w:pPr>
            <w:r>
              <w:rPr>
                <w:rFonts w:ascii="Arial" w:hAnsi="Arial" w:cs="Arial"/>
                <w:color w:val="000000"/>
                <w:spacing w:val="-6"/>
                <w:sz w:val="18"/>
                <w:szCs w:val="18"/>
                <w:lang w:val="en-GB" w:eastAsia="bg-BG"/>
              </w:rPr>
              <w:t>152</w:t>
            </w:r>
          </w:p>
        </w:tc>
      </w:tr>
      <w:tr w:rsidR="00017A0C" w:rsidRPr="00721663" w14:paraId="3E9CA479" w14:textId="77777777" w:rsidTr="00551604">
        <w:tc>
          <w:tcPr>
            <w:tcW w:w="5245" w:type="dxa"/>
          </w:tcPr>
          <w:p w14:paraId="7600D1DF" w14:textId="77777777" w:rsidR="00017A0C" w:rsidRPr="00721663" w:rsidRDefault="00017A0C" w:rsidP="00017A0C">
            <w:pPr>
              <w:rPr>
                <w:rFonts w:ascii="Arial" w:hAnsi="Arial" w:cs="Arial"/>
                <w:color w:val="000000"/>
                <w:spacing w:val="-6"/>
                <w:kern w:val="1"/>
                <w:sz w:val="18"/>
                <w:szCs w:val="18"/>
                <w:lang w:val="bg-BG"/>
              </w:rPr>
            </w:pPr>
            <w:r w:rsidRPr="00721663">
              <w:rPr>
                <w:rFonts w:ascii="Arial" w:hAnsi="Arial" w:cs="Arial"/>
                <w:color w:val="000000"/>
                <w:spacing w:val="-6"/>
                <w:sz w:val="18"/>
                <w:szCs w:val="18"/>
                <w:lang w:val="bg-BG"/>
              </w:rPr>
              <w:t>Отсрочени данъчни активи за възстановяване в рамките на 12 месеца</w:t>
            </w:r>
          </w:p>
        </w:tc>
        <w:tc>
          <w:tcPr>
            <w:tcW w:w="284" w:type="dxa"/>
          </w:tcPr>
          <w:p w14:paraId="18805A2A" w14:textId="77777777" w:rsidR="00017A0C" w:rsidRPr="00721663" w:rsidRDefault="00017A0C" w:rsidP="00017A0C">
            <w:pPr>
              <w:jc w:val="right"/>
              <w:rPr>
                <w:rFonts w:ascii="Arial" w:hAnsi="Arial" w:cs="Arial"/>
                <w:color w:val="000000"/>
                <w:spacing w:val="-6"/>
                <w:sz w:val="18"/>
                <w:szCs w:val="18"/>
                <w:lang w:val="bg-BG"/>
              </w:rPr>
            </w:pPr>
          </w:p>
        </w:tc>
        <w:tc>
          <w:tcPr>
            <w:tcW w:w="1843" w:type="dxa"/>
            <w:tcBorders>
              <w:bottom w:val="single" w:sz="4" w:space="0" w:color="auto"/>
            </w:tcBorders>
          </w:tcPr>
          <w:p w14:paraId="0F0FC45E" w14:textId="0C4A849F" w:rsidR="00017A0C" w:rsidRPr="00721663" w:rsidRDefault="00017A0C" w:rsidP="00017A0C">
            <w:pPr>
              <w:jc w:val="right"/>
              <w:rPr>
                <w:rFonts w:ascii="Arial" w:hAnsi="Arial" w:cs="Arial"/>
                <w:color w:val="000000"/>
                <w:spacing w:val="-6"/>
                <w:sz w:val="18"/>
                <w:szCs w:val="18"/>
                <w:lang w:val="bg-BG"/>
              </w:rPr>
            </w:pPr>
            <w:r>
              <w:rPr>
                <w:rFonts w:ascii="Arial" w:hAnsi="Arial" w:cs="Arial"/>
                <w:color w:val="000000"/>
                <w:spacing w:val="-6"/>
                <w:sz w:val="18"/>
                <w:szCs w:val="18"/>
                <w:lang w:val="en-GB" w:eastAsia="bg-BG"/>
              </w:rPr>
              <w:t>-</w:t>
            </w:r>
          </w:p>
        </w:tc>
        <w:tc>
          <w:tcPr>
            <w:tcW w:w="283" w:type="dxa"/>
          </w:tcPr>
          <w:p w14:paraId="6AED0C15" w14:textId="77777777" w:rsidR="00017A0C" w:rsidRPr="00721663" w:rsidRDefault="00017A0C" w:rsidP="00017A0C">
            <w:pPr>
              <w:jc w:val="right"/>
              <w:rPr>
                <w:rFonts w:ascii="Arial" w:hAnsi="Arial" w:cs="Arial"/>
                <w:color w:val="000000"/>
                <w:spacing w:val="-6"/>
                <w:sz w:val="18"/>
                <w:szCs w:val="18"/>
                <w:lang w:val="bg-BG"/>
              </w:rPr>
            </w:pPr>
          </w:p>
        </w:tc>
        <w:tc>
          <w:tcPr>
            <w:tcW w:w="1701" w:type="dxa"/>
            <w:tcBorders>
              <w:bottom w:val="single" w:sz="4" w:space="0" w:color="auto"/>
            </w:tcBorders>
          </w:tcPr>
          <w:p w14:paraId="22F57BD7" w14:textId="0C180548" w:rsidR="00017A0C" w:rsidRPr="00721663" w:rsidRDefault="00017A0C" w:rsidP="00017A0C">
            <w:pPr>
              <w:jc w:val="right"/>
              <w:rPr>
                <w:rFonts w:ascii="Arial" w:hAnsi="Arial" w:cs="Arial"/>
                <w:color w:val="000000"/>
                <w:spacing w:val="-6"/>
                <w:sz w:val="18"/>
                <w:szCs w:val="18"/>
                <w:lang w:val="bg-BG"/>
              </w:rPr>
            </w:pPr>
            <w:r>
              <w:rPr>
                <w:rFonts w:ascii="Arial" w:hAnsi="Arial" w:cs="Arial"/>
                <w:color w:val="000000"/>
                <w:spacing w:val="-6"/>
                <w:sz w:val="18"/>
                <w:szCs w:val="18"/>
                <w:lang w:val="en-GB" w:eastAsia="bg-BG"/>
              </w:rPr>
              <w:t>-</w:t>
            </w:r>
          </w:p>
        </w:tc>
      </w:tr>
      <w:tr w:rsidR="00017A0C" w:rsidRPr="00721663" w14:paraId="08D35393" w14:textId="77777777" w:rsidTr="00551604">
        <w:tc>
          <w:tcPr>
            <w:tcW w:w="5245" w:type="dxa"/>
          </w:tcPr>
          <w:p w14:paraId="1A5E86BB" w14:textId="77777777" w:rsidR="00017A0C" w:rsidRPr="00721663" w:rsidRDefault="00017A0C" w:rsidP="00017A0C">
            <w:pPr>
              <w:rPr>
                <w:rFonts w:ascii="Arial" w:hAnsi="Arial" w:cs="Arial"/>
                <w:color w:val="000000"/>
                <w:spacing w:val="-6"/>
                <w:sz w:val="18"/>
                <w:szCs w:val="18"/>
                <w:lang w:val="bg-BG"/>
              </w:rPr>
            </w:pPr>
          </w:p>
        </w:tc>
        <w:tc>
          <w:tcPr>
            <w:tcW w:w="284" w:type="dxa"/>
          </w:tcPr>
          <w:p w14:paraId="3763866E" w14:textId="77777777" w:rsidR="00017A0C" w:rsidRPr="00721663" w:rsidRDefault="00017A0C" w:rsidP="00017A0C">
            <w:pPr>
              <w:jc w:val="right"/>
              <w:rPr>
                <w:rFonts w:ascii="Arial" w:hAnsi="Arial" w:cs="Arial"/>
                <w:b/>
                <w:color w:val="000000"/>
                <w:spacing w:val="-6"/>
                <w:sz w:val="18"/>
                <w:szCs w:val="18"/>
                <w:lang w:val="bg-BG"/>
              </w:rPr>
            </w:pPr>
          </w:p>
        </w:tc>
        <w:tc>
          <w:tcPr>
            <w:tcW w:w="1843" w:type="dxa"/>
            <w:tcBorders>
              <w:top w:val="single" w:sz="4" w:space="0" w:color="auto"/>
            </w:tcBorders>
          </w:tcPr>
          <w:p w14:paraId="00290348" w14:textId="6380BD44" w:rsidR="00017A0C" w:rsidRPr="004D2D7A" w:rsidRDefault="00017A0C" w:rsidP="00017A0C">
            <w:pPr>
              <w:jc w:val="right"/>
              <w:rPr>
                <w:rFonts w:ascii="Arial" w:hAnsi="Arial" w:cs="Arial"/>
                <w:b/>
                <w:color w:val="000000"/>
                <w:spacing w:val="-6"/>
                <w:sz w:val="18"/>
                <w:szCs w:val="18"/>
              </w:rPr>
            </w:pPr>
            <w:r>
              <w:rPr>
                <w:rFonts w:ascii="Arial" w:hAnsi="Arial" w:cs="Arial"/>
                <w:b/>
                <w:color w:val="000000"/>
                <w:spacing w:val="-6"/>
                <w:sz w:val="18"/>
                <w:szCs w:val="18"/>
                <w:lang w:val="en-GB" w:eastAsia="bg-BG"/>
              </w:rPr>
              <w:t>152</w:t>
            </w:r>
          </w:p>
        </w:tc>
        <w:tc>
          <w:tcPr>
            <w:tcW w:w="283" w:type="dxa"/>
          </w:tcPr>
          <w:p w14:paraId="406F820D" w14:textId="77777777" w:rsidR="00017A0C" w:rsidRPr="00721663" w:rsidRDefault="00017A0C" w:rsidP="00017A0C">
            <w:pPr>
              <w:jc w:val="right"/>
              <w:rPr>
                <w:rFonts w:ascii="Arial" w:hAnsi="Arial" w:cs="Arial"/>
                <w:b/>
                <w:color w:val="000000"/>
                <w:spacing w:val="-6"/>
                <w:sz w:val="18"/>
                <w:szCs w:val="18"/>
                <w:lang w:val="bg-BG"/>
              </w:rPr>
            </w:pPr>
          </w:p>
        </w:tc>
        <w:tc>
          <w:tcPr>
            <w:tcW w:w="1701" w:type="dxa"/>
            <w:tcBorders>
              <w:top w:val="single" w:sz="4" w:space="0" w:color="auto"/>
            </w:tcBorders>
          </w:tcPr>
          <w:p w14:paraId="10DCFC9A" w14:textId="0DF29DA7" w:rsidR="00017A0C" w:rsidRPr="00721663" w:rsidRDefault="00017A0C" w:rsidP="00017A0C">
            <w:pPr>
              <w:jc w:val="right"/>
              <w:rPr>
                <w:rFonts w:ascii="Arial" w:hAnsi="Arial" w:cs="Arial"/>
                <w:b/>
                <w:color w:val="000000"/>
                <w:spacing w:val="-6"/>
                <w:sz w:val="18"/>
                <w:szCs w:val="18"/>
                <w:lang w:val="bg-BG"/>
              </w:rPr>
            </w:pPr>
            <w:r>
              <w:rPr>
                <w:rFonts w:ascii="Arial" w:hAnsi="Arial" w:cs="Arial"/>
                <w:b/>
                <w:color w:val="000000"/>
                <w:spacing w:val="-6"/>
                <w:sz w:val="18"/>
                <w:szCs w:val="18"/>
                <w:lang w:val="en-GB" w:eastAsia="bg-BG"/>
              </w:rPr>
              <w:t>152</w:t>
            </w:r>
          </w:p>
        </w:tc>
      </w:tr>
      <w:tr w:rsidR="00017A0C" w:rsidRPr="00721663" w14:paraId="761321C0" w14:textId="77777777" w:rsidTr="00551604">
        <w:tc>
          <w:tcPr>
            <w:tcW w:w="5245" w:type="dxa"/>
          </w:tcPr>
          <w:p w14:paraId="2E39E7A6" w14:textId="77777777" w:rsidR="00017A0C" w:rsidRPr="00721663" w:rsidRDefault="00017A0C" w:rsidP="00017A0C">
            <w:pPr>
              <w:rPr>
                <w:rFonts w:ascii="Arial" w:hAnsi="Arial" w:cs="Arial"/>
                <w:color w:val="000000"/>
                <w:spacing w:val="-6"/>
                <w:sz w:val="18"/>
                <w:szCs w:val="18"/>
                <w:lang w:val="bg-BG"/>
              </w:rPr>
            </w:pPr>
            <w:r w:rsidRPr="00721663">
              <w:rPr>
                <w:rFonts w:ascii="Arial" w:hAnsi="Arial" w:cs="Arial"/>
                <w:color w:val="000000"/>
                <w:spacing w:val="-6"/>
                <w:sz w:val="18"/>
                <w:szCs w:val="18"/>
                <w:lang w:val="bg-BG"/>
              </w:rPr>
              <w:t>Отсрочени данъчни пасиви</w:t>
            </w:r>
          </w:p>
        </w:tc>
        <w:tc>
          <w:tcPr>
            <w:tcW w:w="284" w:type="dxa"/>
          </w:tcPr>
          <w:p w14:paraId="7E789C73" w14:textId="77777777" w:rsidR="00017A0C" w:rsidRPr="00721663" w:rsidRDefault="00017A0C" w:rsidP="00017A0C">
            <w:pPr>
              <w:jc w:val="right"/>
              <w:rPr>
                <w:rFonts w:ascii="Arial" w:hAnsi="Arial" w:cs="Arial"/>
                <w:color w:val="000000"/>
                <w:spacing w:val="-6"/>
                <w:sz w:val="18"/>
                <w:szCs w:val="18"/>
                <w:lang w:val="bg-BG"/>
              </w:rPr>
            </w:pPr>
          </w:p>
        </w:tc>
        <w:tc>
          <w:tcPr>
            <w:tcW w:w="1843" w:type="dxa"/>
          </w:tcPr>
          <w:p w14:paraId="7416DD1D" w14:textId="4658EDA6" w:rsidR="00017A0C" w:rsidRPr="00721663" w:rsidRDefault="00017A0C" w:rsidP="00017A0C">
            <w:pPr>
              <w:jc w:val="right"/>
              <w:rPr>
                <w:rFonts w:ascii="Arial" w:hAnsi="Arial" w:cs="Arial"/>
                <w:color w:val="000000"/>
                <w:spacing w:val="-6"/>
                <w:sz w:val="18"/>
                <w:szCs w:val="18"/>
                <w:lang w:val="bg-BG"/>
              </w:rPr>
            </w:pPr>
            <w:r>
              <w:rPr>
                <w:rFonts w:ascii="Arial" w:hAnsi="Arial" w:cs="Arial"/>
                <w:color w:val="000000"/>
                <w:spacing w:val="-6"/>
                <w:sz w:val="18"/>
                <w:szCs w:val="18"/>
                <w:lang w:val="en-GB" w:eastAsia="bg-BG"/>
              </w:rPr>
              <w:t>(6)</w:t>
            </w:r>
          </w:p>
        </w:tc>
        <w:tc>
          <w:tcPr>
            <w:tcW w:w="283" w:type="dxa"/>
          </w:tcPr>
          <w:p w14:paraId="2C2D8CC2" w14:textId="77777777" w:rsidR="00017A0C" w:rsidRPr="00721663" w:rsidRDefault="00017A0C" w:rsidP="00017A0C">
            <w:pPr>
              <w:jc w:val="right"/>
              <w:rPr>
                <w:rFonts w:ascii="Arial" w:hAnsi="Arial" w:cs="Arial"/>
                <w:color w:val="000000"/>
                <w:spacing w:val="-6"/>
                <w:sz w:val="18"/>
                <w:szCs w:val="18"/>
                <w:lang w:val="bg-BG"/>
              </w:rPr>
            </w:pPr>
          </w:p>
        </w:tc>
        <w:tc>
          <w:tcPr>
            <w:tcW w:w="1701" w:type="dxa"/>
          </w:tcPr>
          <w:p w14:paraId="6A7DC59E" w14:textId="44FA9D76" w:rsidR="00017A0C" w:rsidRPr="00721663" w:rsidRDefault="00017A0C" w:rsidP="00017A0C">
            <w:pPr>
              <w:jc w:val="right"/>
              <w:rPr>
                <w:rFonts w:ascii="Arial" w:hAnsi="Arial" w:cs="Arial"/>
                <w:color w:val="000000"/>
                <w:spacing w:val="-6"/>
                <w:sz w:val="18"/>
                <w:szCs w:val="18"/>
                <w:lang w:val="bg-BG"/>
              </w:rPr>
            </w:pPr>
            <w:r>
              <w:rPr>
                <w:rFonts w:ascii="Arial" w:hAnsi="Arial" w:cs="Arial"/>
                <w:color w:val="000000"/>
                <w:spacing w:val="-6"/>
                <w:sz w:val="18"/>
                <w:szCs w:val="18"/>
                <w:lang w:val="en-GB" w:eastAsia="bg-BG"/>
              </w:rPr>
              <w:t>(6)</w:t>
            </w:r>
          </w:p>
        </w:tc>
      </w:tr>
      <w:tr w:rsidR="00017A0C" w:rsidRPr="00721663" w14:paraId="00FF2131" w14:textId="77777777" w:rsidTr="00551604">
        <w:tc>
          <w:tcPr>
            <w:tcW w:w="5245" w:type="dxa"/>
          </w:tcPr>
          <w:p w14:paraId="5702BD68" w14:textId="77777777" w:rsidR="00017A0C" w:rsidRPr="00721663" w:rsidRDefault="00017A0C" w:rsidP="00017A0C">
            <w:pPr>
              <w:rPr>
                <w:rFonts w:ascii="Arial" w:hAnsi="Arial" w:cs="Arial"/>
                <w:color w:val="000000"/>
                <w:spacing w:val="-6"/>
                <w:sz w:val="18"/>
                <w:szCs w:val="18"/>
                <w:lang w:val="bg-BG"/>
              </w:rPr>
            </w:pPr>
            <w:r w:rsidRPr="00721663">
              <w:rPr>
                <w:rFonts w:ascii="Arial" w:hAnsi="Arial" w:cs="Arial"/>
                <w:color w:val="000000"/>
                <w:spacing w:val="-6"/>
                <w:sz w:val="18"/>
                <w:szCs w:val="18"/>
                <w:lang w:val="bg-BG"/>
              </w:rPr>
              <w:t>Отсрочени данъчни активи, нетно</w:t>
            </w:r>
          </w:p>
        </w:tc>
        <w:tc>
          <w:tcPr>
            <w:tcW w:w="284" w:type="dxa"/>
          </w:tcPr>
          <w:p w14:paraId="1F2925F6" w14:textId="77777777" w:rsidR="00017A0C" w:rsidRPr="00721663" w:rsidRDefault="00017A0C" w:rsidP="00017A0C">
            <w:pPr>
              <w:jc w:val="right"/>
              <w:rPr>
                <w:rFonts w:ascii="Arial" w:hAnsi="Arial" w:cs="Arial"/>
                <w:b/>
                <w:color w:val="000000"/>
                <w:spacing w:val="-6"/>
                <w:sz w:val="18"/>
                <w:szCs w:val="18"/>
                <w:lang w:val="bg-BG"/>
              </w:rPr>
            </w:pPr>
          </w:p>
        </w:tc>
        <w:tc>
          <w:tcPr>
            <w:tcW w:w="1843" w:type="dxa"/>
            <w:tcBorders>
              <w:bottom w:val="single" w:sz="4" w:space="0" w:color="auto"/>
            </w:tcBorders>
          </w:tcPr>
          <w:p w14:paraId="08A2066B" w14:textId="4F5CDB94" w:rsidR="00017A0C" w:rsidRPr="004D2D7A" w:rsidRDefault="00017A0C" w:rsidP="00017A0C">
            <w:pPr>
              <w:jc w:val="right"/>
              <w:rPr>
                <w:rFonts w:ascii="Arial" w:hAnsi="Arial" w:cs="Arial"/>
                <w:b/>
                <w:color w:val="000000"/>
                <w:spacing w:val="-6"/>
                <w:sz w:val="18"/>
                <w:szCs w:val="18"/>
              </w:rPr>
            </w:pPr>
            <w:r>
              <w:rPr>
                <w:rFonts w:ascii="Arial" w:hAnsi="Arial" w:cs="Arial"/>
                <w:b/>
                <w:color w:val="000000"/>
                <w:spacing w:val="-6"/>
                <w:sz w:val="18"/>
                <w:szCs w:val="18"/>
                <w:lang w:val="en-GB" w:eastAsia="bg-BG"/>
              </w:rPr>
              <w:t>146</w:t>
            </w:r>
          </w:p>
        </w:tc>
        <w:tc>
          <w:tcPr>
            <w:tcW w:w="283" w:type="dxa"/>
          </w:tcPr>
          <w:p w14:paraId="4ADCE540" w14:textId="77777777" w:rsidR="00017A0C" w:rsidRPr="00721663" w:rsidRDefault="00017A0C" w:rsidP="00017A0C">
            <w:pPr>
              <w:jc w:val="right"/>
              <w:rPr>
                <w:rFonts w:ascii="Arial" w:hAnsi="Arial" w:cs="Arial"/>
                <w:b/>
                <w:color w:val="000000"/>
                <w:spacing w:val="-6"/>
                <w:sz w:val="18"/>
                <w:szCs w:val="18"/>
                <w:lang w:val="bg-BG"/>
              </w:rPr>
            </w:pPr>
          </w:p>
        </w:tc>
        <w:tc>
          <w:tcPr>
            <w:tcW w:w="1701" w:type="dxa"/>
            <w:tcBorders>
              <w:bottom w:val="single" w:sz="4" w:space="0" w:color="auto"/>
            </w:tcBorders>
          </w:tcPr>
          <w:p w14:paraId="1753B2CD" w14:textId="70166098" w:rsidR="00017A0C" w:rsidRPr="00721663" w:rsidRDefault="00017A0C" w:rsidP="00017A0C">
            <w:pPr>
              <w:jc w:val="right"/>
              <w:rPr>
                <w:rFonts w:ascii="Arial" w:hAnsi="Arial" w:cs="Arial"/>
                <w:b/>
                <w:color w:val="000000"/>
                <w:spacing w:val="-6"/>
                <w:sz w:val="18"/>
                <w:szCs w:val="18"/>
                <w:lang w:val="bg-BG"/>
              </w:rPr>
            </w:pPr>
            <w:r>
              <w:rPr>
                <w:rFonts w:ascii="Arial" w:hAnsi="Arial" w:cs="Arial"/>
                <w:b/>
                <w:color w:val="000000"/>
                <w:spacing w:val="-6"/>
                <w:sz w:val="18"/>
                <w:szCs w:val="18"/>
                <w:lang w:val="en-GB" w:eastAsia="bg-BG"/>
              </w:rPr>
              <w:t>146</w:t>
            </w:r>
          </w:p>
        </w:tc>
      </w:tr>
    </w:tbl>
    <w:p w14:paraId="56A9098D" w14:textId="77777777" w:rsidR="00E07C4E" w:rsidRPr="00721663" w:rsidRDefault="00E07C4E" w:rsidP="00144930"/>
    <w:p w14:paraId="2DE03B45" w14:textId="77777777" w:rsidR="00E07C4E" w:rsidRPr="00721663" w:rsidRDefault="00E07C4E" w:rsidP="00E07C4E">
      <w:pPr>
        <w:spacing w:line="240" w:lineRule="auto"/>
        <w:jc w:val="left"/>
        <w:rPr>
          <w:rFonts w:ascii="Arial" w:hAnsi="Arial" w:cs="Arial"/>
          <w:b/>
          <w:lang w:val="bg-BG"/>
        </w:rPr>
      </w:pPr>
      <w:r w:rsidRPr="00721663">
        <w:rPr>
          <w:lang w:val="bg-BG"/>
        </w:rPr>
        <w:br w:type="page"/>
      </w:r>
    </w:p>
    <w:p w14:paraId="763FFCA5" w14:textId="6F8E1BE9" w:rsidR="00E07C4E" w:rsidRPr="00721663" w:rsidRDefault="00E07C4E" w:rsidP="00680E2F">
      <w:pPr>
        <w:pStyle w:val="Heading1"/>
      </w:pPr>
      <w:bookmarkStart w:id="33" w:name="_Toc490647399"/>
      <w:r w:rsidRPr="00721663">
        <w:t>7. Имоти, машини и съоръжения</w:t>
      </w:r>
      <w:bookmarkEnd w:id="33"/>
    </w:p>
    <w:tbl>
      <w:tblPr>
        <w:tblW w:w="9924" w:type="dxa"/>
        <w:tblInd w:w="-567" w:type="dxa"/>
        <w:tblLayout w:type="fixed"/>
        <w:tblCellMar>
          <w:left w:w="0" w:type="dxa"/>
          <w:right w:w="0" w:type="dxa"/>
        </w:tblCellMar>
        <w:tblLook w:val="0000" w:firstRow="0" w:lastRow="0" w:firstColumn="0" w:lastColumn="0" w:noHBand="0" w:noVBand="0"/>
      </w:tblPr>
      <w:tblGrid>
        <w:gridCol w:w="2268"/>
        <w:gridCol w:w="143"/>
        <w:gridCol w:w="977"/>
        <w:gridCol w:w="142"/>
        <w:gridCol w:w="1148"/>
        <w:gridCol w:w="142"/>
        <w:gridCol w:w="1276"/>
        <w:gridCol w:w="142"/>
        <w:gridCol w:w="1275"/>
        <w:gridCol w:w="141"/>
        <w:gridCol w:w="1277"/>
        <w:gridCol w:w="142"/>
        <w:gridCol w:w="851"/>
      </w:tblGrid>
      <w:tr w:rsidR="00E07C4E" w:rsidRPr="00721663" w14:paraId="0057C0BA" w14:textId="77777777" w:rsidTr="00551604">
        <w:trPr>
          <w:trHeight w:hRule="exact" w:val="702"/>
        </w:trPr>
        <w:tc>
          <w:tcPr>
            <w:tcW w:w="2268" w:type="dxa"/>
            <w:tcBorders>
              <w:top w:val="nil"/>
              <w:left w:val="nil"/>
              <w:right w:val="nil"/>
            </w:tcBorders>
            <w:noWrap/>
            <w:vAlign w:val="bottom"/>
          </w:tcPr>
          <w:p w14:paraId="0FCC3836" w14:textId="77777777" w:rsidR="00E07C4E" w:rsidRPr="00721663" w:rsidRDefault="00E07C4E" w:rsidP="00551604">
            <w:pPr>
              <w:ind w:firstLine="284"/>
              <w:rPr>
                <w:rFonts w:ascii="Arial" w:eastAsia="Arial Unicode MS" w:hAnsi="Arial" w:cs="Arial"/>
                <w:sz w:val="18"/>
                <w:szCs w:val="18"/>
                <w:lang w:val="bg-BG"/>
              </w:rPr>
            </w:pPr>
          </w:p>
        </w:tc>
        <w:tc>
          <w:tcPr>
            <w:tcW w:w="143" w:type="dxa"/>
            <w:tcBorders>
              <w:top w:val="nil"/>
              <w:left w:val="nil"/>
              <w:bottom w:val="nil"/>
              <w:right w:val="nil"/>
            </w:tcBorders>
            <w:vAlign w:val="bottom"/>
          </w:tcPr>
          <w:p w14:paraId="2895233F" w14:textId="77777777" w:rsidR="00E07C4E" w:rsidRPr="00721663" w:rsidRDefault="00E07C4E" w:rsidP="00551604">
            <w:pPr>
              <w:rPr>
                <w:rFonts w:ascii="Arial" w:eastAsia="Arial Unicode MS" w:hAnsi="Arial" w:cs="Arial"/>
                <w:sz w:val="18"/>
                <w:szCs w:val="18"/>
                <w:lang w:val="bg-BG"/>
              </w:rPr>
            </w:pPr>
          </w:p>
        </w:tc>
        <w:tc>
          <w:tcPr>
            <w:tcW w:w="977" w:type="dxa"/>
            <w:tcBorders>
              <w:top w:val="nil"/>
              <w:left w:val="nil"/>
              <w:bottom w:val="single" w:sz="4" w:space="0" w:color="auto"/>
              <w:right w:val="nil"/>
            </w:tcBorders>
            <w:vAlign w:val="bottom"/>
          </w:tcPr>
          <w:p w14:paraId="7C75E121" w14:textId="77777777" w:rsidR="00E07C4E" w:rsidRPr="00721663" w:rsidRDefault="00E07C4E" w:rsidP="00551604">
            <w:pPr>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Земя</w:t>
            </w:r>
          </w:p>
        </w:tc>
        <w:tc>
          <w:tcPr>
            <w:tcW w:w="142" w:type="dxa"/>
            <w:tcBorders>
              <w:top w:val="nil"/>
              <w:left w:val="nil"/>
              <w:bottom w:val="nil"/>
              <w:right w:val="nil"/>
            </w:tcBorders>
            <w:vAlign w:val="bottom"/>
          </w:tcPr>
          <w:p w14:paraId="514AA680" w14:textId="77777777" w:rsidR="00E07C4E" w:rsidRPr="00721663" w:rsidRDefault="00E07C4E" w:rsidP="00551604">
            <w:pPr>
              <w:jc w:val="right"/>
              <w:rPr>
                <w:rFonts w:ascii="Arial" w:eastAsia="Arial Unicode MS" w:hAnsi="Arial" w:cs="Arial"/>
                <w:b/>
                <w:sz w:val="18"/>
                <w:szCs w:val="18"/>
                <w:lang w:val="bg-BG"/>
              </w:rPr>
            </w:pPr>
          </w:p>
        </w:tc>
        <w:tc>
          <w:tcPr>
            <w:tcW w:w="1148" w:type="dxa"/>
            <w:tcBorders>
              <w:top w:val="nil"/>
              <w:left w:val="nil"/>
              <w:bottom w:val="single" w:sz="4" w:space="0" w:color="auto"/>
              <w:right w:val="nil"/>
            </w:tcBorders>
            <w:vAlign w:val="bottom"/>
          </w:tcPr>
          <w:p w14:paraId="37E24B8D" w14:textId="77777777" w:rsidR="00E07C4E" w:rsidRPr="00721663" w:rsidRDefault="00E07C4E" w:rsidP="00551604">
            <w:pPr>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Машини и съоръжения</w:t>
            </w:r>
          </w:p>
        </w:tc>
        <w:tc>
          <w:tcPr>
            <w:tcW w:w="142" w:type="dxa"/>
            <w:tcBorders>
              <w:top w:val="nil"/>
              <w:left w:val="nil"/>
              <w:bottom w:val="nil"/>
              <w:right w:val="nil"/>
            </w:tcBorders>
            <w:vAlign w:val="bottom"/>
          </w:tcPr>
          <w:p w14:paraId="7F792BE6" w14:textId="77777777" w:rsidR="00E07C4E" w:rsidRPr="00721663" w:rsidRDefault="00E07C4E" w:rsidP="00551604">
            <w:pPr>
              <w:jc w:val="right"/>
              <w:rPr>
                <w:rFonts w:ascii="Arial" w:eastAsia="Arial Unicode MS" w:hAnsi="Arial" w:cs="Arial"/>
                <w:b/>
                <w:sz w:val="18"/>
                <w:szCs w:val="18"/>
                <w:lang w:val="bg-BG"/>
              </w:rPr>
            </w:pPr>
          </w:p>
        </w:tc>
        <w:tc>
          <w:tcPr>
            <w:tcW w:w="1276" w:type="dxa"/>
            <w:tcBorders>
              <w:top w:val="nil"/>
              <w:left w:val="nil"/>
              <w:bottom w:val="single" w:sz="4" w:space="0" w:color="auto"/>
              <w:right w:val="nil"/>
            </w:tcBorders>
            <w:vAlign w:val="bottom"/>
          </w:tcPr>
          <w:p w14:paraId="669601ED" w14:textId="77777777" w:rsidR="00E07C4E" w:rsidRPr="00721663" w:rsidRDefault="00E07C4E" w:rsidP="00551604">
            <w:pPr>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Транспортни средства</w:t>
            </w:r>
          </w:p>
        </w:tc>
        <w:tc>
          <w:tcPr>
            <w:tcW w:w="142" w:type="dxa"/>
            <w:tcBorders>
              <w:top w:val="nil"/>
              <w:left w:val="nil"/>
              <w:bottom w:val="nil"/>
              <w:right w:val="nil"/>
            </w:tcBorders>
          </w:tcPr>
          <w:p w14:paraId="23D4C62E" w14:textId="77777777" w:rsidR="00E07C4E" w:rsidRPr="00721663" w:rsidRDefault="00E07C4E" w:rsidP="00551604">
            <w:pPr>
              <w:jc w:val="right"/>
              <w:rPr>
                <w:rFonts w:ascii="Arial" w:eastAsia="Arial Unicode MS" w:hAnsi="Arial" w:cs="Arial"/>
                <w:b/>
                <w:sz w:val="18"/>
                <w:szCs w:val="18"/>
                <w:lang w:val="bg-BG"/>
              </w:rPr>
            </w:pPr>
          </w:p>
        </w:tc>
        <w:tc>
          <w:tcPr>
            <w:tcW w:w="1275" w:type="dxa"/>
            <w:tcBorders>
              <w:top w:val="nil"/>
              <w:left w:val="nil"/>
              <w:bottom w:val="single" w:sz="4" w:space="0" w:color="auto"/>
              <w:right w:val="nil"/>
            </w:tcBorders>
            <w:vAlign w:val="bottom"/>
          </w:tcPr>
          <w:p w14:paraId="34C38776" w14:textId="77777777" w:rsidR="00E07C4E" w:rsidRPr="00721663" w:rsidRDefault="00E07C4E" w:rsidP="00551604">
            <w:pPr>
              <w:jc w:val="right"/>
              <w:rPr>
                <w:rFonts w:ascii="Arial" w:eastAsia="Arial Unicode MS" w:hAnsi="Arial" w:cs="Arial"/>
                <w:b/>
                <w:sz w:val="18"/>
                <w:szCs w:val="18"/>
                <w:lang w:val="bg-BG"/>
              </w:rPr>
            </w:pPr>
            <w:r>
              <w:rPr>
                <w:rFonts w:ascii="Arial" w:eastAsia="Arial Unicode MS" w:hAnsi="Arial" w:cs="Arial"/>
                <w:b/>
                <w:sz w:val="18"/>
                <w:szCs w:val="18"/>
                <w:lang w:val="bg-BG"/>
              </w:rPr>
              <w:t>Компютър</w:t>
            </w:r>
            <w:r w:rsidRPr="00721663">
              <w:rPr>
                <w:rFonts w:ascii="Arial" w:eastAsia="Arial Unicode MS" w:hAnsi="Arial" w:cs="Arial"/>
                <w:b/>
                <w:sz w:val="18"/>
                <w:szCs w:val="18"/>
                <w:lang w:val="bg-BG"/>
              </w:rPr>
              <w:t>но оборудване</w:t>
            </w:r>
          </w:p>
        </w:tc>
        <w:tc>
          <w:tcPr>
            <w:tcW w:w="141" w:type="dxa"/>
            <w:tcBorders>
              <w:top w:val="nil"/>
              <w:left w:val="nil"/>
              <w:bottom w:val="nil"/>
              <w:right w:val="nil"/>
            </w:tcBorders>
            <w:vAlign w:val="bottom"/>
          </w:tcPr>
          <w:p w14:paraId="4C308EE9" w14:textId="77777777" w:rsidR="00E07C4E" w:rsidRPr="00721663" w:rsidRDefault="00E07C4E" w:rsidP="00551604">
            <w:pPr>
              <w:jc w:val="right"/>
              <w:rPr>
                <w:rFonts w:ascii="Arial" w:eastAsia="Arial Unicode MS" w:hAnsi="Arial" w:cs="Arial"/>
                <w:b/>
                <w:sz w:val="18"/>
                <w:szCs w:val="18"/>
                <w:lang w:val="bg-BG"/>
              </w:rPr>
            </w:pPr>
          </w:p>
        </w:tc>
        <w:tc>
          <w:tcPr>
            <w:tcW w:w="1277" w:type="dxa"/>
            <w:tcBorders>
              <w:top w:val="nil"/>
              <w:left w:val="nil"/>
              <w:bottom w:val="single" w:sz="4" w:space="0" w:color="auto"/>
              <w:right w:val="nil"/>
            </w:tcBorders>
            <w:vAlign w:val="bottom"/>
          </w:tcPr>
          <w:p w14:paraId="7DE760B3" w14:textId="77777777" w:rsidR="00E07C4E" w:rsidRPr="00721663" w:rsidRDefault="00E07C4E" w:rsidP="00551604">
            <w:pPr>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Разходи за придобиване на ДА</w:t>
            </w:r>
          </w:p>
        </w:tc>
        <w:tc>
          <w:tcPr>
            <w:tcW w:w="142" w:type="dxa"/>
            <w:tcBorders>
              <w:top w:val="nil"/>
              <w:left w:val="nil"/>
              <w:bottom w:val="nil"/>
              <w:right w:val="nil"/>
            </w:tcBorders>
            <w:vAlign w:val="bottom"/>
          </w:tcPr>
          <w:p w14:paraId="3075ADFC" w14:textId="77777777" w:rsidR="00E07C4E" w:rsidRPr="00721663" w:rsidRDefault="00E07C4E" w:rsidP="00551604">
            <w:pPr>
              <w:jc w:val="right"/>
              <w:rPr>
                <w:rFonts w:ascii="Arial" w:eastAsia="Arial Unicode MS" w:hAnsi="Arial" w:cs="Arial"/>
                <w:b/>
                <w:sz w:val="18"/>
                <w:szCs w:val="18"/>
                <w:lang w:val="bg-BG"/>
              </w:rPr>
            </w:pPr>
          </w:p>
        </w:tc>
        <w:tc>
          <w:tcPr>
            <w:tcW w:w="851" w:type="dxa"/>
            <w:tcBorders>
              <w:top w:val="nil"/>
              <w:left w:val="nil"/>
              <w:bottom w:val="single" w:sz="4" w:space="0" w:color="auto"/>
              <w:right w:val="nil"/>
            </w:tcBorders>
            <w:vAlign w:val="bottom"/>
          </w:tcPr>
          <w:p w14:paraId="2DA0793C" w14:textId="77777777" w:rsidR="00E07C4E" w:rsidRPr="00721663" w:rsidRDefault="00E07C4E" w:rsidP="00551604">
            <w:pPr>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Общо</w:t>
            </w:r>
          </w:p>
        </w:tc>
      </w:tr>
      <w:tr w:rsidR="00E07C4E" w:rsidRPr="00721663" w14:paraId="3B5422BF" w14:textId="77777777" w:rsidTr="00551604">
        <w:trPr>
          <w:trHeight w:hRule="exact" w:val="284"/>
        </w:trPr>
        <w:tc>
          <w:tcPr>
            <w:tcW w:w="2268" w:type="dxa"/>
            <w:tcBorders>
              <w:top w:val="nil"/>
              <w:left w:val="nil"/>
              <w:bottom w:val="nil"/>
              <w:right w:val="nil"/>
            </w:tcBorders>
            <w:vAlign w:val="bottom"/>
          </w:tcPr>
          <w:p w14:paraId="41894F73" w14:textId="77777777" w:rsidR="00E07C4E" w:rsidRPr="00721663" w:rsidRDefault="00E07C4E" w:rsidP="00551604">
            <w:pPr>
              <w:rPr>
                <w:rFonts w:ascii="Arial" w:hAnsi="Arial" w:cs="Arial"/>
                <w:sz w:val="18"/>
                <w:szCs w:val="18"/>
                <w:lang w:val="bg-BG"/>
              </w:rPr>
            </w:pPr>
          </w:p>
        </w:tc>
        <w:tc>
          <w:tcPr>
            <w:tcW w:w="143" w:type="dxa"/>
            <w:tcBorders>
              <w:top w:val="nil"/>
              <w:left w:val="nil"/>
              <w:bottom w:val="nil"/>
              <w:right w:val="nil"/>
            </w:tcBorders>
            <w:noWrap/>
            <w:vAlign w:val="bottom"/>
          </w:tcPr>
          <w:p w14:paraId="4BB9CB3D" w14:textId="77777777" w:rsidR="00E07C4E" w:rsidRPr="00721663" w:rsidRDefault="00E07C4E" w:rsidP="00551604">
            <w:pPr>
              <w:rPr>
                <w:rFonts w:ascii="Arial" w:eastAsia="Arial Unicode MS" w:hAnsi="Arial" w:cs="Arial"/>
                <w:sz w:val="18"/>
                <w:szCs w:val="18"/>
                <w:lang w:val="bg-BG"/>
              </w:rPr>
            </w:pPr>
          </w:p>
        </w:tc>
        <w:tc>
          <w:tcPr>
            <w:tcW w:w="977" w:type="dxa"/>
            <w:tcBorders>
              <w:top w:val="single" w:sz="4" w:space="0" w:color="auto"/>
              <w:left w:val="nil"/>
              <w:right w:val="nil"/>
            </w:tcBorders>
            <w:noWrap/>
            <w:vAlign w:val="bottom"/>
          </w:tcPr>
          <w:p w14:paraId="31B6D0EE"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142" w:type="dxa"/>
            <w:tcBorders>
              <w:top w:val="nil"/>
              <w:left w:val="nil"/>
              <w:right w:val="nil"/>
            </w:tcBorders>
          </w:tcPr>
          <w:p w14:paraId="4D7A1845"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148" w:type="dxa"/>
            <w:tcBorders>
              <w:top w:val="single" w:sz="4" w:space="0" w:color="auto"/>
              <w:left w:val="nil"/>
              <w:right w:val="nil"/>
            </w:tcBorders>
            <w:vAlign w:val="bottom"/>
          </w:tcPr>
          <w:p w14:paraId="6001F8CA"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142" w:type="dxa"/>
            <w:tcBorders>
              <w:top w:val="nil"/>
              <w:left w:val="nil"/>
              <w:right w:val="nil"/>
            </w:tcBorders>
            <w:vAlign w:val="bottom"/>
          </w:tcPr>
          <w:p w14:paraId="46B24289" w14:textId="77777777" w:rsidR="00E07C4E" w:rsidRPr="00721663" w:rsidRDefault="00E07C4E" w:rsidP="00551604">
            <w:pPr>
              <w:jc w:val="right"/>
              <w:rPr>
                <w:rFonts w:ascii="Arial" w:eastAsia="Arial Unicode MS" w:hAnsi="Arial" w:cs="Arial"/>
                <w:sz w:val="18"/>
                <w:szCs w:val="18"/>
                <w:lang w:val="bg-BG"/>
              </w:rPr>
            </w:pPr>
          </w:p>
        </w:tc>
        <w:tc>
          <w:tcPr>
            <w:tcW w:w="1276" w:type="dxa"/>
            <w:tcBorders>
              <w:top w:val="single" w:sz="4" w:space="0" w:color="auto"/>
              <w:left w:val="nil"/>
              <w:right w:val="nil"/>
            </w:tcBorders>
            <w:vAlign w:val="bottom"/>
          </w:tcPr>
          <w:p w14:paraId="3FAF63DA"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142" w:type="dxa"/>
            <w:tcBorders>
              <w:top w:val="nil"/>
              <w:left w:val="nil"/>
              <w:right w:val="nil"/>
            </w:tcBorders>
          </w:tcPr>
          <w:p w14:paraId="4696731E"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275" w:type="dxa"/>
            <w:tcBorders>
              <w:top w:val="single" w:sz="4" w:space="0" w:color="auto"/>
              <w:left w:val="nil"/>
              <w:right w:val="nil"/>
            </w:tcBorders>
            <w:vAlign w:val="bottom"/>
          </w:tcPr>
          <w:p w14:paraId="14CB2656"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141" w:type="dxa"/>
            <w:tcBorders>
              <w:top w:val="nil"/>
              <w:left w:val="nil"/>
              <w:right w:val="nil"/>
            </w:tcBorders>
            <w:noWrap/>
            <w:vAlign w:val="bottom"/>
          </w:tcPr>
          <w:p w14:paraId="508A5BF3" w14:textId="77777777" w:rsidR="00E07C4E" w:rsidRPr="00721663" w:rsidRDefault="00E07C4E" w:rsidP="00551604">
            <w:pPr>
              <w:jc w:val="right"/>
              <w:rPr>
                <w:rFonts w:ascii="Arial" w:eastAsia="Arial Unicode MS" w:hAnsi="Arial" w:cs="Arial"/>
                <w:sz w:val="18"/>
                <w:szCs w:val="18"/>
                <w:lang w:val="bg-BG"/>
              </w:rPr>
            </w:pPr>
          </w:p>
        </w:tc>
        <w:tc>
          <w:tcPr>
            <w:tcW w:w="1277" w:type="dxa"/>
            <w:tcBorders>
              <w:top w:val="single" w:sz="4" w:space="0" w:color="auto"/>
              <w:left w:val="nil"/>
              <w:right w:val="nil"/>
            </w:tcBorders>
            <w:noWrap/>
            <w:vAlign w:val="bottom"/>
          </w:tcPr>
          <w:p w14:paraId="66F667A5"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142" w:type="dxa"/>
            <w:tcBorders>
              <w:top w:val="nil"/>
              <w:left w:val="nil"/>
              <w:right w:val="nil"/>
            </w:tcBorders>
            <w:noWrap/>
          </w:tcPr>
          <w:p w14:paraId="15F31423"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851" w:type="dxa"/>
            <w:tcBorders>
              <w:top w:val="single" w:sz="4" w:space="0" w:color="auto"/>
              <w:left w:val="nil"/>
              <w:right w:val="nil"/>
            </w:tcBorders>
            <w:noWrap/>
            <w:vAlign w:val="bottom"/>
          </w:tcPr>
          <w:p w14:paraId="29584B79"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r>
      <w:tr w:rsidR="00E07C4E" w:rsidRPr="00721663" w14:paraId="6921F3B0" w14:textId="77777777" w:rsidTr="00551604">
        <w:trPr>
          <w:trHeight w:hRule="exact" w:val="113"/>
        </w:trPr>
        <w:tc>
          <w:tcPr>
            <w:tcW w:w="2268" w:type="dxa"/>
            <w:tcBorders>
              <w:top w:val="nil"/>
              <w:left w:val="nil"/>
              <w:bottom w:val="nil"/>
              <w:right w:val="nil"/>
            </w:tcBorders>
            <w:vAlign w:val="bottom"/>
          </w:tcPr>
          <w:p w14:paraId="25C5BF4C" w14:textId="77777777" w:rsidR="00E07C4E" w:rsidRPr="00721663" w:rsidRDefault="00E07C4E" w:rsidP="00551604">
            <w:pPr>
              <w:rPr>
                <w:rFonts w:ascii="Arial" w:hAnsi="Arial" w:cs="Arial"/>
                <w:sz w:val="18"/>
                <w:szCs w:val="18"/>
                <w:lang w:val="bg-BG"/>
              </w:rPr>
            </w:pPr>
          </w:p>
        </w:tc>
        <w:tc>
          <w:tcPr>
            <w:tcW w:w="143" w:type="dxa"/>
            <w:tcBorders>
              <w:top w:val="nil"/>
              <w:left w:val="nil"/>
              <w:bottom w:val="nil"/>
              <w:right w:val="nil"/>
            </w:tcBorders>
            <w:noWrap/>
            <w:vAlign w:val="bottom"/>
          </w:tcPr>
          <w:p w14:paraId="2E488C25" w14:textId="77777777" w:rsidR="00E07C4E" w:rsidRPr="00721663" w:rsidRDefault="00E07C4E" w:rsidP="00551604">
            <w:pPr>
              <w:rPr>
                <w:rFonts w:ascii="Arial" w:eastAsia="Arial Unicode MS" w:hAnsi="Arial" w:cs="Arial"/>
                <w:sz w:val="18"/>
                <w:szCs w:val="18"/>
                <w:lang w:val="bg-BG"/>
              </w:rPr>
            </w:pPr>
          </w:p>
        </w:tc>
        <w:tc>
          <w:tcPr>
            <w:tcW w:w="977" w:type="dxa"/>
            <w:tcBorders>
              <w:left w:val="nil"/>
              <w:right w:val="nil"/>
            </w:tcBorders>
            <w:noWrap/>
            <w:vAlign w:val="bottom"/>
          </w:tcPr>
          <w:p w14:paraId="3035307F" w14:textId="77777777" w:rsidR="00E07C4E" w:rsidRPr="00721663" w:rsidRDefault="00E07C4E" w:rsidP="00551604">
            <w:pPr>
              <w:jc w:val="center"/>
              <w:rPr>
                <w:rFonts w:ascii="Arial" w:eastAsia="Arial Unicode MS" w:hAnsi="Arial" w:cs="Arial"/>
                <w:b/>
                <w:sz w:val="18"/>
                <w:szCs w:val="18"/>
                <w:lang w:val="bg-BG"/>
              </w:rPr>
            </w:pPr>
          </w:p>
        </w:tc>
        <w:tc>
          <w:tcPr>
            <w:tcW w:w="142" w:type="dxa"/>
            <w:tcBorders>
              <w:left w:val="nil"/>
              <w:right w:val="nil"/>
            </w:tcBorders>
            <w:vAlign w:val="bottom"/>
          </w:tcPr>
          <w:p w14:paraId="039255CD" w14:textId="77777777" w:rsidR="00E07C4E" w:rsidRPr="00721663" w:rsidRDefault="00E07C4E" w:rsidP="00551604">
            <w:pPr>
              <w:jc w:val="center"/>
              <w:rPr>
                <w:rFonts w:ascii="Arial" w:eastAsia="Arial Unicode MS" w:hAnsi="Arial" w:cs="Arial"/>
                <w:szCs w:val="22"/>
                <w:lang w:val="bg-BG"/>
              </w:rPr>
            </w:pPr>
          </w:p>
        </w:tc>
        <w:tc>
          <w:tcPr>
            <w:tcW w:w="1148" w:type="dxa"/>
            <w:tcBorders>
              <w:left w:val="nil"/>
              <w:right w:val="nil"/>
            </w:tcBorders>
            <w:vAlign w:val="bottom"/>
          </w:tcPr>
          <w:p w14:paraId="1FF24EE6" w14:textId="77777777" w:rsidR="00E07C4E" w:rsidRPr="00721663" w:rsidRDefault="00E07C4E" w:rsidP="00551604">
            <w:pPr>
              <w:jc w:val="center"/>
              <w:rPr>
                <w:rFonts w:ascii="Arial" w:eastAsia="Arial Unicode MS" w:hAnsi="Arial" w:cs="Arial"/>
                <w:szCs w:val="22"/>
                <w:lang w:val="bg-BG"/>
              </w:rPr>
            </w:pPr>
          </w:p>
        </w:tc>
        <w:tc>
          <w:tcPr>
            <w:tcW w:w="142" w:type="dxa"/>
            <w:tcBorders>
              <w:left w:val="nil"/>
              <w:right w:val="nil"/>
            </w:tcBorders>
          </w:tcPr>
          <w:p w14:paraId="2DC99497" w14:textId="77777777" w:rsidR="00E07C4E" w:rsidRPr="00721663" w:rsidRDefault="00E07C4E" w:rsidP="00551604">
            <w:pPr>
              <w:rPr>
                <w:rFonts w:ascii="Arial" w:eastAsia="Arial Unicode MS" w:hAnsi="Arial" w:cs="Arial"/>
                <w:sz w:val="18"/>
                <w:szCs w:val="18"/>
                <w:lang w:val="bg-BG"/>
              </w:rPr>
            </w:pPr>
          </w:p>
        </w:tc>
        <w:tc>
          <w:tcPr>
            <w:tcW w:w="1276" w:type="dxa"/>
            <w:tcBorders>
              <w:left w:val="nil"/>
              <w:right w:val="nil"/>
            </w:tcBorders>
          </w:tcPr>
          <w:p w14:paraId="29561FD3" w14:textId="77777777" w:rsidR="00E07C4E" w:rsidRPr="00721663" w:rsidRDefault="00E07C4E" w:rsidP="00551604">
            <w:pPr>
              <w:rPr>
                <w:rFonts w:ascii="Arial" w:eastAsia="Arial Unicode MS" w:hAnsi="Arial" w:cs="Arial"/>
                <w:sz w:val="18"/>
                <w:szCs w:val="18"/>
                <w:lang w:val="bg-BG"/>
              </w:rPr>
            </w:pPr>
          </w:p>
        </w:tc>
        <w:tc>
          <w:tcPr>
            <w:tcW w:w="142" w:type="dxa"/>
            <w:tcBorders>
              <w:left w:val="nil"/>
              <w:right w:val="nil"/>
            </w:tcBorders>
          </w:tcPr>
          <w:p w14:paraId="680FB99E" w14:textId="77777777" w:rsidR="00E07C4E" w:rsidRPr="00721663" w:rsidRDefault="00E07C4E" w:rsidP="00551604">
            <w:pPr>
              <w:rPr>
                <w:rFonts w:ascii="Arial" w:eastAsia="Arial Unicode MS" w:hAnsi="Arial" w:cs="Arial"/>
                <w:sz w:val="18"/>
                <w:szCs w:val="18"/>
                <w:lang w:val="bg-BG"/>
              </w:rPr>
            </w:pPr>
          </w:p>
        </w:tc>
        <w:tc>
          <w:tcPr>
            <w:tcW w:w="1275" w:type="dxa"/>
            <w:tcBorders>
              <w:left w:val="nil"/>
              <w:right w:val="nil"/>
            </w:tcBorders>
            <w:vAlign w:val="bottom"/>
          </w:tcPr>
          <w:p w14:paraId="3E50C5AE" w14:textId="77777777" w:rsidR="00E07C4E" w:rsidRPr="00721663" w:rsidRDefault="00E07C4E" w:rsidP="00551604">
            <w:pPr>
              <w:rPr>
                <w:rFonts w:ascii="Arial" w:hAnsi="Arial" w:cs="Arial"/>
                <w:sz w:val="18"/>
                <w:szCs w:val="18"/>
                <w:lang w:val="bg-BG"/>
              </w:rPr>
            </w:pPr>
          </w:p>
        </w:tc>
        <w:tc>
          <w:tcPr>
            <w:tcW w:w="141" w:type="dxa"/>
            <w:tcBorders>
              <w:left w:val="nil"/>
              <w:right w:val="nil"/>
            </w:tcBorders>
            <w:noWrap/>
            <w:vAlign w:val="bottom"/>
          </w:tcPr>
          <w:p w14:paraId="3BBC718A" w14:textId="77777777" w:rsidR="00E07C4E" w:rsidRPr="00721663" w:rsidRDefault="00E07C4E" w:rsidP="00551604">
            <w:pPr>
              <w:rPr>
                <w:rFonts w:ascii="Arial" w:eastAsia="Arial Unicode MS" w:hAnsi="Arial" w:cs="Arial"/>
                <w:sz w:val="18"/>
                <w:szCs w:val="18"/>
                <w:lang w:val="bg-BG"/>
              </w:rPr>
            </w:pPr>
          </w:p>
        </w:tc>
        <w:tc>
          <w:tcPr>
            <w:tcW w:w="1277" w:type="dxa"/>
            <w:tcBorders>
              <w:left w:val="nil"/>
              <w:right w:val="nil"/>
            </w:tcBorders>
            <w:noWrap/>
            <w:vAlign w:val="bottom"/>
          </w:tcPr>
          <w:p w14:paraId="475C7FFE" w14:textId="77777777" w:rsidR="00E07C4E" w:rsidRPr="00721663" w:rsidRDefault="00E07C4E" w:rsidP="00551604">
            <w:pPr>
              <w:rPr>
                <w:rFonts w:ascii="Arial" w:hAnsi="Arial" w:cs="Arial"/>
                <w:sz w:val="18"/>
                <w:szCs w:val="18"/>
                <w:lang w:val="bg-BG"/>
              </w:rPr>
            </w:pPr>
          </w:p>
        </w:tc>
        <w:tc>
          <w:tcPr>
            <w:tcW w:w="142" w:type="dxa"/>
            <w:tcBorders>
              <w:left w:val="nil"/>
              <w:right w:val="nil"/>
            </w:tcBorders>
            <w:noWrap/>
            <w:vAlign w:val="bottom"/>
          </w:tcPr>
          <w:p w14:paraId="42A70A57" w14:textId="77777777" w:rsidR="00E07C4E" w:rsidRPr="00721663" w:rsidRDefault="00E07C4E" w:rsidP="00551604">
            <w:pPr>
              <w:rPr>
                <w:rFonts w:ascii="Arial" w:eastAsia="Arial Unicode MS" w:hAnsi="Arial" w:cs="Arial"/>
                <w:sz w:val="18"/>
                <w:szCs w:val="18"/>
                <w:lang w:val="bg-BG"/>
              </w:rPr>
            </w:pPr>
          </w:p>
        </w:tc>
        <w:tc>
          <w:tcPr>
            <w:tcW w:w="851" w:type="dxa"/>
            <w:tcBorders>
              <w:left w:val="nil"/>
              <w:right w:val="nil"/>
            </w:tcBorders>
            <w:noWrap/>
            <w:vAlign w:val="bottom"/>
          </w:tcPr>
          <w:p w14:paraId="1D4487FF" w14:textId="77777777" w:rsidR="00E07C4E" w:rsidRPr="00721663" w:rsidRDefault="00E07C4E" w:rsidP="00551604">
            <w:pPr>
              <w:rPr>
                <w:rFonts w:ascii="Arial" w:hAnsi="Arial" w:cs="Arial"/>
                <w:sz w:val="18"/>
                <w:szCs w:val="18"/>
                <w:lang w:val="bg-BG"/>
              </w:rPr>
            </w:pPr>
          </w:p>
        </w:tc>
      </w:tr>
      <w:tr w:rsidR="00E07C4E" w:rsidRPr="00721663" w14:paraId="700E8BC4" w14:textId="77777777" w:rsidTr="00551604">
        <w:trPr>
          <w:trHeight w:hRule="exact" w:val="227"/>
        </w:trPr>
        <w:tc>
          <w:tcPr>
            <w:tcW w:w="2268" w:type="dxa"/>
            <w:tcBorders>
              <w:top w:val="nil"/>
              <w:left w:val="nil"/>
              <w:bottom w:val="nil"/>
              <w:right w:val="nil"/>
            </w:tcBorders>
            <w:vAlign w:val="center"/>
          </w:tcPr>
          <w:p w14:paraId="568E8DAA" w14:textId="77777777" w:rsidR="00E07C4E" w:rsidRPr="00721663" w:rsidRDefault="00E07C4E" w:rsidP="00551604">
            <w:pPr>
              <w:jc w:val="left"/>
              <w:rPr>
                <w:rFonts w:ascii="Arial" w:hAnsi="Arial" w:cs="Arial"/>
                <w:b/>
                <w:sz w:val="18"/>
                <w:szCs w:val="18"/>
                <w:lang w:val="bg-BG"/>
              </w:rPr>
            </w:pPr>
            <w:r w:rsidRPr="00721663">
              <w:rPr>
                <w:rFonts w:ascii="Arial" w:hAnsi="Arial" w:cs="Arial"/>
                <w:b/>
                <w:sz w:val="18"/>
                <w:szCs w:val="18"/>
                <w:lang w:val="bg-BG"/>
              </w:rPr>
              <w:t>Отчетна стойност:</w:t>
            </w:r>
          </w:p>
        </w:tc>
        <w:tc>
          <w:tcPr>
            <w:tcW w:w="143" w:type="dxa"/>
            <w:tcBorders>
              <w:top w:val="nil"/>
              <w:left w:val="nil"/>
              <w:bottom w:val="nil"/>
              <w:right w:val="nil"/>
            </w:tcBorders>
            <w:noWrap/>
            <w:vAlign w:val="bottom"/>
          </w:tcPr>
          <w:p w14:paraId="35DD8DB9" w14:textId="77777777" w:rsidR="00E07C4E" w:rsidRPr="00721663" w:rsidRDefault="00E07C4E" w:rsidP="00551604">
            <w:pPr>
              <w:rPr>
                <w:rFonts w:ascii="Arial" w:eastAsia="Arial Unicode MS" w:hAnsi="Arial" w:cs="Arial"/>
                <w:sz w:val="18"/>
                <w:szCs w:val="18"/>
                <w:lang w:val="bg-BG"/>
              </w:rPr>
            </w:pPr>
          </w:p>
        </w:tc>
        <w:tc>
          <w:tcPr>
            <w:tcW w:w="977" w:type="dxa"/>
            <w:tcBorders>
              <w:top w:val="nil"/>
              <w:left w:val="nil"/>
              <w:bottom w:val="nil"/>
              <w:right w:val="nil"/>
            </w:tcBorders>
            <w:noWrap/>
            <w:vAlign w:val="center"/>
          </w:tcPr>
          <w:p w14:paraId="0F92B951" w14:textId="77777777" w:rsidR="00E07C4E" w:rsidRPr="00721663" w:rsidRDefault="00E07C4E" w:rsidP="00551604">
            <w:pPr>
              <w:ind w:right="112"/>
              <w:jc w:val="right"/>
              <w:rPr>
                <w:rFonts w:ascii="Arial" w:eastAsia="Arial Unicode MS" w:hAnsi="Arial" w:cs="Arial"/>
                <w:sz w:val="18"/>
                <w:szCs w:val="18"/>
                <w:lang w:val="bg-BG"/>
              </w:rPr>
            </w:pPr>
          </w:p>
        </w:tc>
        <w:tc>
          <w:tcPr>
            <w:tcW w:w="142" w:type="dxa"/>
            <w:tcBorders>
              <w:top w:val="nil"/>
              <w:left w:val="nil"/>
              <w:bottom w:val="nil"/>
              <w:right w:val="nil"/>
            </w:tcBorders>
            <w:vAlign w:val="center"/>
          </w:tcPr>
          <w:p w14:paraId="0ADC1A5E" w14:textId="77777777" w:rsidR="00E07C4E" w:rsidRPr="00721663" w:rsidRDefault="00E07C4E" w:rsidP="00551604">
            <w:pPr>
              <w:jc w:val="right"/>
              <w:rPr>
                <w:rFonts w:ascii="Arial" w:eastAsia="Arial Unicode MS" w:hAnsi="Arial" w:cs="Arial"/>
                <w:sz w:val="18"/>
                <w:szCs w:val="18"/>
                <w:lang w:val="bg-BG"/>
              </w:rPr>
            </w:pPr>
          </w:p>
        </w:tc>
        <w:tc>
          <w:tcPr>
            <w:tcW w:w="1148" w:type="dxa"/>
            <w:tcBorders>
              <w:top w:val="nil"/>
              <w:left w:val="nil"/>
              <w:bottom w:val="nil"/>
              <w:right w:val="nil"/>
            </w:tcBorders>
            <w:vAlign w:val="center"/>
          </w:tcPr>
          <w:p w14:paraId="38EC35A1" w14:textId="77777777" w:rsidR="00E07C4E" w:rsidRPr="00721663" w:rsidRDefault="00E07C4E" w:rsidP="00551604">
            <w:pPr>
              <w:ind w:right="112"/>
              <w:jc w:val="right"/>
              <w:rPr>
                <w:rFonts w:ascii="Arial" w:eastAsia="Arial Unicode MS" w:hAnsi="Arial" w:cs="Arial"/>
                <w:sz w:val="18"/>
                <w:szCs w:val="18"/>
                <w:lang w:val="bg-BG"/>
              </w:rPr>
            </w:pPr>
          </w:p>
        </w:tc>
        <w:tc>
          <w:tcPr>
            <w:tcW w:w="142" w:type="dxa"/>
            <w:tcBorders>
              <w:top w:val="nil"/>
              <w:left w:val="nil"/>
              <w:bottom w:val="nil"/>
              <w:right w:val="nil"/>
            </w:tcBorders>
            <w:vAlign w:val="center"/>
          </w:tcPr>
          <w:p w14:paraId="58D24524" w14:textId="77777777" w:rsidR="00E07C4E" w:rsidRPr="00721663" w:rsidRDefault="00E07C4E" w:rsidP="00551604">
            <w:pPr>
              <w:jc w:val="right"/>
              <w:rPr>
                <w:rFonts w:ascii="Arial" w:eastAsia="Arial Unicode MS" w:hAnsi="Arial" w:cs="Arial"/>
                <w:sz w:val="18"/>
                <w:szCs w:val="18"/>
                <w:lang w:val="bg-BG"/>
              </w:rPr>
            </w:pPr>
          </w:p>
        </w:tc>
        <w:tc>
          <w:tcPr>
            <w:tcW w:w="1276" w:type="dxa"/>
            <w:tcBorders>
              <w:top w:val="nil"/>
              <w:left w:val="nil"/>
              <w:bottom w:val="nil"/>
              <w:right w:val="nil"/>
            </w:tcBorders>
            <w:vAlign w:val="center"/>
          </w:tcPr>
          <w:p w14:paraId="15B36640" w14:textId="77777777" w:rsidR="00E07C4E" w:rsidRPr="00721663" w:rsidRDefault="00E07C4E" w:rsidP="00551604">
            <w:pPr>
              <w:ind w:right="112"/>
              <w:jc w:val="right"/>
              <w:rPr>
                <w:rFonts w:ascii="Arial" w:eastAsia="Arial Unicode MS" w:hAnsi="Arial" w:cs="Arial"/>
                <w:sz w:val="18"/>
                <w:szCs w:val="18"/>
                <w:lang w:val="bg-BG"/>
              </w:rPr>
            </w:pPr>
          </w:p>
        </w:tc>
        <w:tc>
          <w:tcPr>
            <w:tcW w:w="142" w:type="dxa"/>
            <w:tcBorders>
              <w:top w:val="nil"/>
              <w:left w:val="nil"/>
              <w:bottom w:val="nil"/>
              <w:right w:val="nil"/>
            </w:tcBorders>
          </w:tcPr>
          <w:p w14:paraId="1E665582" w14:textId="77777777" w:rsidR="00E07C4E" w:rsidRPr="00721663" w:rsidRDefault="00E07C4E" w:rsidP="00551604">
            <w:pPr>
              <w:jc w:val="right"/>
              <w:rPr>
                <w:rFonts w:ascii="Arial" w:eastAsia="Arial Unicode MS" w:hAnsi="Arial" w:cs="Arial"/>
                <w:sz w:val="18"/>
                <w:szCs w:val="18"/>
                <w:lang w:val="bg-BG"/>
              </w:rPr>
            </w:pPr>
          </w:p>
        </w:tc>
        <w:tc>
          <w:tcPr>
            <w:tcW w:w="1275" w:type="dxa"/>
            <w:tcBorders>
              <w:top w:val="nil"/>
              <w:left w:val="nil"/>
              <w:bottom w:val="nil"/>
              <w:right w:val="nil"/>
            </w:tcBorders>
            <w:vAlign w:val="center"/>
          </w:tcPr>
          <w:p w14:paraId="56EB0ECD" w14:textId="77777777" w:rsidR="00E07C4E" w:rsidRPr="00721663" w:rsidRDefault="00E07C4E" w:rsidP="00551604">
            <w:pPr>
              <w:ind w:right="116"/>
              <w:jc w:val="right"/>
              <w:rPr>
                <w:rFonts w:ascii="Arial" w:eastAsia="Arial Unicode MS" w:hAnsi="Arial" w:cs="Arial"/>
                <w:sz w:val="18"/>
                <w:szCs w:val="18"/>
                <w:lang w:val="bg-BG"/>
              </w:rPr>
            </w:pPr>
          </w:p>
        </w:tc>
        <w:tc>
          <w:tcPr>
            <w:tcW w:w="141" w:type="dxa"/>
            <w:tcBorders>
              <w:top w:val="nil"/>
              <w:left w:val="nil"/>
              <w:bottom w:val="nil"/>
              <w:right w:val="nil"/>
            </w:tcBorders>
            <w:noWrap/>
            <w:vAlign w:val="center"/>
          </w:tcPr>
          <w:p w14:paraId="12A3BF9E" w14:textId="77777777" w:rsidR="00E07C4E" w:rsidRPr="00721663" w:rsidRDefault="00E07C4E" w:rsidP="00551604">
            <w:pPr>
              <w:jc w:val="right"/>
              <w:rPr>
                <w:rFonts w:ascii="Arial" w:eastAsia="Arial Unicode MS" w:hAnsi="Arial" w:cs="Arial"/>
                <w:sz w:val="18"/>
                <w:szCs w:val="18"/>
                <w:lang w:val="bg-BG"/>
              </w:rPr>
            </w:pPr>
          </w:p>
        </w:tc>
        <w:tc>
          <w:tcPr>
            <w:tcW w:w="1277" w:type="dxa"/>
            <w:tcBorders>
              <w:top w:val="nil"/>
              <w:left w:val="nil"/>
              <w:bottom w:val="nil"/>
              <w:right w:val="nil"/>
            </w:tcBorders>
            <w:noWrap/>
            <w:vAlign w:val="center"/>
          </w:tcPr>
          <w:p w14:paraId="2EFACE84" w14:textId="77777777" w:rsidR="00E07C4E" w:rsidRPr="00721663" w:rsidRDefault="00E07C4E" w:rsidP="00551604">
            <w:pPr>
              <w:ind w:right="116"/>
              <w:jc w:val="right"/>
              <w:rPr>
                <w:rFonts w:ascii="Arial" w:eastAsia="Arial Unicode MS" w:hAnsi="Arial" w:cs="Arial"/>
                <w:sz w:val="18"/>
                <w:szCs w:val="18"/>
                <w:lang w:val="bg-BG"/>
              </w:rPr>
            </w:pPr>
          </w:p>
        </w:tc>
        <w:tc>
          <w:tcPr>
            <w:tcW w:w="142" w:type="dxa"/>
            <w:tcBorders>
              <w:top w:val="nil"/>
              <w:left w:val="nil"/>
              <w:bottom w:val="nil"/>
              <w:right w:val="nil"/>
            </w:tcBorders>
            <w:noWrap/>
            <w:vAlign w:val="center"/>
          </w:tcPr>
          <w:p w14:paraId="66D167AE" w14:textId="77777777" w:rsidR="00E07C4E" w:rsidRPr="00721663" w:rsidRDefault="00E07C4E" w:rsidP="00551604">
            <w:pPr>
              <w:jc w:val="right"/>
              <w:rPr>
                <w:rFonts w:ascii="Arial" w:eastAsia="Arial Unicode MS" w:hAnsi="Arial" w:cs="Arial"/>
                <w:sz w:val="18"/>
                <w:szCs w:val="18"/>
                <w:lang w:val="bg-BG"/>
              </w:rPr>
            </w:pPr>
          </w:p>
        </w:tc>
        <w:tc>
          <w:tcPr>
            <w:tcW w:w="851" w:type="dxa"/>
            <w:tcBorders>
              <w:top w:val="nil"/>
              <w:left w:val="nil"/>
              <w:bottom w:val="nil"/>
              <w:right w:val="nil"/>
            </w:tcBorders>
            <w:noWrap/>
            <w:vAlign w:val="center"/>
          </w:tcPr>
          <w:p w14:paraId="0A83743A" w14:textId="77777777" w:rsidR="00E07C4E" w:rsidRPr="00721663" w:rsidRDefault="00E07C4E" w:rsidP="00551604">
            <w:pPr>
              <w:ind w:right="142"/>
              <w:jc w:val="right"/>
              <w:rPr>
                <w:rFonts w:ascii="Arial" w:eastAsia="Arial Unicode MS" w:hAnsi="Arial" w:cs="Arial"/>
                <w:sz w:val="18"/>
                <w:szCs w:val="18"/>
                <w:lang w:val="bg-BG"/>
              </w:rPr>
            </w:pPr>
          </w:p>
        </w:tc>
      </w:tr>
      <w:tr w:rsidR="00017A0C" w:rsidRPr="00721663" w14:paraId="1323D611" w14:textId="77777777" w:rsidTr="00551604">
        <w:trPr>
          <w:trHeight w:hRule="exact" w:val="321"/>
        </w:trPr>
        <w:tc>
          <w:tcPr>
            <w:tcW w:w="2268" w:type="dxa"/>
            <w:tcBorders>
              <w:top w:val="nil"/>
              <w:left w:val="nil"/>
              <w:bottom w:val="nil"/>
              <w:right w:val="nil"/>
            </w:tcBorders>
            <w:noWrap/>
            <w:vAlign w:val="center"/>
          </w:tcPr>
          <w:p w14:paraId="7914CEF8" w14:textId="2B2695D9" w:rsidR="00017A0C" w:rsidRPr="00721663" w:rsidRDefault="00017A0C" w:rsidP="00017A0C">
            <w:pPr>
              <w:jc w:val="left"/>
              <w:rPr>
                <w:rFonts w:ascii="Arial" w:hAnsi="Arial" w:cs="Arial"/>
                <w:b/>
                <w:sz w:val="18"/>
                <w:szCs w:val="18"/>
                <w:lang w:val="bg-BG"/>
              </w:rPr>
            </w:pPr>
            <w:r w:rsidRPr="00721663">
              <w:rPr>
                <w:rFonts w:ascii="Arial" w:hAnsi="Arial" w:cs="Arial"/>
                <w:b/>
                <w:sz w:val="18"/>
                <w:szCs w:val="18"/>
                <w:lang w:val="bg-BG"/>
              </w:rPr>
              <w:t xml:space="preserve">На 1 януари </w:t>
            </w:r>
            <w:r>
              <w:rPr>
                <w:rFonts w:ascii="Arial" w:hAnsi="Arial" w:cs="Arial"/>
                <w:b/>
                <w:sz w:val="18"/>
                <w:szCs w:val="18"/>
                <w:lang w:val="bg-BG"/>
              </w:rPr>
              <w:t>2016</w:t>
            </w:r>
            <w:r w:rsidRPr="00721663">
              <w:rPr>
                <w:rFonts w:ascii="Arial" w:hAnsi="Arial" w:cs="Arial"/>
                <w:b/>
                <w:sz w:val="18"/>
                <w:szCs w:val="18"/>
                <w:lang w:val="bg-BG"/>
              </w:rPr>
              <w:t xml:space="preserve"> г.</w:t>
            </w:r>
          </w:p>
        </w:tc>
        <w:tc>
          <w:tcPr>
            <w:tcW w:w="143" w:type="dxa"/>
            <w:tcBorders>
              <w:top w:val="nil"/>
              <w:left w:val="nil"/>
              <w:bottom w:val="nil"/>
              <w:right w:val="nil"/>
            </w:tcBorders>
            <w:noWrap/>
            <w:vAlign w:val="bottom"/>
          </w:tcPr>
          <w:p w14:paraId="2E54E82C" w14:textId="77777777" w:rsidR="00017A0C" w:rsidRPr="00721663" w:rsidRDefault="00017A0C" w:rsidP="00017A0C">
            <w:pPr>
              <w:rPr>
                <w:rFonts w:ascii="Arial" w:eastAsia="Arial Unicode MS" w:hAnsi="Arial" w:cs="Arial"/>
                <w:sz w:val="18"/>
                <w:szCs w:val="18"/>
                <w:lang w:val="bg-BG"/>
              </w:rPr>
            </w:pPr>
          </w:p>
        </w:tc>
        <w:tc>
          <w:tcPr>
            <w:tcW w:w="977" w:type="dxa"/>
            <w:tcBorders>
              <w:left w:val="nil"/>
              <w:right w:val="nil"/>
            </w:tcBorders>
            <w:noWrap/>
            <w:vAlign w:val="center"/>
          </w:tcPr>
          <w:p w14:paraId="0A5B9F01" w14:textId="55B396B8" w:rsidR="00017A0C" w:rsidRPr="00721663" w:rsidRDefault="00017A0C" w:rsidP="00017A0C">
            <w:pPr>
              <w:ind w:right="112"/>
              <w:jc w:val="right"/>
              <w:rPr>
                <w:rFonts w:ascii="Arial" w:eastAsia="Arial Unicode MS" w:hAnsi="Arial" w:cs="Arial"/>
                <w:b/>
                <w:sz w:val="18"/>
                <w:szCs w:val="18"/>
                <w:lang w:val="bg-BG"/>
              </w:rPr>
            </w:pPr>
            <w:r>
              <w:rPr>
                <w:rFonts w:ascii="Arial" w:eastAsia="Arial Unicode MS" w:hAnsi="Arial" w:cs="Arial"/>
                <w:b/>
                <w:sz w:val="18"/>
                <w:szCs w:val="18"/>
                <w:lang w:val="en-GB" w:eastAsia="bg-BG"/>
              </w:rPr>
              <w:t>28</w:t>
            </w:r>
          </w:p>
        </w:tc>
        <w:tc>
          <w:tcPr>
            <w:tcW w:w="142" w:type="dxa"/>
            <w:tcBorders>
              <w:left w:val="nil"/>
              <w:right w:val="nil"/>
            </w:tcBorders>
            <w:vAlign w:val="center"/>
          </w:tcPr>
          <w:p w14:paraId="77EF939F" w14:textId="77777777" w:rsidR="00017A0C" w:rsidRPr="00721663" w:rsidRDefault="00017A0C" w:rsidP="00017A0C">
            <w:pPr>
              <w:jc w:val="right"/>
              <w:rPr>
                <w:rFonts w:ascii="Arial" w:eastAsia="Arial Unicode MS" w:hAnsi="Arial" w:cs="Arial"/>
                <w:b/>
                <w:sz w:val="18"/>
                <w:szCs w:val="18"/>
                <w:lang w:val="bg-BG"/>
              </w:rPr>
            </w:pPr>
          </w:p>
        </w:tc>
        <w:tc>
          <w:tcPr>
            <w:tcW w:w="1148" w:type="dxa"/>
            <w:tcBorders>
              <w:left w:val="nil"/>
              <w:right w:val="nil"/>
            </w:tcBorders>
            <w:vAlign w:val="center"/>
          </w:tcPr>
          <w:p w14:paraId="3CFF25AF" w14:textId="44B974EF" w:rsidR="00017A0C" w:rsidRPr="00721663" w:rsidRDefault="00017A0C" w:rsidP="00017A0C">
            <w:pPr>
              <w:ind w:right="112"/>
              <w:jc w:val="right"/>
              <w:rPr>
                <w:rFonts w:ascii="Arial" w:eastAsia="Arial Unicode MS" w:hAnsi="Arial" w:cs="Arial"/>
                <w:b/>
                <w:sz w:val="18"/>
                <w:szCs w:val="18"/>
                <w:lang w:val="bg-BG"/>
              </w:rPr>
            </w:pPr>
            <w:r>
              <w:rPr>
                <w:rFonts w:ascii="Arial" w:eastAsia="Arial Unicode MS" w:hAnsi="Arial" w:cs="Arial"/>
                <w:b/>
                <w:sz w:val="18"/>
                <w:szCs w:val="18"/>
                <w:lang w:val="en-GB" w:eastAsia="bg-BG"/>
              </w:rPr>
              <w:t>20,993</w:t>
            </w:r>
          </w:p>
        </w:tc>
        <w:tc>
          <w:tcPr>
            <w:tcW w:w="142" w:type="dxa"/>
            <w:tcBorders>
              <w:left w:val="nil"/>
              <w:right w:val="nil"/>
            </w:tcBorders>
            <w:vAlign w:val="center"/>
          </w:tcPr>
          <w:p w14:paraId="23558C35" w14:textId="77777777" w:rsidR="00017A0C" w:rsidRPr="00721663" w:rsidRDefault="00017A0C" w:rsidP="00017A0C">
            <w:pPr>
              <w:jc w:val="right"/>
              <w:rPr>
                <w:rFonts w:ascii="Arial" w:eastAsia="Arial Unicode MS" w:hAnsi="Arial" w:cs="Arial"/>
                <w:b/>
                <w:sz w:val="18"/>
                <w:szCs w:val="18"/>
                <w:lang w:val="bg-BG"/>
              </w:rPr>
            </w:pPr>
          </w:p>
        </w:tc>
        <w:tc>
          <w:tcPr>
            <w:tcW w:w="1276" w:type="dxa"/>
            <w:tcBorders>
              <w:left w:val="nil"/>
              <w:right w:val="nil"/>
            </w:tcBorders>
            <w:vAlign w:val="center"/>
          </w:tcPr>
          <w:p w14:paraId="23F09ABB" w14:textId="201F6F24" w:rsidR="00017A0C" w:rsidRPr="00721663" w:rsidRDefault="00017A0C" w:rsidP="00017A0C">
            <w:pPr>
              <w:ind w:right="112"/>
              <w:jc w:val="right"/>
              <w:rPr>
                <w:rFonts w:ascii="Arial" w:eastAsia="Arial Unicode MS" w:hAnsi="Arial" w:cs="Arial"/>
                <w:b/>
                <w:sz w:val="18"/>
                <w:szCs w:val="18"/>
                <w:lang w:val="bg-BG"/>
              </w:rPr>
            </w:pPr>
            <w:r>
              <w:rPr>
                <w:rFonts w:ascii="Arial" w:eastAsia="Arial Unicode MS" w:hAnsi="Arial" w:cs="Arial"/>
                <w:b/>
                <w:sz w:val="18"/>
                <w:szCs w:val="18"/>
                <w:lang w:val="en-GB" w:eastAsia="bg-BG"/>
              </w:rPr>
              <w:t>27</w:t>
            </w:r>
          </w:p>
        </w:tc>
        <w:tc>
          <w:tcPr>
            <w:tcW w:w="142" w:type="dxa"/>
            <w:tcBorders>
              <w:left w:val="nil"/>
              <w:right w:val="nil"/>
            </w:tcBorders>
          </w:tcPr>
          <w:p w14:paraId="606CCABA" w14:textId="77777777" w:rsidR="00017A0C" w:rsidRPr="00721663" w:rsidRDefault="00017A0C" w:rsidP="00017A0C">
            <w:pPr>
              <w:jc w:val="right"/>
              <w:rPr>
                <w:rFonts w:ascii="Arial" w:eastAsia="Arial Unicode MS" w:hAnsi="Arial" w:cs="Arial"/>
                <w:b/>
                <w:sz w:val="18"/>
                <w:szCs w:val="18"/>
                <w:lang w:val="bg-BG"/>
              </w:rPr>
            </w:pPr>
          </w:p>
        </w:tc>
        <w:tc>
          <w:tcPr>
            <w:tcW w:w="1275" w:type="dxa"/>
            <w:tcBorders>
              <w:left w:val="nil"/>
              <w:right w:val="nil"/>
            </w:tcBorders>
            <w:vAlign w:val="center"/>
          </w:tcPr>
          <w:p w14:paraId="48AA36C2" w14:textId="610DDF6D" w:rsidR="00017A0C" w:rsidRPr="00721663" w:rsidRDefault="00017A0C" w:rsidP="00017A0C">
            <w:pPr>
              <w:ind w:right="112"/>
              <w:jc w:val="right"/>
              <w:rPr>
                <w:rFonts w:ascii="Arial" w:eastAsia="Arial Unicode MS" w:hAnsi="Arial" w:cs="Arial"/>
                <w:b/>
                <w:sz w:val="18"/>
                <w:szCs w:val="18"/>
                <w:lang w:val="bg-BG"/>
              </w:rPr>
            </w:pPr>
            <w:r>
              <w:rPr>
                <w:rFonts w:ascii="Arial" w:eastAsia="Arial Unicode MS" w:hAnsi="Arial" w:cs="Arial"/>
                <w:b/>
                <w:sz w:val="18"/>
                <w:szCs w:val="18"/>
                <w:lang w:val="en-GB" w:eastAsia="bg-BG"/>
              </w:rPr>
              <w:t>4</w:t>
            </w:r>
          </w:p>
        </w:tc>
        <w:tc>
          <w:tcPr>
            <w:tcW w:w="141" w:type="dxa"/>
            <w:tcBorders>
              <w:left w:val="nil"/>
              <w:right w:val="nil"/>
            </w:tcBorders>
            <w:noWrap/>
            <w:vAlign w:val="center"/>
          </w:tcPr>
          <w:p w14:paraId="45038D9D" w14:textId="77777777" w:rsidR="00017A0C" w:rsidRPr="00721663" w:rsidRDefault="00017A0C" w:rsidP="00017A0C">
            <w:pPr>
              <w:jc w:val="right"/>
              <w:rPr>
                <w:rFonts w:ascii="Arial" w:eastAsia="Arial Unicode MS" w:hAnsi="Arial" w:cs="Arial"/>
                <w:b/>
                <w:sz w:val="18"/>
                <w:szCs w:val="18"/>
                <w:lang w:val="bg-BG"/>
              </w:rPr>
            </w:pPr>
          </w:p>
        </w:tc>
        <w:tc>
          <w:tcPr>
            <w:tcW w:w="1277" w:type="dxa"/>
            <w:tcBorders>
              <w:left w:val="nil"/>
              <w:right w:val="nil"/>
            </w:tcBorders>
            <w:noWrap/>
            <w:vAlign w:val="center"/>
          </w:tcPr>
          <w:p w14:paraId="345C9169" w14:textId="1E552C0C" w:rsidR="00017A0C" w:rsidRPr="00721663" w:rsidRDefault="00017A0C" w:rsidP="00017A0C">
            <w:pPr>
              <w:ind w:right="112"/>
              <w:jc w:val="right"/>
              <w:rPr>
                <w:rFonts w:ascii="Arial" w:eastAsia="Arial Unicode MS" w:hAnsi="Arial" w:cs="Arial"/>
                <w:b/>
                <w:sz w:val="18"/>
                <w:szCs w:val="18"/>
                <w:lang w:val="bg-BG"/>
              </w:rPr>
            </w:pPr>
            <w:r>
              <w:rPr>
                <w:rFonts w:ascii="Arial" w:eastAsia="Arial Unicode MS" w:hAnsi="Arial" w:cs="Arial"/>
                <w:b/>
                <w:sz w:val="18"/>
                <w:szCs w:val="18"/>
                <w:lang w:val="en-GB" w:eastAsia="bg-BG"/>
              </w:rPr>
              <w:t>17</w:t>
            </w:r>
          </w:p>
        </w:tc>
        <w:tc>
          <w:tcPr>
            <w:tcW w:w="142" w:type="dxa"/>
            <w:tcBorders>
              <w:left w:val="nil"/>
              <w:right w:val="nil"/>
            </w:tcBorders>
            <w:noWrap/>
            <w:vAlign w:val="center"/>
          </w:tcPr>
          <w:p w14:paraId="5E4326A9" w14:textId="77777777" w:rsidR="00017A0C" w:rsidRPr="00721663" w:rsidRDefault="00017A0C" w:rsidP="00017A0C">
            <w:pPr>
              <w:ind w:right="112"/>
              <w:jc w:val="right"/>
              <w:rPr>
                <w:rFonts w:ascii="Arial" w:eastAsia="Arial Unicode MS" w:hAnsi="Arial" w:cs="Arial"/>
                <w:b/>
                <w:sz w:val="18"/>
                <w:szCs w:val="18"/>
                <w:lang w:val="bg-BG"/>
              </w:rPr>
            </w:pPr>
          </w:p>
        </w:tc>
        <w:tc>
          <w:tcPr>
            <w:tcW w:w="851" w:type="dxa"/>
            <w:tcBorders>
              <w:left w:val="nil"/>
              <w:right w:val="nil"/>
            </w:tcBorders>
            <w:noWrap/>
            <w:vAlign w:val="center"/>
          </w:tcPr>
          <w:p w14:paraId="512F001A" w14:textId="213B5DA7" w:rsidR="00017A0C" w:rsidRPr="00721663" w:rsidRDefault="00017A0C" w:rsidP="00017A0C">
            <w:pPr>
              <w:ind w:right="142"/>
              <w:jc w:val="right"/>
              <w:rPr>
                <w:rFonts w:ascii="Arial" w:eastAsia="Arial Unicode MS" w:hAnsi="Arial" w:cs="Arial"/>
                <w:b/>
                <w:sz w:val="18"/>
                <w:szCs w:val="18"/>
                <w:lang w:val="bg-BG"/>
              </w:rPr>
            </w:pPr>
            <w:r>
              <w:rPr>
                <w:rFonts w:ascii="Arial" w:eastAsia="Arial Unicode MS" w:hAnsi="Arial" w:cs="Arial"/>
                <w:b/>
                <w:sz w:val="18"/>
                <w:szCs w:val="18"/>
                <w:lang w:val="en-GB" w:eastAsia="bg-BG"/>
              </w:rPr>
              <w:t>21,069</w:t>
            </w:r>
          </w:p>
        </w:tc>
      </w:tr>
      <w:tr w:rsidR="00017A0C" w:rsidRPr="00721663" w14:paraId="5E81838B" w14:textId="77777777" w:rsidTr="00017A0C">
        <w:trPr>
          <w:trHeight w:hRule="exact" w:val="301"/>
        </w:trPr>
        <w:tc>
          <w:tcPr>
            <w:tcW w:w="2268" w:type="dxa"/>
            <w:tcBorders>
              <w:top w:val="nil"/>
              <w:left w:val="nil"/>
              <w:bottom w:val="nil"/>
              <w:right w:val="nil"/>
            </w:tcBorders>
            <w:noWrap/>
          </w:tcPr>
          <w:p w14:paraId="60D7FDE0" w14:textId="77777777" w:rsidR="00017A0C" w:rsidRPr="00721663" w:rsidRDefault="00017A0C" w:rsidP="00017A0C">
            <w:pPr>
              <w:jc w:val="left"/>
              <w:rPr>
                <w:rFonts w:ascii="Arial" w:hAnsi="Arial" w:cs="Arial"/>
                <w:sz w:val="18"/>
                <w:szCs w:val="18"/>
                <w:lang w:val="bg-BG"/>
              </w:rPr>
            </w:pPr>
            <w:r w:rsidRPr="00721663">
              <w:rPr>
                <w:rFonts w:ascii="Arial" w:hAnsi="Arial" w:cs="Arial"/>
                <w:sz w:val="18"/>
                <w:szCs w:val="18"/>
                <w:lang w:val="bg-BG"/>
              </w:rPr>
              <w:t>Обезценка</w:t>
            </w:r>
          </w:p>
        </w:tc>
        <w:tc>
          <w:tcPr>
            <w:tcW w:w="143" w:type="dxa"/>
            <w:tcBorders>
              <w:top w:val="nil"/>
              <w:left w:val="nil"/>
              <w:bottom w:val="nil"/>
              <w:right w:val="nil"/>
            </w:tcBorders>
            <w:noWrap/>
          </w:tcPr>
          <w:p w14:paraId="593360F3" w14:textId="77777777" w:rsidR="00017A0C" w:rsidRPr="00721663" w:rsidRDefault="00017A0C" w:rsidP="00017A0C">
            <w:pPr>
              <w:jc w:val="left"/>
              <w:rPr>
                <w:rFonts w:ascii="Arial" w:hAnsi="Arial" w:cs="Arial"/>
                <w:sz w:val="18"/>
                <w:szCs w:val="18"/>
                <w:lang w:val="bg-BG"/>
              </w:rPr>
            </w:pPr>
          </w:p>
        </w:tc>
        <w:tc>
          <w:tcPr>
            <w:tcW w:w="977" w:type="dxa"/>
            <w:tcBorders>
              <w:left w:val="nil"/>
              <w:bottom w:val="single" w:sz="4" w:space="0" w:color="auto"/>
              <w:right w:val="nil"/>
            </w:tcBorders>
            <w:noWrap/>
            <w:vAlign w:val="center"/>
          </w:tcPr>
          <w:p w14:paraId="231B3DAB" w14:textId="6093A982" w:rsidR="00017A0C" w:rsidRPr="00721663" w:rsidRDefault="00017A0C" w:rsidP="00017A0C">
            <w:pPr>
              <w:ind w:right="112"/>
              <w:jc w:val="right"/>
              <w:rPr>
                <w:rFonts w:ascii="Arial" w:hAnsi="Arial" w:cs="Arial"/>
                <w:sz w:val="18"/>
                <w:szCs w:val="18"/>
                <w:lang w:val="bg-BG"/>
              </w:rPr>
            </w:pPr>
            <w:r>
              <w:rPr>
                <w:rFonts w:ascii="Arial" w:eastAsia="Arial Unicode MS" w:hAnsi="Arial" w:cs="Arial"/>
                <w:sz w:val="18"/>
                <w:szCs w:val="18"/>
                <w:lang w:val="en-GB" w:eastAsia="bg-BG"/>
              </w:rPr>
              <w:t>-</w:t>
            </w:r>
          </w:p>
        </w:tc>
        <w:tc>
          <w:tcPr>
            <w:tcW w:w="142" w:type="dxa"/>
            <w:tcBorders>
              <w:left w:val="nil"/>
              <w:right w:val="nil"/>
            </w:tcBorders>
            <w:vAlign w:val="center"/>
          </w:tcPr>
          <w:p w14:paraId="67199878" w14:textId="77777777" w:rsidR="00017A0C" w:rsidRPr="00721663" w:rsidRDefault="00017A0C" w:rsidP="00017A0C">
            <w:pPr>
              <w:jc w:val="right"/>
              <w:rPr>
                <w:rFonts w:ascii="Arial" w:hAnsi="Arial" w:cs="Arial"/>
                <w:sz w:val="18"/>
                <w:szCs w:val="18"/>
                <w:lang w:val="bg-BG"/>
              </w:rPr>
            </w:pPr>
          </w:p>
        </w:tc>
        <w:tc>
          <w:tcPr>
            <w:tcW w:w="1148" w:type="dxa"/>
            <w:tcBorders>
              <w:left w:val="nil"/>
              <w:bottom w:val="single" w:sz="4" w:space="0" w:color="auto"/>
              <w:right w:val="nil"/>
            </w:tcBorders>
            <w:vAlign w:val="center"/>
          </w:tcPr>
          <w:p w14:paraId="5BFB1B25" w14:textId="322963F3" w:rsidR="00017A0C" w:rsidRPr="00721663" w:rsidRDefault="00017A0C" w:rsidP="00017A0C">
            <w:pPr>
              <w:ind w:right="112"/>
              <w:jc w:val="right"/>
              <w:rPr>
                <w:rFonts w:ascii="Arial" w:hAnsi="Arial" w:cs="Arial"/>
                <w:sz w:val="18"/>
                <w:szCs w:val="18"/>
                <w:lang w:val="bg-BG"/>
              </w:rPr>
            </w:pPr>
            <w:r>
              <w:rPr>
                <w:rFonts w:ascii="Arial" w:eastAsia="Arial Unicode MS" w:hAnsi="Arial" w:cs="Arial"/>
                <w:sz w:val="18"/>
                <w:szCs w:val="18"/>
                <w:lang w:val="en-GB" w:eastAsia="bg-BG"/>
              </w:rPr>
              <w:t>-</w:t>
            </w:r>
          </w:p>
        </w:tc>
        <w:tc>
          <w:tcPr>
            <w:tcW w:w="142" w:type="dxa"/>
            <w:tcBorders>
              <w:left w:val="nil"/>
              <w:right w:val="nil"/>
            </w:tcBorders>
            <w:vAlign w:val="center"/>
          </w:tcPr>
          <w:p w14:paraId="4B4D3554" w14:textId="77777777" w:rsidR="00017A0C" w:rsidRPr="00721663" w:rsidRDefault="00017A0C" w:rsidP="00017A0C">
            <w:pPr>
              <w:jc w:val="right"/>
              <w:rPr>
                <w:rFonts w:ascii="Arial" w:hAnsi="Arial" w:cs="Arial"/>
                <w:sz w:val="18"/>
                <w:szCs w:val="18"/>
                <w:lang w:val="bg-BG"/>
              </w:rPr>
            </w:pPr>
          </w:p>
        </w:tc>
        <w:tc>
          <w:tcPr>
            <w:tcW w:w="1276" w:type="dxa"/>
            <w:tcBorders>
              <w:left w:val="nil"/>
              <w:bottom w:val="single" w:sz="4" w:space="0" w:color="auto"/>
              <w:right w:val="nil"/>
            </w:tcBorders>
            <w:vAlign w:val="center"/>
          </w:tcPr>
          <w:p w14:paraId="6C03BE04" w14:textId="1A3FF897" w:rsidR="00017A0C" w:rsidRPr="00721663" w:rsidRDefault="00017A0C" w:rsidP="00017A0C">
            <w:pPr>
              <w:ind w:right="112"/>
              <w:jc w:val="right"/>
              <w:rPr>
                <w:rFonts w:ascii="Arial" w:hAnsi="Arial" w:cs="Arial"/>
                <w:sz w:val="18"/>
                <w:szCs w:val="18"/>
                <w:lang w:val="bg-BG"/>
              </w:rPr>
            </w:pPr>
            <w:r>
              <w:rPr>
                <w:rFonts w:ascii="Arial" w:eastAsia="Arial Unicode MS" w:hAnsi="Arial" w:cs="Arial"/>
                <w:sz w:val="18"/>
                <w:szCs w:val="18"/>
                <w:lang w:val="en-GB" w:eastAsia="bg-BG"/>
              </w:rPr>
              <w:t>-</w:t>
            </w:r>
          </w:p>
        </w:tc>
        <w:tc>
          <w:tcPr>
            <w:tcW w:w="142" w:type="dxa"/>
            <w:tcBorders>
              <w:left w:val="nil"/>
              <w:right w:val="nil"/>
            </w:tcBorders>
          </w:tcPr>
          <w:p w14:paraId="669D8BDF" w14:textId="77777777" w:rsidR="00017A0C" w:rsidRPr="00721663" w:rsidRDefault="00017A0C" w:rsidP="00017A0C">
            <w:pPr>
              <w:jc w:val="right"/>
              <w:rPr>
                <w:rFonts w:ascii="Arial" w:hAnsi="Arial" w:cs="Arial"/>
                <w:sz w:val="18"/>
                <w:szCs w:val="18"/>
                <w:lang w:val="bg-BG"/>
              </w:rPr>
            </w:pPr>
          </w:p>
        </w:tc>
        <w:tc>
          <w:tcPr>
            <w:tcW w:w="1275" w:type="dxa"/>
            <w:tcBorders>
              <w:left w:val="nil"/>
              <w:bottom w:val="single" w:sz="4" w:space="0" w:color="auto"/>
              <w:right w:val="nil"/>
            </w:tcBorders>
            <w:vAlign w:val="center"/>
          </w:tcPr>
          <w:p w14:paraId="450BE3EC" w14:textId="14CCBE23" w:rsidR="00017A0C" w:rsidRPr="00721663" w:rsidRDefault="00017A0C" w:rsidP="00017A0C">
            <w:pPr>
              <w:ind w:right="112"/>
              <w:jc w:val="right"/>
              <w:rPr>
                <w:rFonts w:ascii="Arial" w:hAnsi="Arial" w:cs="Arial"/>
                <w:sz w:val="18"/>
                <w:szCs w:val="18"/>
                <w:lang w:val="bg-BG"/>
              </w:rPr>
            </w:pPr>
            <w:r>
              <w:rPr>
                <w:rFonts w:ascii="Arial" w:eastAsia="Arial Unicode MS" w:hAnsi="Arial" w:cs="Arial"/>
                <w:sz w:val="18"/>
                <w:szCs w:val="18"/>
                <w:lang w:val="en-GB" w:eastAsia="bg-BG"/>
              </w:rPr>
              <w:t>-</w:t>
            </w:r>
          </w:p>
        </w:tc>
        <w:tc>
          <w:tcPr>
            <w:tcW w:w="141" w:type="dxa"/>
            <w:tcBorders>
              <w:left w:val="nil"/>
              <w:right w:val="nil"/>
            </w:tcBorders>
            <w:noWrap/>
            <w:vAlign w:val="center"/>
          </w:tcPr>
          <w:p w14:paraId="74339C83" w14:textId="77777777" w:rsidR="00017A0C" w:rsidRPr="00721663" w:rsidRDefault="00017A0C" w:rsidP="00017A0C">
            <w:pPr>
              <w:jc w:val="right"/>
              <w:rPr>
                <w:rFonts w:ascii="Arial" w:hAnsi="Arial" w:cs="Arial"/>
                <w:sz w:val="18"/>
                <w:szCs w:val="18"/>
                <w:lang w:val="bg-BG"/>
              </w:rPr>
            </w:pPr>
          </w:p>
        </w:tc>
        <w:tc>
          <w:tcPr>
            <w:tcW w:w="1277" w:type="dxa"/>
            <w:tcBorders>
              <w:left w:val="nil"/>
              <w:bottom w:val="single" w:sz="4" w:space="0" w:color="auto"/>
              <w:right w:val="nil"/>
            </w:tcBorders>
            <w:noWrap/>
            <w:vAlign w:val="center"/>
          </w:tcPr>
          <w:p w14:paraId="7B084E3D" w14:textId="5D6ED4B9" w:rsidR="00017A0C" w:rsidRPr="00721663" w:rsidRDefault="00017A0C" w:rsidP="00017A0C">
            <w:pPr>
              <w:ind w:right="112"/>
              <w:jc w:val="right"/>
              <w:rPr>
                <w:rFonts w:ascii="Arial" w:hAnsi="Arial" w:cs="Arial"/>
                <w:sz w:val="18"/>
                <w:szCs w:val="18"/>
                <w:lang w:val="bg-BG"/>
              </w:rPr>
            </w:pPr>
            <w:r>
              <w:rPr>
                <w:rFonts w:ascii="Arial" w:eastAsia="Arial Unicode MS" w:hAnsi="Arial" w:cs="Arial"/>
                <w:sz w:val="18"/>
                <w:szCs w:val="18"/>
                <w:lang w:val="en-GB" w:eastAsia="bg-BG"/>
              </w:rPr>
              <w:t>-</w:t>
            </w:r>
          </w:p>
        </w:tc>
        <w:tc>
          <w:tcPr>
            <w:tcW w:w="142" w:type="dxa"/>
            <w:tcBorders>
              <w:left w:val="nil"/>
              <w:right w:val="nil"/>
            </w:tcBorders>
            <w:noWrap/>
            <w:vAlign w:val="center"/>
          </w:tcPr>
          <w:p w14:paraId="08AE75B8" w14:textId="77777777" w:rsidR="00017A0C" w:rsidRPr="00721663" w:rsidRDefault="00017A0C" w:rsidP="00017A0C">
            <w:pPr>
              <w:ind w:right="112"/>
              <w:jc w:val="right"/>
              <w:rPr>
                <w:rFonts w:ascii="Arial" w:hAnsi="Arial" w:cs="Arial"/>
                <w:sz w:val="18"/>
                <w:szCs w:val="18"/>
                <w:lang w:val="bg-BG"/>
              </w:rPr>
            </w:pPr>
          </w:p>
        </w:tc>
        <w:tc>
          <w:tcPr>
            <w:tcW w:w="851" w:type="dxa"/>
            <w:tcBorders>
              <w:left w:val="nil"/>
              <w:bottom w:val="single" w:sz="4" w:space="0" w:color="auto"/>
              <w:right w:val="nil"/>
            </w:tcBorders>
            <w:noWrap/>
            <w:vAlign w:val="center"/>
          </w:tcPr>
          <w:p w14:paraId="27E6DB8D" w14:textId="5DDDC2B6" w:rsidR="00017A0C" w:rsidRPr="00721663" w:rsidRDefault="00017A0C" w:rsidP="00017A0C">
            <w:pPr>
              <w:ind w:right="142"/>
              <w:jc w:val="right"/>
              <w:rPr>
                <w:rFonts w:ascii="Arial" w:hAnsi="Arial" w:cs="Arial"/>
                <w:sz w:val="18"/>
                <w:szCs w:val="18"/>
                <w:lang w:val="bg-BG"/>
              </w:rPr>
            </w:pPr>
            <w:r>
              <w:rPr>
                <w:rFonts w:ascii="Arial" w:eastAsia="Arial Unicode MS" w:hAnsi="Arial" w:cs="Arial"/>
                <w:sz w:val="18"/>
                <w:szCs w:val="18"/>
                <w:lang w:val="en-GB" w:eastAsia="bg-BG"/>
              </w:rPr>
              <w:t>-</w:t>
            </w:r>
          </w:p>
        </w:tc>
      </w:tr>
      <w:tr w:rsidR="00017A0C" w:rsidRPr="00721663" w14:paraId="74290ABC" w14:textId="77777777" w:rsidTr="00017A0C">
        <w:trPr>
          <w:trHeight w:hRule="exact" w:val="284"/>
        </w:trPr>
        <w:tc>
          <w:tcPr>
            <w:tcW w:w="2268" w:type="dxa"/>
            <w:tcBorders>
              <w:top w:val="nil"/>
              <w:left w:val="nil"/>
              <w:bottom w:val="nil"/>
              <w:right w:val="nil"/>
            </w:tcBorders>
            <w:noWrap/>
          </w:tcPr>
          <w:p w14:paraId="29A044BD" w14:textId="744A7C6E" w:rsidR="00017A0C" w:rsidRPr="00721663" w:rsidRDefault="00017A0C" w:rsidP="00017A0C">
            <w:pPr>
              <w:jc w:val="left"/>
              <w:rPr>
                <w:rFonts w:ascii="Arial" w:hAnsi="Arial" w:cs="Arial"/>
                <w:sz w:val="18"/>
                <w:szCs w:val="18"/>
                <w:lang w:val="bg-BG"/>
              </w:rPr>
            </w:pPr>
            <w:r w:rsidRPr="00721663">
              <w:rPr>
                <w:rFonts w:ascii="Arial" w:hAnsi="Arial" w:cs="Arial"/>
                <w:sz w:val="18"/>
                <w:szCs w:val="18"/>
                <w:lang w:val="bg-BG"/>
              </w:rPr>
              <w:t xml:space="preserve">На </w:t>
            </w:r>
            <w:r>
              <w:rPr>
                <w:rFonts w:ascii="Arial" w:hAnsi="Arial" w:cs="Arial"/>
                <w:sz w:val="18"/>
                <w:szCs w:val="18"/>
                <w:lang w:val="bg-BG"/>
              </w:rPr>
              <w:t>30 юни 2016</w:t>
            </w:r>
            <w:r w:rsidRPr="00721663">
              <w:rPr>
                <w:rFonts w:ascii="Arial" w:hAnsi="Arial" w:cs="Arial"/>
                <w:sz w:val="18"/>
                <w:szCs w:val="18"/>
                <w:lang w:val="bg-BG"/>
              </w:rPr>
              <w:t xml:space="preserve"> г.</w:t>
            </w:r>
          </w:p>
        </w:tc>
        <w:tc>
          <w:tcPr>
            <w:tcW w:w="143" w:type="dxa"/>
            <w:tcBorders>
              <w:top w:val="nil"/>
              <w:left w:val="nil"/>
              <w:bottom w:val="nil"/>
              <w:right w:val="nil"/>
            </w:tcBorders>
            <w:noWrap/>
          </w:tcPr>
          <w:p w14:paraId="0479C6F4" w14:textId="77777777" w:rsidR="00017A0C" w:rsidRPr="00721663" w:rsidRDefault="00017A0C" w:rsidP="00017A0C">
            <w:pPr>
              <w:jc w:val="left"/>
              <w:rPr>
                <w:rFonts w:ascii="Arial" w:hAnsi="Arial" w:cs="Arial"/>
                <w:sz w:val="18"/>
                <w:szCs w:val="18"/>
                <w:lang w:val="bg-BG"/>
              </w:rPr>
            </w:pPr>
          </w:p>
        </w:tc>
        <w:tc>
          <w:tcPr>
            <w:tcW w:w="977" w:type="dxa"/>
            <w:tcBorders>
              <w:top w:val="single" w:sz="4" w:space="0" w:color="auto"/>
              <w:left w:val="nil"/>
              <w:right w:val="nil"/>
            </w:tcBorders>
            <w:noWrap/>
            <w:vAlign w:val="center"/>
          </w:tcPr>
          <w:p w14:paraId="4ED22C45" w14:textId="1BBDE3BE" w:rsidR="00017A0C" w:rsidRPr="00CB67C9" w:rsidRDefault="00017A0C" w:rsidP="00017A0C">
            <w:pPr>
              <w:ind w:right="112"/>
              <w:jc w:val="right"/>
              <w:rPr>
                <w:rFonts w:ascii="Arial" w:hAnsi="Arial" w:cs="Arial"/>
                <w:b/>
                <w:sz w:val="18"/>
                <w:szCs w:val="18"/>
                <w:lang w:val="bg-BG"/>
              </w:rPr>
            </w:pPr>
            <w:r>
              <w:rPr>
                <w:rFonts w:ascii="Arial" w:eastAsia="Arial Unicode MS" w:hAnsi="Arial" w:cs="Arial"/>
                <w:b/>
                <w:sz w:val="18"/>
                <w:szCs w:val="18"/>
                <w:lang w:val="en-GB" w:eastAsia="bg-BG"/>
              </w:rPr>
              <w:t>28</w:t>
            </w:r>
          </w:p>
        </w:tc>
        <w:tc>
          <w:tcPr>
            <w:tcW w:w="142" w:type="dxa"/>
            <w:tcBorders>
              <w:left w:val="nil"/>
              <w:right w:val="nil"/>
            </w:tcBorders>
            <w:vAlign w:val="center"/>
          </w:tcPr>
          <w:p w14:paraId="6FF944A8" w14:textId="77777777" w:rsidR="00017A0C" w:rsidRPr="00CB67C9" w:rsidRDefault="00017A0C" w:rsidP="00017A0C">
            <w:pPr>
              <w:jc w:val="right"/>
              <w:rPr>
                <w:rFonts w:ascii="Arial" w:hAnsi="Arial" w:cs="Arial"/>
                <w:b/>
                <w:sz w:val="18"/>
                <w:szCs w:val="18"/>
                <w:lang w:val="bg-BG"/>
              </w:rPr>
            </w:pPr>
          </w:p>
        </w:tc>
        <w:tc>
          <w:tcPr>
            <w:tcW w:w="1148" w:type="dxa"/>
            <w:tcBorders>
              <w:top w:val="single" w:sz="4" w:space="0" w:color="auto"/>
              <w:left w:val="nil"/>
              <w:right w:val="nil"/>
            </w:tcBorders>
            <w:vAlign w:val="center"/>
          </w:tcPr>
          <w:p w14:paraId="48CBC8F5" w14:textId="6A820039" w:rsidR="00017A0C" w:rsidRPr="00CB67C9" w:rsidRDefault="00017A0C" w:rsidP="00017A0C">
            <w:pPr>
              <w:ind w:right="112"/>
              <w:jc w:val="right"/>
              <w:rPr>
                <w:rFonts w:ascii="Arial" w:hAnsi="Arial" w:cs="Arial"/>
                <w:b/>
                <w:sz w:val="18"/>
                <w:szCs w:val="18"/>
                <w:lang w:val="bg-BG"/>
              </w:rPr>
            </w:pPr>
            <w:r>
              <w:rPr>
                <w:rFonts w:ascii="Arial" w:eastAsia="Arial Unicode MS" w:hAnsi="Arial" w:cs="Arial"/>
                <w:b/>
                <w:sz w:val="18"/>
                <w:szCs w:val="18"/>
                <w:lang w:val="en-GB" w:eastAsia="bg-BG"/>
              </w:rPr>
              <w:t>20,993</w:t>
            </w:r>
          </w:p>
        </w:tc>
        <w:tc>
          <w:tcPr>
            <w:tcW w:w="142" w:type="dxa"/>
            <w:tcBorders>
              <w:left w:val="nil"/>
              <w:right w:val="nil"/>
            </w:tcBorders>
            <w:vAlign w:val="center"/>
          </w:tcPr>
          <w:p w14:paraId="4CE93672" w14:textId="77777777" w:rsidR="00017A0C" w:rsidRPr="00CB67C9" w:rsidRDefault="00017A0C" w:rsidP="00017A0C">
            <w:pPr>
              <w:jc w:val="right"/>
              <w:rPr>
                <w:rFonts w:ascii="Arial" w:hAnsi="Arial" w:cs="Arial"/>
                <w:b/>
                <w:sz w:val="18"/>
                <w:szCs w:val="18"/>
                <w:lang w:val="bg-BG"/>
              </w:rPr>
            </w:pPr>
          </w:p>
        </w:tc>
        <w:tc>
          <w:tcPr>
            <w:tcW w:w="1276" w:type="dxa"/>
            <w:tcBorders>
              <w:top w:val="single" w:sz="4" w:space="0" w:color="auto"/>
              <w:left w:val="nil"/>
              <w:right w:val="nil"/>
            </w:tcBorders>
            <w:vAlign w:val="center"/>
          </w:tcPr>
          <w:p w14:paraId="29DA8C48" w14:textId="3BBC7EE8" w:rsidR="00017A0C" w:rsidRPr="00CB67C9" w:rsidRDefault="00017A0C" w:rsidP="00017A0C">
            <w:pPr>
              <w:ind w:right="112"/>
              <w:jc w:val="right"/>
              <w:rPr>
                <w:rFonts w:ascii="Arial" w:hAnsi="Arial" w:cs="Arial"/>
                <w:b/>
                <w:sz w:val="18"/>
                <w:szCs w:val="18"/>
                <w:lang w:val="bg-BG"/>
              </w:rPr>
            </w:pPr>
            <w:r>
              <w:rPr>
                <w:rFonts w:ascii="Arial" w:eastAsia="Arial Unicode MS" w:hAnsi="Arial" w:cs="Arial"/>
                <w:b/>
                <w:sz w:val="18"/>
                <w:szCs w:val="18"/>
                <w:lang w:val="en-GB" w:eastAsia="bg-BG"/>
              </w:rPr>
              <w:t>27</w:t>
            </w:r>
          </w:p>
        </w:tc>
        <w:tc>
          <w:tcPr>
            <w:tcW w:w="142" w:type="dxa"/>
            <w:tcBorders>
              <w:left w:val="nil"/>
              <w:right w:val="nil"/>
            </w:tcBorders>
          </w:tcPr>
          <w:p w14:paraId="404469F7" w14:textId="77777777" w:rsidR="00017A0C" w:rsidRPr="00CB67C9" w:rsidRDefault="00017A0C" w:rsidP="00017A0C">
            <w:pPr>
              <w:jc w:val="right"/>
              <w:rPr>
                <w:rFonts w:ascii="Arial" w:hAnsi="Arial" w:cs="Arial"/>
                <w:b/>
                <w:sz w:val="18"/>
                <w:szCs w:val="18"/>
                <w:lang w:val="bg-BG"/>
              </w:rPr>
            </w:pPr>
          </w:p>
        </w:tc>
        <w:tc>
          <w:tcPr>
            <w:tcW w:w="1275" w:type="dxa"/>
            <w:tcBorders>
              <w:top w:val="single" w:sz="4" w:space="0" w:color="auto"/>
              <w:left w:val="nil"/>
              <w:right w:val="nil"/>
            </w:tcBorders>
            <w:vAlign w:val="center"/>
          </w:tcPr>
          <w:p w14:paraId="1BA21155" w14:textId="1F2D070E" w:rsidR="00017A0C" w:rsidRPr="00CB67C9" w:rsidRDefault="00017A0C" w:rsidP="00017A0C">
            <w:pPr>
              <w:ind w:right="112"/>
              <w:jc w:val="right"/>
              <w:rPr>
                <w:rFonts w:ascii="Arial" w:hAnsi="Arial" w:cs="Arial"/>
                <w:b/>
                <w:sz w:val="18"/>
                <w:szCs w:val="18"/>
                <w:lang w:val="bg-BG"/>
              </w:rPr>
            </w:pPr>
            <w:r>
              <w:rPr>
                <w:rFonts w:ascii="Arial" w:eastAsia="Arial Unicode MS" w:hAnsi="Arial" w:cs="Arial"/>
                <w:b/>
                <w:sz w:val="18"/>
                <w:szCs w:val="18"/>
                <w:lang w:val="en-GB" w:eastAsia="bg-BG"/>
              </w:rPr>
              <w:t>4</w:t>
            </w:r>
          </w:p>
        </w:tc>
        <w:tc>
          <w:tcPr>
            <w:tcW w:w="141" w:type="dxa"/>
            <w:tcBorders>
              <w:left w:val="nil"/>
              <w:right w:val="nil"/>
            </w:tcBorders>
            <w:noWrap/>
            <w:vAlign w:val="center"/>
          </w:tcPr>
          <w:p w14:paraId="337FB33C" w14:textId="77777777" w:rsidR="00017A0C" w:rsidRPr="00CB67C9" w:rsidRDefault="00017A0C" w:rsidP="00017A0C">
            <w:pPr>
              <w:jc w:val="right"/>
              <w:rPr>
                <w:rFonts w:ascii="Arial" w:hAnsi="Arial" w:cs="Arial"/>
                <w:b/>
                <w:sz w:val="18"/>
                <w:szCs w:val="18"/>
                <w:lang w:val="bg-BG"/>
              </w:rPr>
            </w:pPr>
          </w:p>
        </w:tc>
        <w:tc>
          <w:tcPr>
            <w:tcW w:w="1277" w:type="dxa"/>
            <w:tcBorders>
              <w:top w:val="single" w:sz="4" w:space="0" w:color="auto"/>
              <w:left w:val="nil"/>
              <w:right w:val="nil"/>
            </w:tcBorders>
            <w:noWrap/>
            <w:vAlign w:val="center"/>
          </w:tcPr>
          <w:p w14:paraId="450BD7F8" w14:textId="17B6CE4B" w:rsidR="00017A0C" w:rsidRPr="00CB67C9" w:rsidRDefault="00017A0C" w:rsidP="00017A0C">
            <w:pPr>
              <w:ind w:right="112"/>
              <w:jc w:val="right"/>
              <w:rPr>
                <w:rFonts w:ascii="Arial" w:hAnsi="Arial" w:cs="Arial"/>
                <w:b/>
                <w:sz w:val="18"/>
                <w:szCs w:val="18"/>
                <w:lang w:val="bg-BG"/>
              </w:rPr>
            </w:pPr>
            <w:r>
              <w:rPr>
                <w:rFonts w:ascii="Arial" w:eastAsia="Arial Unicode MS" w:hAnsi="Arial" w:cs="Arial"/>
                <w:b/>
                <w:sz w:val="18"/>
                <w:szCs w:val="18"/>
                <w:lang w:val="en-GB" w:eastAsia="bg-BG"/>
              </w:rPr>
              <w:t>17</w:t>
            </w:r>
          </w:p>
        </w:tc>
        <w:tc>
          <w:tcPr>
            <w:tcW w:w="142" w:type="dxa"/>
            <w:tcBorders>
              <w:left w:val="nil"/>
              <w:right w:val="nil"/>
            </w:tcBorders>
            <w:noWrap/>
            <w:vAlign w:val="center"/>
          </w:tcPr>
          <w:p w14:paraId="72691065" w14:textId="77777777" w:rsidR="00017A0C" w:rsidRPr="00CB67C9" w:rsidRDefault="00017A0C" w:rsidP="00017A0C">
            <w:pPr>
              <w:ind w:right="112"/>
              <w:jc w:val="right"/>
              <w:rPr>
                <w:rFonts w:ascii="Arial" w:hAnsi="Arial" w:cs="Arial"/>
                <w:b/>
                <w:sz w:val="18"/>
                <w:szCs w:val="18"/>
                <w:lang w:val="bg-BG"/>
              </w:rPr>
            </w:pPr>
          </w:p>
        </w:tc>
        <w:tc>
          <w:tcPr>
            <w:tcW w:w="851" w:type="dxa"/>
            <w:tcBorders>
              <w:top w:val="single" w:sz="4" w:space="0" w:color="auto"/>
              <w:left w:val="nil"/>
              <w:right w:val="nil"/>
            </w:tcBorders>
            <w:noWrap/>
            <w:vAlign w:val="center"/>
          </w:tcPr>
          <w:p w14:paraId="43A6E196" w14:textId="466640E6" w:rsidR="00017A0C" w:rsidRPr="00CB67C9" w:rsidRDefault="00017A0C" w:rsidP="00017A0C">
            <w:pPr>
              <w:ind w:right="142"/>
              <w:jc w:val="right"/>
              <w:rPr>
                <w:rFonts w:ascii="Arial" w:hAnsi="Arial" w:cs="Arial"/>
                <w:b/>
                <w:sz w:val="18"/>
                <w:szCs w:val="18"/>
                <w:lang w:val="bg-BG"/>
              </w:rPr>
            </w:pPr>
            <w:r>
              <w:rPr>
                <w:rFonts w:ascii="Arial" w:eastAsia="Arial Unicode MS" w:hAnsi="Arial" w:cs="Arial"/>
                <w:b/>
                <w:sz w:val="18"/>
                <w:szCs w:val="18"/>
                <w:lang w:val="en-GB" w:eastAsia="bg-BG"/>
              </w:rPr>
              <w:t>21,069</w:t>
            </w:r>
          </w:p>
        </w:tc>
      </w:tr>
      <w:tr w:rsidR="00017A0C" w:rsidRPr="00721663" w14:paraId="182E4E5D" w14:textId="77777777" w:rsidTr="00017A0C">
        <w:trPr>
          <w:trHeight w:hRule="exact" w:val="284"/>
        </w:trPr>
        <w:tc>
          <w:tcPr>
            <w:tcW w:w="2268" w:type="dxa"/>
            <w:tcBorders>
              <w:top w:val="nil"/>
              <w:left w:val="nil"/>
              <w:bottom w:val="nil"/>
              <w:right w:val="nil"/>
            </w:tcBorders>
            <w:noWrap/>
          </w:tcPr>
          <w:p w14:paraId="658DC6EE" w14:textId="77777777" w:rsidR="00017A0C" w:rsidRPr="00721663" w:rsidRDefault="00017A0C" w:rsidP="00017A0C">
            <w:pPr>
              <w:jc w:val="left"/>
              <w:rPr>
                <w:rFonts w:ascii="Arial" w:hAnsi="Arial" w:cs="Arial"/>
                <w:sz w:val="18"/>
                <w:szCs w:val="18"/>
                <w:lang w:val="bg-BG"/>
              </w:rPr>
            </w:pPr>
          </w:p>
        </w:tc>
        <w:tc>
          <w:tcPr>
            <w:tcW w:w="143" w:type="dxa"/>
            <w:tcBorders>
              <w:top w:val="nil"/>
              <w:left w:val="nil"/>
              <w:bottom w:val="nil"/>
              <w:right w:val="nil"/>
            </w:tcBorders>
            <w:noWrap/>
          </w:tcPr>
          <w:p w14:paraId="0B158363" w14:textId="77777777" w:rsidR="00017A0C" w:rsidRPr="00721663" w:rsidRDefault="00017A0C" w:rsidP="00017A0C">
            <w:pPr>
              <w:jc w:val="left"/>
              <w:rPr>
                <w:rFonts w:ascii="Arial" w:hAnsi="Arial" w:cs="Arial"/>
                <w:sz w:val="18"/>
                <w:szCs w:val="18"/>
                <w:lang w:val="bg-BG"/>
              </w:rPr>
            </w:pPr>
          </w:p>
        </w:tc>
        <w:tc>
          <w:tcPr>
            <w:tcW w:w="977" w:type="dxa"/>
            <w:tcBorders>
              <w:top w:val="single" w:sz="4" w:space="0" w:color="auto"/>
              <w:left w:val="nil"/>
              <w:right w:val="nil"/>
            </w:tcBorders>
            <w:noWrap/>
            <w:vAlign w:val="center"/>
          </w:tcPr>
          <w:p w14:paraId="535E2828" w14:textId="77777777" w:rsidR="00017A0C" w:rsidRPr="00721663" w:rsidRDefault="00017A0C" w:rsidP="00017A0C">
            <w:pPr>
              <w:ind w:right="112"/>
              <w:jc w:val="right"/>
              <w:rPr>
                <w:rFonts w:ascii="Arial" w:hAnsi="Arial" w:cs="Arial"/>
                <w:sz w:val="18"/>
                <w:szCs w:val="18"/>
                <w:lang w:val="bg-BG"/>
              </w:rPr>
            </w:pPr>
          </w:p>
        </w:tc>
        <w:tc>
          <w:tcPr>
            <w:tcW w:w="142" w:type="dxa"/>
            <w:tcBorders>
              <w:left w:val="nil"/>
              <w:right w:val="nil"/>
            </w:tcBorders>
            <w:vAlign w:val="center"/>
          </w:tcPr>
          <w:p w14:paraId="5E377367" w14:textId="77777777" w:rsidR="00017A0C" w:rsidRPr="00721663" w:rsidRDefault="00017A0C" w:rsidP="00017A0C">
            <w:pPr>
              <w:jc w:val="right"/>
              <w:rPr>
                <w:rFonts w:ascii="Arial" w:hAnsi="Arial" w:cs="Arial"/>
                <w:sz w:val="18"/>
                <w:szCs w:val="18"/>
                <w:lang w:val="bg-BG"/>
              </w:rPr>
            </w:pPr>
          </w:p>
        </w:tc>
        <w:tc>
          <w:tcPr>
            <w:tcW w:w="1148" w:type="dxa"/>
            <w:tcBorders>
              <w:top w:val="single" w:sz="4" w:space="0" w:color="auto"/>
              <w:left w:val="nil"/>
              <w:right w:val="nil"/>
            </w:tcBorders>
            <w:vAlign w:val="center"/>
          </w:tcPr>
          <w:p w14:paraId="10530D57" w14:textId="77777777" w:rsidR="00017A0C" w:rsidRPr="00721663" w:rsidRDefault="00017A0C" w:rsidP="00017A0C">
            <w:pPr>
              <w:ind w:right="112"/>
              <w:jc w:val="right"/>
              <w:rPr>
                <w:rFonts w:ascii="Arial" w:hAnsi="Arial" w:cs="Arial"/>
                <w:sz w:val="18"/>
                <w:szCs w:val="18"/>
                <w:lang w:val="bg-BG"/>
              </w:rPr>
            </w:pPr>
          </w:p>
        </w:tc>
        <w:tc>
          <w:tcPr>
            <w:tcW w:w="142" w:type="dxa"/>
            <w:tcBorders>
              <w:left w:val="nil"/>
              <w:right w:val="nil"/>
            </w:tcBorders>
            <w:vAlign w:val="center"/>
          </w:tcPr>
          <w:p w14:paraId="5D336AB1" w14:textId="77777777" w:rsidR="00017A0C" w:rsidRPr="00721663" w:rsidRDefault="00017A0C" w:rsidP="00017A0C">
            <w:pPr>
              <w:jc w:val="right"/>
              <w:rPr>
                <w:rFonts w:ascii="Arial" w:hAnsi="Arial" w:cs="Arial"/>
                <w:sz w:val="18"/>
                <w:szCs w:val="18"/>
                <w:lang w:val="bg-BG"/>
              </w:rPr>
            </w:pPr>
          </w:p>
        </w:tc>
        <w:tc>
          <w:tcPr>
            <w:tcW w:w="1276" w:type="dxa"/>
            <w:tcBorders>
              <w:top w:val="single" w:sz="4" w:space="0" w:color="auto"/>
              <w:left w:val="nil"/>
              <w:right w:val="nil"/>
            </w:tcBorders>
            <w:vAlign w:val="center"/>
          </w:tcPr>
          <w:p w14:paraId="1890E8F6" w14:textId="77777777" w:rsidR="00017A0C" w:rsidRPr="00721663" w:rsidRDefault="00017A0C" w:rsidP="00017A0C">
            <w:pPr>
              <w:ind w:right="112"/>
              <w:jc w:val="right"/>
              <w:rPr>
                <w:rFonts w:ascii="Arial" w:hAnsi="Arial" w:cs="Arial"/>
                <w:sz w:val="18"/>
                <w:szCs w:val="18"/>
                <w:lang w:val="bg-BG"/>
              </w:rPr>
            </w:pPr>
          </w:p>
        </w:tc>
        <w:tc>
          <w:tcPr>
            <w:tcW w:w="142" w:type="dxa"/>
            <w:tcBorders>
              <w:left w:val="nil"/>
              <w:right w:val="nil"/>
            </w:tcBorders>
          </w:tcPr>
          <w:p w14:paraId="0A45E4FC" w14:textId="77777777" w:rsidR="00017A0C" w:rsidRPr="00721663" w:rsidRDefault="00017A0C" w:rsidP="00017A0C">
            <w:pPr>
              <w:jc w:val="right"/>
              <w:rPr>
                <w:rFonts w:ascii="Arial" w:hAnsi="Arial" w:cs="Arial"/>
                <w:sz w:val="18"/>
                <w:szCs w:val="18"/>
                <w:lang w:val="bg-BG"/>
              </w:rPr>
            </w:pPr>
          </w:p>
        </w:tc>
        <w:tc>
          <w:tcPr>
            <w:tcW w:w="1275" w:type="dxa"/>
            <w:tcBorders>
              <w:top w:val="single" w:sz="4" w:space="0" w:color="auto"/>
              <w:left w:val="nil"/>
              <w:right w:val="nil"/>
            </w:tcBorders>
            <w:vAlign w:val="center"/>
          </w:tcPr>
          <w:p w14:paraId="366E5331" w14:textId="77777777" w:rsidR="00017A0C" w:rsidRPr="00721663" w:rsidRDefault="00017A0C" w:rsidP="00017A0C">
            <w:pPr>
              <w:ind w:right="112"/>
              <w:jc w:val="right"/>
              <w:rPr>
                <w:rFonts w:ascii="Arial" w:hAnsi="Arial" w:cs="Arial"/>
                <w:sz w:val="18"/>
                <w:szCs w:val="18"/>
                <w:lang w:val="bg-BG"/>
              </w:rPr>
            </w:pPr>
          </w:p>
        </w:tc>
        <w:tc>
          <w:tcPr>
            <w:tcW w:w="141" w:type="dxa"/>
            <w:tcBorders>
              <w:left w:val="nil"/>
              <w:right w:val="nil"/>
            </w:tcBorders>
            <w:noWrap/>
            <w:vAlign w:val="center"/>
          </w:tcPr>
          <w:p w14:paraId="417A48C1" w14:textId="77777777" w:rsidR="00017A0C" w:rsidRPr="00721663" w:rsidRDefault="00017A0C" w:rsidP="00017A0C">
            <w:pPr>
              <w:jc w:val="right"/>
              <w:rPr>
                <w:rFonts w:ascii="Arial" w:hAnsi="Arial" w:cs="Arial"/>
                <w:sz w:val="18"/>
                <w:szCs w:val="18"/>
                <w:lang w:val="bg-BG"/>
              </w:rPr>
            </w:pPr>
          </w:p>
        </w:tc>
        <w:tc>
          <w:tcPr>
            <w:tcW w:w="1277" w:type="dxa"/>
            <w:tcBorders>
              <w:top w:val="single" w:sz="4" w:space="0" w:color="auto"/>
              <w:left w:val="nil"/>
              <w:right w:val="nil"/>
            </w:tcBorders>
            <w:noWrap/>
            <w:vAlign w:val="center"/>
          </w:tcPr>
          <w:p w14:paraId="0B45F8AC" w14:textId="77777777" w:rsidR="00017A0C" w:rsidRPr="00721663" w:rsidRDefault="00017A0C" w:rsidP="00017A0C">
            <w:pPr>
              <w:ind w:right="112"/>
              <w:jc w:val="right"/>
              <w:rPr>
                <w:rFonts w:ascii="Arial" w:hAnsi="Arial" w:cs="Arial"/>
                <w:sz w:val="18"/>
                <w:szCs w:val="18"/>
                <w:lang w:val="bg-BG"/>
              </w:rPr>
            </w:pPr>
          </w:p>
        </w:tc>
        <w:tc>
          <w:tcPr>
            <w:tcW w:w="142" w:type="dxa"/>
            <w:tcBorders>
              <w:left w:val="nil"/>
              <w:right w:val="nil"/>
            </w:tcBorders>
            <w:noWrap/>
            <w:vAlign w:val="center"/>
          </w:tcPr>
          <w:p w14:paraId="166188D2" w14:textId="77777777" w:rsidR="00017A0C" w:rsidRPr="00721663" w:rsidRDefault="00017A0C" w:rsidP="00017A0C">
            <w:pPr>
              <w:ind w:right="112"/>
              <w:jc w:val="right"/>
              <w:rPr>
                <w:rFonts w:ascii="Arial" w:hAnsi="Arial" w:cs="Arial"/>
                <w:sz w:val="18"/>
                <w:szCs w:val="18"/>
                <w:lang w:val="bg-BG"/>
              </w:rPr>
            </w:pPr>
          </w:p>
        </w:tc>
        <w:tc>
          <w:tcPr>
            <w:tcW w:w="851" w:type="dxa"/>
            <w:tcBorders>
              <w:top w:val="single" w:sz="4" w:space="0" w:color="auto"/>
              <w:left w:val="nil"/>
              <w:right w:val="nil"/>
            </w:tcBorders>
            <w:noWrap/>
            <w:vAlign w:val="center"/>
          </w:tcPr>
          <w:p w14:paraId="36CAABD1" w14:textId="77777777" w:rsidR="00017A0C" w:rsidRPr="00721663" w:rsidRDefault="00017A0C" w:rsidP="00017A0C">
            <w:pPr>
              <w:ind w:right="142"/>
              <w:jc w:val="right"/>
              <w:rPr>
                <w:rFonts w:ascii="Arial" w:hAnsi="Arial" w:cs="Arial"/>
                <w:sz w:val="18"/>
                <w:szCs w:val="18"/>
                <w:lang w:val="bg-BG"/>
              </w:rPr>
            </w:pPr>
          </w:p>
        </w:tc>
      </w:tr>
      <w:tr w:rsidR="00017A0C" w:rsidRPr="00721663" w14:paraId="75912FCD" w14:textId="77777777" w:rsidTr="00017A0C">
        <w:trPr>
          <w:trHeight w:hRule="exact" w:val="284"/>
        </w:trPr>
        <w:tc>
          <w:tcPr>
            <w:tcW w:w="2268" w:type="dxa"/>
            <w:tcBorders>
              <w:top w:val="nil"/>
              <w:left w:val="nil"/>
              <w:bottom w:val="nil"/>
              <w:right w:val="nil"/>
            </w:tcBorders>
            <w:noWrap/>
          </w:tcPr>
          <w:p w14:paraId="43810CAB" w14:textId="77777777" w:rsidR="00017A0C" w:rsidRPr="00721663" w:rsidRDefault="00017A0C" w:rsidP="00017A0C">
            <w:pPr>
              <w:jc w:val="left"/>
              <w:rPr>
                <w:rFonts w:ascii="Arial" w:hAnsi="Arial" w:cs="Arial"/>
                <w:sz w:val="18"/>
                <w:szCs w:val="18"/>
                <w:lang w:val="bg-BG"/>
              </w:rPr>
            </w:pPr>
            <w:r w:rsidRPr="00721663">
              <w:rPr>
                <w:rFonts w:ascii="Arial" w:hAnsi="Arial" w:cs="Arial"/>
                <w:sz w:val="18"/>
                <w:szCs w:val="18"/>
                <w:lang w:val="bg-BG"/>
              </w:rPr>
              <w:t xml:space="preserve">На 1 януари </w:t>
            </w:r>
            <w:r>
              <w:rPr>
                <w:rFonts w:ascii="Arial" w:hAnsi="Arial" w:cs="Arial"/>
                <w:sz w:val="18"/>
                <w:szCs w:val="18"/>
                <w:lang w:val="bg-BG"/>
              </w:rPr>
              <w:t>2016</w:t>
            </w:r>
            <w:r w:rsidRPr="00721663">
              <w:rPr>
                <w:rFonts w:ascii="Arial" w:hAnsi="Arial" w:cs="Arial"/>
                <w:sz w:val="18"/>
                <w:szCs w:val="18"/>
                <w:lang w:val="bg-BG"/>
              </w:rPr>
              <w:t xml:space="preserve"> г.</w:t>
            </w:r>
          </w:p>
        </w:tc>
        <w:tc>
          <w:tcPr>
            <w:tcW w:w="143" w:type="dxa"/>
            <w:tcBorders>
              <w:top w:val="nil"/>
              <w:left w:val="nil"/>
              <w:bottom w:val="nil"/>
              <w:right w:val="nil"/>
            </w:tcBorders>
            <w:noWrap/>
          </w:tcPr>
          <w:p w14:paraId="48CFCF84" w14:textId="77777777" w:rsidR="00017A0C" w:rsidRPr="00721663" w:rsidRDefault="00017A0C" w:rsidP="00017A0C">
            <w:pPr>
              <w:jc w:val="left"/>
              <w:rPr>
                <w:rFonts w:ascii="Arial" w:hAnsi="Arial" w:cs="Arial"/>
                <w:sz w:val="18"/>
                <w:szCs w:val="18"/>
                <w:lang w:val="bg-BG"/>
              </w:rPr>
            </w:pPr>
          </w:p>
        </w:tc>
        <w:tc>
          <w:tcPr>
            <w:tcW w:w="977" w:type="dxa"/>
            <w:tcBorders>
              <w:top w:val="single" w:sz="4" w:space="0" w:color="auto"/>
              <w:left w:val="nil"/>
              <w:right w:val="nil"/>
            </w:tcBorders>
            <w:noWrap/>
            <w:vAlign w:val="center"/>
          </w:tcPr>
          <w:p w14:paraId="6758DB29" w14:textId="02D538A5" w:rsidR="00017A0C" w:rsidRPr="00110E16" w:rsidRDefault="00017A0C" w:rsidP="00017A0C">
            <w:pPr>
              <w:ind w:right="112"/>
              <w:jc w:val="right"/>
              <w:rPr>
                <w:rFonts w:ascii="Arial" w:hAnsi="Arial" w:cs="Arial"/>
                <w:b/>
                <w:sz w:val="18"/>
                <w:szCs w:val="18"/>
                <w:lang w:val="bg-BG"/>
              </w:rPr>
            </w:pPr>
            <w:r>
              <w:rPr>
                <w:rFonts w:ascii="Arial" w:eastAsia="Arial Unicode MS" w:hAnsi="Arial" w:cs="Arial"/>
                <w:b/>
                <w:sz w:val="18"/>
                <w:szCs w:val="18"/>
                <w:lang w:val="en-GB" w:eastAsia="bg-BG"/>
              </w:rPr>
              <w:t>28</w:t>
            </w:r>
          </w:p>
        </w:tc>
        <w:tc>
          <w:tcPr>
            <w:tcW w:w="142" w:type="dxa"/>
            <w:tcBorders>
              <w:left w:val="nil"/>
              <w:right w:val="nil"/>
            </w:tcBorders>
            <w:vAlign w:val="center"/>
          </w:tcPr>
          <w:p w14:paraId="56DC966D" w14:textId="77777777" w:rsidR="00017A0C" w:rsidRPr="00110E16" w:rsidRDefault="00017A0C" w:rsidP="00017A0C">
            <w:pPr>
              <w:jc w:val="right"/>
              <w:rPr>
                <w:rFonts w:ascii="Arial" w:hAnsi="Arial" w:cs="Arial"/>
                <w:b/>
                <w:sz w:val="18"/>
                <w:szCs w:val="18"/>
                <w:lang w:val="bg-BG"/>
              </w:rPr>
            </w:pPr>
          </w:p>
        </w:tc>
        <w:tc>
          <w:tcPr>
            <w:tcW w:w="1148" w:type="dxa"/>
            <w:tcBorders>
              <w:top w:val="single" w:sz="4" w:space="0" w:color="auto"/>
              <w:left w:val="nil"/>
              <w:right w:val="nil"/>
            </w:tcBorders>
            <w:vAlign w:val="center"/>
          </w:tcPr>
          <w:p w14:paraId="6783A7F7" w14:textId="73819613" w:rsidR="00017A0C" w:rsidRPr="00110E16" w:rsidRDefault="00017A0C" w:rsidP="00017A0C">
            <w:pPr>
              <w:ind w:right="112"/>
              <w:jc w:val="right"/>
              <w:rPr>
                <w:rFonts w:ascii="Arial" w:hAnsi="Arial" w:cs="Arial"/>
                <w:b/>
                <w:sz w:val="18"/>
                <w:szCs w:val="18"/>
                <w:lang w:val="bg-BG"/>
              </w:rPr>
            </w:pPr>
            <w:r>
              <w:rPr>
                <w:rFonts w:ascii="Arial" w:eastAsia="Arial Unicode MS" w:hAnsi="Arial" w:cs="Arial"/>
                <w:b/>
                <w:sz w:val="18"/>
                <w:szCs w:val="18"/>
                <w:lang w:val="en-GB" w:eastAsia="bg-BG"/>
              </w:rPr>
              <w:t>20,993</w:t>
            </w:r>
          </w:p>
        </w:tc>
        <w:tc>
          <w:tcPr>
            <w:tcW w:w="142" w:type="dxa"/>
            <w:tcBorders>
              <w:left w:val="nil"/>
              <w:right w:val="nil"/>
            </w:tcBorders>
            <w:vAlign w:val="center"/>
          </w:tcPr>
          <w:p w14:paraId="40CF9CCD" w14:textId="77777777" w:rsidR="00017A0C" w:rsidRPr="00110E16" w:rsidRDefault="00017A0C" w:rsidP="00017A0C">
            <w:pPr>
              <w:jc w:val="right"/>
              <w:rPr>
                <w:rFonts w:ascii="Arial" w:hAnsi="Arial" w:cs="Arial"/>
                <w:b/>
                <w:sz w:val="18"/>
                <w:szCs w:val="18"/>
                <w:lang w:val="bg-BG"/>
              </w:rPr>
            </w:pPr>
          </w:p>
        </w:tc>
        <w:tc>
          <w:tcPr>
            <w:tcW w:w="1276" w:type="dxa"/>
            <w:tcBorders>
              <w:top w:val="single" w:sz="4" w:space="0" w:color="auto"/>
              <w:left w:val="nil"/>
              <w:right w:val="nil"/>
            </w:tcBorders>
            <w:vAlign w:val="center"/>
          </w:tcPr>
          <w:p w14:paraId="77BF37CA" w14:textId="0F1E28CD" w:rsidR="00017A0C" w:rsidRPr="00110E16" w:rsidRDefault="00017A0C" w:rsidP="00017A0C">
            <w:pPr>
              <w:ind w:right="112"/>
              <w:jc w:val="right"/>
              <w:rPr>
                <w:rFonts w:ascii="Arial" w:hAnsi="Arial" w:cs="Arial"/>
                <w:b/>
                <w:sz w:val="18"/>
                <w:szCs w:val="18"/>
                <w:lang w:val="bg-BG"/>
              </w:rPr>
            </w:pPr>
            <w:r>
              <w:rPr>
                <w:rFonts w:ascii="Arial" w:eastAsia="Arial Unicode MS" w:hAnsi="Arial" w:cs="Arial"/>
                <w:b/>
                <w:sz w:val="18"/>
                <w:szCs w:val="18"/>
                <w:lang w:val="en-GB" w:eastAsia="bg-BG"/>
              </w:rPr>
              <w:t>27</w:t>
            </w:r>
          </w:p>
        </w:tc>
        <w:tc>
          <w:tcPr>
            <w:tcW w:w="142" w:type="dxa"/>
            <w:tcBorders>
              <w:left w:val="nil"/>
              <w:right w:val="nil"/>
            </w:tcBorders>
          </w:tcPr>
          <w:p w14:paraId="7DCC3FFB" w14:textId="77777777" w:rsidR="00017A0C" w:rsidRPr="00110E16" w:rsidRDefault="00017A0C" w:rsidP="00017A0C">
            <w:pPr>
              <w:jc w:val="right"/>
              <w:rPr>
                <w:rFonts w:ascii="Arial" w:hAnsi="Arial" w:cs="Arial"/>
                <w:b/>
                <w:sz w:val="18"/>
                <w:szCs w:val="18"/>
                <w:lang w:val="bg-BG"/>
              </w:rPr>
            </w:pPr>
          </w:p>
        </w:tc>
        <w:tc>
          <w:tcPr>
            <w:tcW w:w="1275" w:type="dxa"/>
            <w:tcBorders>
              <w:top w:val="single" w:sz="4" w:space="0" w:color="auto"/>
              <w:left w:val="nil"/>
              <w:right w:val="nil"/>
            </w:tcBorders>
            <w:vAlign w:val="center"/>
          </w:tcPr>
          <w:p w14:paraId="1FBF8D47" w14:textId="64C9B190" w:rsidR="00017A0C" w:rsidRPr="00110E16" w:rsidRDefault="00017A0C" w:rsidP="00017A0C">
            <w:pPr>
              <w:ind w:right="112"/>
              <w:jc w:val="right"/>
              <w:rPr>
                <w:rFonts w:ascii="Arial" w:hAnsi="Arial" w:cs="Arial"/>
                <w:b/>
                <w:sz w:val="18"/>
                <w:szCs w:val="18"/>
                <w:lang w:val="bg-BG"/>
              </w:rPr>
            </w:pPr>
            <w:r>
              <w:rPr>
                <w:rFonts w:ascii="Arial" w:eastAsia="Arial Unicode MS" w:hAnsi="Arial" w:cs="Arial"/>
                <w:b/>
                <w:sz w:val="18"/>
                <w:szCs w:val="18"/>
                <w:lang w:val="en-GB" w:eastAsia="bg-BG"/>
              </w:rPr>
              <w:t>4</w:t>
            </w:r>
          </w:p>
        </w:tc>
        <w:tc>
          <w:tcPr>
            <w:tcW w:w="141" w:type="dxa"/>
            <w:tcBorders>
              <w:left w:val="nil"/>
              <w:right w:val="nil"/>
            </w:tcBorders>
            <w:noWrap/>
            <w:vAlign w:val="center"/>
          </w:tcPr>
          <w:p w14:paraId="129B9178" w14:textId="77777777" w:rsidR="00017A0C" w:rsidRPr="00110E16" w:rsidRDefault="00017A0C" w:rsidP="00017A0C">
            <w:pPr>
              <w:jc w:val="right"/>
              <w:rPr>
                <w:rFonts w:ascii="Arial" w:hAnsi="Arial" w:cs="Arial"/>
                <w:b/>
                <w:sz w:val="18"/>
                <w:szCs w:val="18"/>
                <w:lang w:val="bg-BG"/>
              </w:rPr>
            </w:pPr>
          </w:p>
        </w:tc>
        <w:tc>
          <w:tcPr>
            <w:tcW w:w="1277" w:type="dxa"/>
            <w:tcBorders>
              <w:top w:val="single" w:sz="4" w:space="0" w:color="auto"/>
              <w:left w:val="nil"/>
              <w:right w:val="nil"/>
            </w:tcBorders>
            <w:noWrap/>
            <w:vAlign w:val="center"/>
          </w:tcPr>
          <w:p w14:paraId="752876AB" w14:textId="2CAC706F" w:rsidR="00017A0C" w:rsidRPr="00110E16" w:rsidRDefault="00017A0C" w:rsidP="00017A0C">
            <w:pPr>
              <w:ind w:right="112"/>
              <w:jc w:val="right"/>
              <w:rPr>
                <w:rFonts w:ascii="Arial" w:hAnsi="Arial" w:cs="Arial"/>
                <w:b/>
                <w:sz w:val="18"/>
                <w:szCs w:val="18"/>
                <w:lang w:val="bg-BG"/>
              </w:rPr>
            </w:pPr>
            <w:r>
              <w:rPr>
                <w:rFonts w:ascii="Arial" w:eastAsia="Arial Unicode MS" w:hAnsi="Arial" w:cs="Arial"/>
                <w:b/>
                <w:sz w:val="18"/>
                <w:szCs w:val="18"/>
                <w:lang w:val="en-GB" w:eastAsia="bg-BG"/>
              </w:rPr>
              <w:t>17</w:t>
            </w:r>
          </w:p>
        </w:tc>
        <w:tc>
          <w:tcPr>
            <w:tcW w:w="142" w:type="dxa"/>
            <w:tcBorders>
              <w:left w:val="nil"/>
              <w:right w:val="nil"/>
            </w:tcBorders>
            <w:noWrap/>
            <w:vAlign w:val="center"/>
          </w:tcPr>
          <w:p w14:paraId="2C5D624D" w14:textId="77777777" w:rsidR="00017A0C" w:rsidRPr="00110E16" w:rsidRDefault="00017A0C" w:rsidP="00017A0C">
            <w:pPr>
              <w:ind w:right="112"/>
              <w:jc w:val="right"/>
              <w:rPr>
                <w:rFonts w:ascii="Arial" w:hAnsi="Arial" w:cs="Arial"/>
                <w:b/>
                <w:sz w:val="18"/>
                <w:szCs w:val="18"/>
                <w:lang w:val="bg-BG"/>
              </w:rPr>
            </w:pPr>
          </w:p>
        </w:tc>
        <w:tc>
          <w:tcPr>
            <w:tcW w:w="851" w:type="dxa"/>
            <w:tcBorders>
              <w:top w:val="single" w:sz="4" w:space="0" w:color="auto"/>
              <w:left w:val="nil"/>
              <w:right w:val="nil"/>
            </w:tcBorders>
            <w:noWrap/>
            <w:vAlign w:val="center"/>
          </w:tcPr>
          <w:p w14:paraId="1590F845" w14:textId="474DB88B" w:rsidR="00017A0C" w:rsidRPr="00110E16" w:rsidRDefault="00017A0C" w:rsidP="00017A0C">
            <w:pPr>
              <w:ind w:right="142"/>
              <w:jc w:val="right"/>
              <w:rPr>
                <w:rFonts w:ascii="Arial" w:hAnsi="Arial" w:cs="Arial"/>
                <w:b/>
                <w:sz w:val="18"/>
                <w:szCs w:val="18"/>
                <w:lang w:val="bg-BG"/>
              </w:rPr>
            </w:pPr>
            <w:r>
              <w:rPr>
                <w:rFonts w:ascii="Arial" w:eastAsia="Arial Unicode MS" w:hAnsi="Arial" w:cs="Arial"/>
                <w:b/>
                <w:sz w:val="18"/>
                <w:szCs w:val="18"/>
                <w:lang w:val="en-GB" w:eastAsia="bg-BG"/>
              </w:rPr>
              <w:t>21,069</w:t>
            </w:r>
          </w:p>
        </w:tc>
      </w:tr>
      <w:tr w:rsidR="00017A0C" w:rsidRPr="00721663" w14:paraId="631911E9" w14:textId="77777777" w:rsidTr="00551604">
        <w:trPr>
          <w:trHeight w:hRule="exact" w:val="301"/>
        </w:trPr>
        <w:tc>
          <w:tcPr>
            <w:tcW w:w="2268" w:type="dxa"/>
            <w:tcBorders>
              <w:top w:val="nil"/>
              <w:left w:val="nil"/>
              <w:bottom w:val="nil"/>
              <w:right w:val="nil"/>
            </w:tcBorders>
            <w:noWrap/>
            <w:vAlign w:val="center"/>
          </w:tcPr>
          <w:p w14:paraId="5DE3C947" w14:textId="77777777" w:rsidR="00017A0C" w:rsidRPr="00721663" w:rsidRDefault="00017A0C" w:rsidP="00017A0C">
            <w:pPr>
              <w:jc w:val="left"/>
              <w:rPr>
                <w:rFonts w:ascii="Arial" w:hAnsi="Arial" w:cs="Arial"/>
                <w:sz w:val="18"/>
                <w:szCs w:val="18"/>
                <w:lang w:val="bg-BG"/>
              </w:rPr>
            </w:pPr>
            <w:r w:rsidRPr="00721663">
              <w:rPr>
                <w:rFonts w:ascii="Arial" w:hAnsi="Arial" w:cs="Arial"/>
                <w:sz w:val="18"/>
                <w:szCs w:val="18"/>
                <w:lang w:val="bg-BG"/>
              </w:rPr>
              <w:t>Обезценка</w:t>
            </w:r>
          </w:p>
        </w:tc>
        <w:tc>
          <w:tcPr>
            <w:tcW w:w="143" w:type="dxa"/>
            <w:tcBorders>
              <w:top w:val="nil"/>
              <w:left w:val="nil"/>
              <w:bottom w:val="nil"/>
              <w:right w:val="nil"/>
            </w:tcBorders>
            <w:noWrap/>
            <w:vAlign w:val="bottom"/>
          </w:tcPr>
          <w:p w14:paraId="06AD81BD" w14:textId="77777777" w:rsidR="00017A0C" w:rsidRPr="00721663" w:rsidRDefault="00017A0C" w:rsidP="00017A0C">
            <w:pPr>
              <w:rPr>
                <w:rFonts w:ascii="Arial" w:eastAsia="Arial Unicode MS" w:hAnsi="Arial" w:cs="Arial"/>
                <w:sz w:val="18"/>
                <w:szCs w:val="18"/>
                <w:lang w:val="bg-BG"/>
              </w:rPr>
            </w:pPr>
          </w:p>
        </w:tc>
        <w:tc>
          <w:tcPr>
            <w:tcW w:w="977" w:type="dxa"/>
            <w:tcBorders>
              <w:left w:val="nil"/>
              <w:bottom w:val="single" w:sz="2" w:space="0" w:color="auto"/>
              <w:right w:val="nil"/>
            </w:tcBorders>
            <w:noWrap/>
            <w:vAlign w:val="center"/>
          </w:tcPr>
          <w:p w14:paraId="4956D413" w14:textId="191EB8E7" w:rsidR="00017A0C" w:rsidRPr="00721663" w:rsidRDefault="00017A0C" w:rsidP="00017A0C">
            <w:pPr>
              <w:ind w:right="112"/>
              <w:jc w:val="right"/>
              <w:rPr>
                <w:rFonts w:ascii="Arial" w:eastAsia="Arial Unicode MS" w:hAnsi="Arial" w:cs="Arial"/>
                <w:sz w:val="18"/>
                <w:szCs w:val="18"/>
                <w:lang w:val="bg-BG"/>
              </w:rPr>
            </w:pPr>
            <w:r>
              <w:rPr>
                <w:rFonts w:ascii="Arial" w:eastAsia="Arial Unicode MS" w:hAnsi="Arial" w:cs="Arial"/>
                <w:sz w:val="18"/>
                <w:szCs w:val="18"/>
                <w:lang w:val="en-GB" w:eastAsia="bg-BG"/>
              </w:rPr>
              <w:t>-</w:t>
            </w:r>
          </w:p>
        </w:tc>
        <w:tc>
          <w:tcPr>
            <w:tcW w:w="142" w:type="dxa"/>
            <w:tcBorders>
              <w:left w:val="nil"/>
              <w:right w:val="nil"/>
            </w:tcBorders>
            <w:vAlign w:val="center"/>
          </w:tcPr>
          <w:p w14:paraId="2312C162" w14:textId="77777777" w:rsidR="00017A0C" w:rsidRPr="00721663" w:rsidRDefault="00017A0C" w:rsidP="00017A0C">
            <w:pPr>
              <w:jc w:val="right"/>
              <w:rPr>
                <w:rFonts w:ascii="Arial" w:eastAsia="Arial Unicode MS" w:hAnsi="Arial" w:cs="Arial"/>
                <w:sz w:val="18"/>
                <w:szCs w:val="18"/>
                <w:lang w:val="bg-BG"/>
              </w:rPr>
            </w:pPr>
          </w:p>
        </w:tc>
        <w:tc>
          <w:tcPr>
            <w:tcW w:w="1148" w:type="dxa"/>
            <w:tcBorders>
              <w:left w:val="nil"/>
              <w:bottom w:val="single" w:sz="2" w:space="0" w:color="auto"/>
              <w:right w:val="nil"/>
            </w:tcBorders>
            <w:vAlign w:val="center"/>
          </w:tcPr>
          <w:p w14:paraId="21919655" w14:textId="31B8C8D0" w:rsidR="00017A0C" w:rsidRPr="00721663" w:rsidRDefault="00017A0C" w:rsidP="00017A0C">
            <w:pPr>
              <w:ind w:right="112"/>
              <w:jc w:val="right"/>
              <w:rPr>
                <w:rFonts w:ascii="Arial" w:eastAsia="Arial Unicode MS" w:hAnsi="Arial" w:cs="Arial"/>
                <w:sz w:val="18"/>
                <w:szCs w:val="18"/>
                <w:lang w:val="bg-BG"/>
              </w:rPr>
            </w:pPr>
            <w:r>
              <w:rPr>
                <w:rFonts w:ascii="Arial" w:eastAsia="Arial Unicode MS" w:hAnsi="Arial" w:cs="Arial"/>
                <w:sz w:val="18"/>
                <w:szCs w:val="18"/>
                <w:lang w:val="en-GB" w:eastAsia="bg-BG"/>
              </w:rPr>
              <w:t>-</w:t>
            </w:r>
          </w:p>
        </w:tc>
        <w:tc>
          <w:tcPr>
            <w:tcW w:w="142" w:type="dxa"/>
            <w:tcBorders>
              <w:left w:val="nil"/>
              <w:right w:val="nil"/>
            </w:tcBorders>
            <w:vAlign w:val="center"/>
          </w:tcPr>
          <w:p w14:paraId="69410A87" w14:textId="77777777" w:rsidR="00017A0C" w:rsidRPr="00721663" w:rsidRDefault="00017A0C" w:rsidP="00017A0C">
            <w:pPr>
              <w:jc w:val="right"/>
              <w:rPr>
                <w:rFonts w:ascii="Arial" w:eastAsia="Arial Unicode MS" w:hAnsi="Arial" w:cs="Arial"/>
                <w:sz w:val="18"/>
                <w:szCs w:val="18"/>
                <w:lang w:val="bg-BG"/>
              </w:rPr>
            </w:pPr>
          </w:p>
        </w:tc>
        <w:tc>
          <w:tcPr>
            <w:tcW w:w="1276" w:type="dxa"/>
            <w:tcBorders>
              <w:left w:val="nil"/>
              <w:bottom w:val="single" w:sz="2" w:space="0" w:color="auto"/>
              <w:right w:val="nil"/>
            </w:tcBorders>
            <w:vAlign w:val="center"/>
          </w:tcPr>
          <w:p w14:paraId="7F3DBA1A" w14:textId="2C340C87" w:rsidR="00017A0C" w:rsidRPr="00721663" w:rsidRDefault="00017A0C" w:rsidP="00017A0C">
            <w:pPr>
              <w:ind w:right="112"/>
              <w:jc w:val="right"/>
              <w:rPr>
                <w:rFonts w:ascii="Arial" w:eastAsia="Arial Unicode MS" w:hAnsi="Arial" w:cs="Arial"/>
                <w:sz w:val="18"/>
                <w:szCs w:val="18"/>
                <w:lang w:val="bg-BG"/>
              </w:rPr>
            </w:pPr>
            <w:r>
              <w:rPr>
                <w:rFonts w:ascii="Arial" w:eastAsia="Arial Unicode MS" w:hAnsi="Arial" w:cs="Arial"/>
                <w:sz w:val="18"/>
                <w:szCs w:val="18"/>
                <w:lang w:val="en-GB" w:eastAsia="bg-BG"/>
              </w:rPr>
              <w:t>-</w:t>
            </w:r>
          </w:p>
        </w:tc>
        <w:tc>
          <w:tcPr>
            <w:tcW w:w="142" w:type="dxa"/>
            <w:tcBorders>
              <w:left w:val="nil"/>
              <w:right w:val="nil"/>
            </w:tcBorders>
          </w:tcPr>
          <w:p w14:paraId="7E196835" w14:textId="77777777" w:rsidR="00017A0C" w:rsidRPr="00721663" w:rsidRDefault="00017A0C" w:rsidP="00017A0C">
            <w:pPr>
              <w:jc w:val="right"/>
              <w:rPr>
                <w:rFonts w:ascii="Arial" w:eastAsia="Arial Unicode MS" w:hAnsi="Arial" w:cs="Arial"/>
                <w:sz w:val="18"/>
                <w:szCs w:val="18"/>
                <w:lang w:val="bg-BG"/>
              </w:rPr>
            </w:pPr>
          </w:p>
        </w:tc>
        <w:tc>
          <w:tcPr>
            <w:tcW w:w="1275" w:type="dxa"/>
            <w:tcBorders>
              <w:left w:val="nil"/>
              <w:bottom w:val="single" w:sz="4" w:space="0" w:color="auto"/>
              <w:right w:val="nil"/>
            </w:tcBorders>
            <w:vAlign w:val="center"/>
          </w:tcPr>
          <w:p w14:paraId="2FBFC7B2" w14:textId="7437E788" w:rsidR="00017A0C" w:rsidRPr="00721663" w:rsidRDefault="00017A0C" w:rsidP="00017A0C">
            <w:pPr>
              <w:ind w:right="112"/>
              <w:jc w:val="right"/>
              <w:rPr>
                <w:rFonts w:ascii="Arial" w:eastAsia="Arial Unicode MS" w:hAnsi="Arial" w:cs="Arial"/>
                <w:sz w:val="18"/>
                <w:szCs w:val="18"/>
                <w:lang w:val="bg-BG"/>
              </w:rPr>
            </w:pPr>
            <w:r>
              <w:rPr>
                <w:rFonts w:ascii="Arial" w:eastAsia="Arial Unicode MS" w:hAnsi="Arial" w:cs="Arial"/>
                <w:sz w:val="18"/>
                <w:szCs w:val="18"/>
                <w:lang w:val="en-GB" w:eastAsia="bg-BG"/>
              </w:rPr>
              <w:t>-</w:t>
            </w:r>
          </w:p>
        </w:tc>
        <w:tc>
          <w:tcPr>
            <w:tcW w:w="141" w:type="dxa"/>
            <w:tcBorders>
              <w:left w:val="nil"/>
              <w:right w:val="nil"/>
            </w:tcBorders>
            <w:noWrap/>
            <w:vAlign w:val="center"/>
          </w:tcPr>
          <w:p w14:paraId="6B5CB6AD" w14:textId="77777777" w:rsidR="00017A0C" w:rsidRPr="00721663" w:rsidRDefault="00017A0C" w:rsidP="00017A0C">
            <w:pPr>
              <w:jc w:val="right"/>
              <w:rPr>
                <w:rFonts w:ascii="Arial" w:eastAsia="Arial Unicode MS" w:hAnsi="Arial" w:cs="Arial"/>
                <w:sz w:val="18"/>
                <w:szCs w:val="18"/>
                <w:lang w:val="bg-BG"/>
              </w:rPr>
            </w:pPr>
          </w:p>
        </w:tc>
        <w:tc>
          <w:tcPr>
            <w:tcW w:w="1277" w:type="dxa"/>
            <w:tcBorders>
              <w:left w:val="nil"/>
              <w:bottom w:val="single" w:sz="2" w:space="0" w:color="auto"/>
              <w:right w:val="nil"/>
            </w:tcBorders>
            <w:noWrap/>
            <w:vAlign w:val="center"/>
          </w:tcPr>
          <w:p w14:paraId="5ED901D5" w14:textId="45D833EC" w:rsidR="00017A0C" w:rsidRPr="00721663" w:rsidRDefault="00017A0C" w:rsidP="00017A0C">
            <w:pPr>
              <w:ind w:right="112"/>
              <w:jc w:val="right"/>
              <w:rPr>
                <w:rFonts w:ascii="Arial" w:eastAsia="Arial Unicode MS" w:hAnsi="Arial" w:cs="Arial"/>
                <w:sz w:val="18"/>
                <w:szCs w:val="18"/>
                <w:lang w:val="bg-BG"/>
              </w:rPr>
            </w:pPr>
            <w:r>
              <w:rPr>
                <w:rFonts w:ascii="Arial" w:eastAsia="Arial Unicode MS" w:hAnsi="Arial" w:cs="Arial"/>
                <w:sz w:val="18"/>
                <w:szCs w:val="18"/>
                <w:lang w:val="en-GB" w:eastAsia="bg-BG"/>
              </w:rPr>
              <w:t>-</w:t>
            </w:r>
          </w:p>
        </w:tc>
        <w:tc>
          <w:tcPr>
            <w:tcW w:w="142" w:type="dxa"/>
            <w:tcBorders>
              <w:left w:val="nil"/>
              <w:right w:val="nil"/>
            </w:tcBorders>
            <w:noWrap/>
            <w:vAlign w:val="center"/>
          </w:tcPr>
          <w:p w14:paraId="4628334D" w14:textId="77777777" w:rsidR="00017A0C" w:rsidRPr="00721663" w:rsidRDefault="00017A0C" w:rsidP="00017A0C">
            <w:pPr>
              <w:ind w:right="112"/>
              <w:jc w:val="right"/>
              <w:rPr>
                <w:rFonts w:ascii="Arial" w:eastAsia="Arial Unicode MS" w:hAnsi="Arial" w:cs="Arial"/>
                <w:sz w:val="18"/>
                <w:szCs w:val="18"/>
                <w:lang w:val="bg-BG"/>
              </w:rPr>
            </w:pPr>
          </w:p>
        </w:tc>
        <w:tc>
          <w:tcPr>
            <w:tcW w:w="851" w:type="dxa"/>
            <w:tcBorders>
              <w:left w:val="nil"/>
              <w:bottom w:val="single" w:sz="2" w:space="0" w:color="auto"/>
              <w:right w:val="nil"/>
            </w:tcBorders>
            <w:noWrap/>
            <w:vAlign w:val="center"/>
          </w:tcPr>
          <w:p w14:paraId="0F44F288" w14:textId="271229BD" w:rsidR="00017A0C" w:rsidRPr="00721663" w:rsidRDefault="00017A0C" w:rsidP="00017A0C">
            <w:pPr>
              <w:ind w:right="142"/>
              <w:jc w:val="right"/>
              <w:rPr>
                <w:rFonts w:ascii="Arial" w:eastAsia="Arial Unicode MS" w:hAnsi="Arial" w:cs="Arial"/>
                <w:sz w:val="18"/>
                <w:szCs w:val="18"/>
                <w:lang w:val="bg-BG"/>
              </w:rPr>
            </w:pPr>
            <w:r>
              <w:rPr>
                <w:rFonts w:ascii="Arial" w:eastAsia="Arial Unicode MS" w:hAnsi="Arial" w:cs="Arial"/>
                <w:sz w:val="18"/>
                <w:szCs w:val="18"/>
                <w:lang w:val="en-GB" w:eastAsia="bg-BG"/>
              </w:rPr>
              <w:t>-</w:t>
            </w:r>
          </w:p>
        </w:tc>
      </w:tr>
      <w:tr w:rsidR="00017A0C" w:rsidRPr="00721663" w14:paraId="332E69DB" w14:textId="77777777" w:rsidTr="00551604">
        <w:trPr>
          <w:trHeight w:hRule="exact" w:val="301"/>
        </w:trPr>
        <w:tc>
          <w:tcPr>
            <w:tcW w:w="2268" w:type="dxa"/>
            <w:tcBorders>
              <w:top w:val="nil"/>
              <w:left w:val="nil"/>
              <w:bottom w:val="nil"/>
              <w:right w:val="nil"/>
            </w:tcBorders>
            <w:noWrap/>
            <w:vAlign w:val="center"/>
          </w:tcPr>
          <w:p w14:paraId="431F3305" w14:textId="6AE3F7C6" w:rsidR="00017A0C" w:rsidRPr="00721663" w:rsidRDefault="00017A0C" w:rsidP="00017A0C">
            <w:pPr>
              <w:jc w:val="left"/>
              <w:rPr>
                <w:rFonts w:ascii="Arial" w:hAnsi="Arial" w:cs="Arial"/>
                <w:sz w:val="18"/>
                <w:szCs w:val="18"/>
                <w:lang w:val="bg-BG"/>
              </w:rPr>
            </w:pPr>
            <w:r>
              <w:rPr>
                <w:rFonts w:ascii="Arial" w:hAnsi="Arial" w:cs="Arial"/>
                <w:sz w:val="18"/>
                <w:szCs w:val="18"/>
                <w:lang w:val="bg-BG"/>
              </w:rPr>
              <w:t>Отписани</w:t>
            </w:r>
          </w:p>
        </w:tc>
        <w:tc>
          <w:tcPr>
            <w:tcW w:w="143" w:type="dxa"/>
            <w:tcBorders>
              <w:top w:val="nil"/>
              <w:left w:val="nil"/>
              <w:bottom w:val="nil"/>
              <w:right w:val="nil"/>
            </w:tcBorders>
            <w:noWrap/>
            <w:vAlign w:val="bottom"/>
          </w:tcPr>
          <w:p w14:paraId="1EF51DBC" w14:textId="77777777" w:rsidR="00017A0C" w:rsidRPr="00721663" w:rsidRDefault="00017A0C" w:rsidP="00017A0C">
            <w:pPr>
              <w:rPr>
                <w:rFonts w:ascii="Arial" w:eastAsia="Arial Unicode MS" w:hAnsi="Arial" w:cs="Arial"/>
                <w:sz w:val="18"/>
                <w:szCs w:val="18"/>
                <w:lang w:val="bg-BG"/>
              </w:rPr>
            </w:pPr>
          </w:p>
        </w:tc>
        <w:tc>
          <w:tcPr>
            <w:tcW w:w="977" w:type="dxa"/>
            <w:tcBorders>
              <w:left w:val="nil"/>
              <w:bottom w:val="single" w:sz="2" w:space="0" w:color="auto"/>
              <w:right w:val="nil"/>
            </w:tcBorders>
            <w:noWrap/>
            <w:vAlign w:val="center"/>
          </w:tcPr>
          <w:p w14:paraId="3C8283BF" w14:textId="7ED7F53F" w:rsidR="00017A0C" w:rsidRPr="00721663" w:rsidRDefault="00017A0C" w:rsidP="00017A0C">
            <w:pPr>
              <w:ind w:right="112"/>
              <w:jc w:val="right"/>
              <w:rPr>
                <w:rFonts w:ascii="Arial" w:eastAsia="Arial Unicode MS" w:hAnsi="Arial" w:cs="Arial"/>
                <w:sz w:val="18"/>
                <w:szCs w:val="18"/>
                <w:lang w:val="bg-BG"/>
              </w:rPr>
            </w:pPr>
            <w:r>
              <w:rPr>
                <w:rFonts w:ascii="Arial" w:eastAsia="Arial Unicode MS" w:hAnsi="Arial" w:cs="Arial"/>
                <w:sz w:val="18"/>
                <w:szCs w:val="18"/>
                <w:lang w:val="en-GB" w:eastAsia="bg-BG"/>
              </w:rPr>
              <w:t>-</w:t>
            </w:r>
          </w:p>
        </w:tc>
        <w:tc>
          <w:tcPr>
            <w:tcW w:w="142" w:type="dxa"/>
            <w:tcBorders>
              <w:left w:val="nil"/>
              <w:right w:val="nil"/>
            </w:tcBorders>
            <w:vAlign w:val="center"/>
          </w:tcPr>
          <w:p w14:paraId="7605170B" w14:textId="77777777" w:rsidR="00017A0C" w:rsidRPr="00721663" w:rsidRDefault="00017A0C" w:rsidP="00017A0C">
            <w:pPr>
              <w:jc w:val="right"/>
              <w:rPr>
                <w:rFonts w:ascii="Arial" w:eastAsia="Arial Unicode MS" w:hAnsi="Arial" w:cs="Arial"/>
                <w:sz w:val="18"/>
                <w:szCs w:val="18"/>
                <w:lang w:val="bg-BG"/>
              </w:rPr>
            </w:pPr>
          </w:p>
        </w:tc>
        <w:tc>
          <w:tcPr>
            <w:tcW w:w="1148" w:type="dxa"/>
            <w:tcBorders>
              <w:left w:val="nil"/>
              <w:bottom w:val="single" w:sz="2" w:space="0" w:color="auto"/>
              <w:right w:val="nil"/>
            </w:tcBorders>
            <w:vAlign w:val="center"/>
          </w:tcPr>
          <w:p w14:paraId="3C51E6F9" w14:textId="3DE87DEE" w:rsidR="00017A0C" w:rsidRPr="00721663" w:rsidRDefault="00017A0C" w:rsidP="00017A0C">
            <w:pPr>
              <w:ind w:right="112"/>
              <w:jc w:val="right"/>
              <w:rPr>
                <w:rFonts w:ascii="Arial" w:eastAsia="Arial Unicode MS" w:hAnsi="Arial" w:cs="Arial"/>
                <w:sz w:val="18"/>
                <w:szCs w:val="18"/>
                <w:lang w:val="bg-BG"/>
              </w:rPr>
            </w:pPr>
            <w:r>
              <w:rPr>
                <w:rFonts w:ascii="Arial" w:eastAsia="Arial Unicode MS" w:hAnsi="Arial" w:cs="Arial"/>
                <w:sz w:val="18"/>
                <w:szCs w:val="18"/>
                <w:lang w:val="en-GB" w:eastAsia="bg-BG"/>
              </w:rPr>
              <w:t>-</w:t>
            </w:r>
          </w:p>
        </w:tc>
        <w:tc>
          <w:tcPr>
            <w:tcW w:w="142" w:type="dxa"/>
            <w:tcBorders>
              <w:left w:val="nil"/>
              <w:right w:val="nil"/>
            </w:tcBorders>
            <w:vAlign w:val="center"/>
          </w:tcPr>
          <w:p w14:paraId="2D16C08A" w14:textId="77777777" w:rsidR="00017A0C" w:rsidRPr="00721663" w:rsidRDefault="00017A0C" w:rsidP="00017A0C">
            <w:pPr>
              <w:jc w:val="right"/>
              <w:rPr>
                <w:rFonts w:ascii="Arial" w:eastAsia="Arial Unicode MS" w:hAnsi="Arial" w:cs="Arial"/>
                <w:sz w:val="18"/>
                <w:szCs w:val="18"/>
                <w:lang w:val="bg-BG"/>
              </w:rPr>
            </w:pPr>
          </w:p>
        </w:tc>
        <w:tc>
          <w:tcPr>
            <w:tcW w:w="1276" w:type="dxa"/>
            <w:tcBorders>
              <w:left w:val="nil"/>
              <w:bottom w:val="single" w:sz="2" w:space="0" w:color="auto"/>
              <w:right w:val="nil"/>
            </w:tcBorders>
            <w:vAlign w:val="center"/>
          </w:tcPr>
          <w:p w14:paraId="5CE53F0E" w14:textId="1B33D9AC" w:rsidR="00017A0C" w:rsidRPr="00721663" w:rsidRDefault="00017A0C" w:rsidP="00017A0C">
            <w:pPr>
              <w:ind w:right="112"/>
              <w:jc w:val="right"/>
              <w:rPr>
                <w:rFonts w:ascii="Arial" w:eastAsia="Arial Unicode MS" w:hAnsi="Arial" w:cs="Arial"/>
                <w:sz w:val="18"/>
                <w:szCs w:val="18"/>
                <w:lang w:val="bg-BG"/>
              </w:rPr>
            </w:pPr>
            <w:r>
              <w:rPr>
                <w:rFonts w:ascii="Arial" w:eastAsia="Arial Unicode MS" w:hAnsi="Arial" w:cs="Arial"/>
                <w:sz w:val="18"/>
                <w:szCs w:val="18"/>
                <w:lang w:val="en-GB" w:eastAsia="bg-BG"/>
              </w:rPr>
              <w:t>(27)</w:t>
            </w:r>
          </w:p>
        </w:tc>
        <w:tc>
          <w:tcPr>
            <w:tcW w:w="142" w:type="dxa"/>
            <w:tcBorders>
              <w:left w:val="nil"/>
              <w:right w:val="nil"/>
            </w:tcBorders>
          </w:tcPr>
          <w:p w14:paraId="61B0DC84" w14:textId="77777777" w:rsidR="00017A0C" w:rsidRPr="00721663" w:rsidRDefault="00017A0C" w:rsidP="00017A0C">
            <w:pPr>
              <w:jc w:val="right"/>
              <w:rPr>
                <w:rFonts w:ascii="Arial" w:eastAsia="Arial Unicode MS" w:hAnsi="Arial" w:cs="Arial"/>
                <w:sz w:val="18"/>
                <w:szCs w:val="18"/>
                <w:lang w:val="bg-BG"/>
              </w:rPr>
            </w:pPr>
          </w:p>
        </w:tc>
        <w:tc>
          <w:tcPr>
            <w:tcW w:w="1275" w:type="dxa"/>
            <w:tcBorders>
              <w:left w:val="nil"/>
              <w:bottom w:val="single" w:sz="4" w:space="0" w:color="auto"/>
              <w:right w:val="nil"/>
            </w:tcBorders>
            <w:vAlign w:val="center"/>
          </w:tcPr>
          <w:p w14:paraId="5908AB63" w14:textId="2F325687" w:rsidR="00017A0C" w:rsidRPr="00721663" w:rsidRDefault="00017A0C" w:rsidP="00017A0C">
            <w:pPr>
              <w:ind w:right="112"/>
              <w:jc w:val="right"/>
              <w:rPr>
                <w:rFonts w:ascii="Arial" w:eastAsia="Arial Unicode MS" w:hAnsi="Arial" w:cs="Arial"/>
                <w:sz w:val="18"/>
                <w:szCs w:val="18"/>
                <w:lang w:val="bg-BG"/>
              </w:rPr>
            </w:pPr>
            <w:r>
              <w:rPr>
                <w:rFonts w:ascii="Arial" w:eastAsia="Arial Unicode MS" w:hAnsi="Arial" w:cs="Arial"/>
                <w:sz w:val="18"/>
                <w:szCs w:val="18"/>
                <w:lang w:val="en-GB" w:eastAsia="bg-BG"/>
              </w:rPr>
              <w:t>-</w:t>
            </w:r>
          </w:p>
        </w:tc>
        <w:tc>
          <w:tcPr>
            <w:tcW w:w="141" w:type="dxa"/>
            <w:tcBorders>
              <w:left w:val="nil"/>
              <w:right w:val="nil"/>
            </w:tcBorders>
            <w:noWrap/>
            <w:vAlign w:val="center"/>
          </w:tcPr>
          <w:p w14:paraId="3CA3E356" w14:textId="77777777" w:rsidR="00017A0C" w:rsidRPr="00721663" w:rsidRDefault="00017A0C" w:rsidP="00017A0C">
            <w:pPr>
              <w:jc w:val="right"/>
              <w:rPr>
                <w:rFonts w:ascii="Arial" w:eastAsia="Arial Unicode MS" w:hAnsi="Arial" w:cs="Arial"/>
                <w:sz w:val="18"/>
                <w:szCs w:val="18"/>
                <w:lang w:val="bg-BG"/>
              </w:rPr>
            </w:pPr>
          </w:p>
        </w:tc>
        <w:tc>
          <w:tcPr>
            <w:tcW w:w="1277" w:type="dxa"/>
            <w:tcBorders>
              <w:left w:val="nil"/>
              <w:bottom w:val="single" w:sz="2" w:space="0" w:color="auto"/>
              <w:right w:val="nil"/>
            </w:tcBorders>
            <w:noWrap/>
            <w:vAlign w:val="center"/>
          </w:tcPr>
          <w:p w14:paraId="76552312" w14:textId="392E57FA" w:rsidR="00017A0C" w:rsidRPr="00721663" w:rsidRDefault="00017A0C" w:rsidP="00017A0C">
            <w:pPr>
              <w:ind w:right="112"/>
              <w:jc w:val="right"/>
              <w:rPr>
                <w:rFonts w:ascii="Arial" w:eastAsia="Arial Unicode MS" w:hAnsi="Arial" w:cs="Arial"/>
                <w:sz w:val="18"/>
                <w:szCs w:val="18"/>
                <w:lang w:val="bg-BG"/>
              </w:rPr>
            </w:pPr>
            <w:r>
              <w:rPr>
                <w:rFonts w:ascii="Arial" w:eastAsia="Arial Unicode MS" w:hAnsi="Arial" w:cs="Arial"/>
                <w:sz w:val="18"/>
                <w:szCs w:val="18"/>
                <w:lang w:val="en-GB" w:eastAsia="bg-BG"/>
              </w:rPr>
              <w:t>-</w:t>
            </w:r>
          </w:p>
        </w:tc>
        <w:tc>
          <w:tcPr>
            <w:tcW w:w="142" w:type="dxa"/>
            <w:tcBorders>
              <w:left w:val="nil"/>
              <w:right w:val="nil"/>
            </w:tcBorders>
            <w:noWrap/>
            <w:vAlign w:val="center"/>
          </w:tcPr>
          <w:p w14:paraId="3B2F58A9" w14:textId="77777777" w:rsidR="00017A0C" w:rsidRPr="00721663" w:rsidRDefault="00017A0C" w:rsidP="00017A0C">
            <w:pPr>
              <w:ind w:right="112"/>
              <w:jc w:val="right"/>
              <w:rPr>
                <w:rFonts w:ascii="Arial" w:eastAsia="Arial Unicode MS" w:hAnsi="Arial" w:cs="Arial"/>
                <w:sz w:val="18"/>
                <w:szCs w:val="18"/>
                <w:lang w:val="bg-BG"/>
              </w:rPr>
            </w:pPr>
          </w:p>
        </w:tc>
        <w:tc>
          <w:tcPr>
            <w:tcW w:w="851" w:type="dxa"/>
            <w:tcBorders>
              <w:left w:val="nil"/>
              <w:bottom w:val="single" w:sz="2" w:space="0" w:color="auto"/>
              <w:right w:val="nil"/>
            </w:tcBorders>
            <w:noWrap/>
            <w:vAlign w:val="center"/>
          </w:tcPr>
          <w:p w14:paraId="22690D42" w14:textId="41F1F0FB" w:rsidR="00017A0C" w:rsidRPr="00721663" w:rsidRDefault="00017A0C" w:rsidP="00017A0C">
            <w:pPr>
              <w:ind w:right="142"/>
              <w:jc w:val="right"/>
              <w:rPr>
                <w:rFonts w:ascii="Arial" w:eastAsia="Arial Unicode MS" w:hAnsi="Arial" w:cs="Arial"/>
                <w:sz w:val="18"/>
                <w:szCs w:val="18"/>
                <w:lang w:val="bg-BG"/>
              </w:rPr>
            </w:pPr>
            <w:r>
              <w:rPr>
                <w:rFonts w:ascii="Arial" w:eastAsia="Arial Unicode MS" w:hAnsi="Arial" w:cs="Arial"/>
                <w:sz w:val="18"/>
                <w:szCs w:val="18"/>
                <w:lang w:val="en-GB" w:eastAsia="bg-BG"/>
              </w:rPr>
              <w:t>(27)</w:t>
            </w:r>
          </w:p>
        </w:tc>
      </w:tr>
      <w:tr w:rsidR="00017A0C" w:rsidRPr="00721663" w14:paraId="12500C63" w14:textId="77777777" w:rsidTr="00551604">
        <w:trPr>
          <w:trHeight w:hRule="exact" w:val="301"/>
        </w:trPr>
        <w:tc>
          <w:tcPr>
            <w:tcW w:w="2268" w:type="dxa"/>
            <w:tcBorders>
              <w:top w:val="nil"/>
              <w:left w:val="nil"/>
              <w:bottom w:val="nil"/>
              <w:right w:val="nil"/>
            </w:tcBorders>
            <w:noWrap/>
            <w:vAlign w:val="center"/>
          </w:tcPr>
          <w:p w14:paraId="53D114EC" w14:textId="01D50EDB" w:rsidR="00017A0C" w:rsidRPr="00721663" w:rsidRDefault="00017A0C" w:rsidP="00017A0C">
            <w:pPr>
              <w:jc w:val="left"/>
              <w:rPr>
                <w:rFonts w:ascii="Arial" w:eastAsia="Arial Unicode MS" w:hAnsi="Arial" w:cs="Arial"/>
                <w:sz w:val="18"/>
                <w:szCs w:val="18"/>
                <w:lang w:val="bg-BG"/>
              </w:rPr>
            </w:pPr>
            <w:r w:rsidRPr="00721663">
              <w:rPr>
                <w:rFonts w:ascii="Arial" w:hAnsi="Arial" w:cs="Arial"/>
                <w:b/>
                <w:sz w:val="18"/>
                <w:szCs w:val="18"/>
                <w:lang w:val="bg-BG"/>
              </w:rPr>
              <w:t xml:space="preserve">На </w:t>
            </w:r>
            <w:r>
              <w:rPr>
                <w:rFonts w:ascii="Arial" w:hAnsi="Arial" w:cs="Arial"/>
                <w:b/>
                <w:sz w:val="18"/>
                <w:szCs w:val="18"/>
                <w:lang w:val="bg-BG"/>
              </w:rPr>
              <w:t>30 юни 2017</w:t>
            </w:r>
            <w:r w:rsidRPr="00721663">
              <w:rPr>
                <w:rFonts w:ascii="Arial" w:hAnsi="Arial" w:cs="Arial"/>
                <w:b/>
                <w:sz w:val="18"/>
                <w:szCs w:val="18"/>
                <w:lang w:val="bg-BG"/>
              </w:rPr>
              <w:t xml:space="preserve"> г.</w:t>
            </w:r>
          </w:p>
        </w:tc>
        <w:tc>
          <w:tcPr>
            <w:tcW w:w="143" w:type="dxa"/>
            <w:tcBorders>
              <w:top w:val="nil"/>
              <w:left w:val="nil"/>
              <w:bottom w:val="nil"/>
              <w:right w:val="nil"/>
            </w:tcBorders>
            <w:noWrap/>
            <w:vAlign w:val="bottom"/>
          </w:tcPr>
          <w:p w14:paraId="171C968D" w14:textId="77777777" w:rsidR="00017A0C" w:rsidRPr="00721663" w:rsidRDefault="00017A0C" w:rsidP="00017A0C">
            <w:pPr>
              <w:rPr>
                <w:rFonts w:ascii="Arial" w:eastAsia="Arial Unicode MS" w:hAnsi="Arial" w:cs="Arial"/>
                <w:sz w:val="18"/>
                <w:szCs w:val="18"/>
                <w:lang w:val="bg-BG"/>
              </w:rPr>
            </w:pPr>
          </w:p>
        </w:tc>
        <w:tc>
          <w:tcPr>
            <w:tcW w:w="977" w:type="dxa"/>
            <w:tcBorders>
              <w:top w:val="single" w:sz="2" w:space="0" w:color="auto"/>
              <w:left w:val="nil"/>
              <w:bottom w:val="double" w:sz="4" w:space="0" w:color="auto"/>
              <w:right w:val="nil"/>
            </w:tcBorders>
            <w:noWrap/>
            <w:vAlign w:val="center"/>
          </w:tcPr>
          <w:p w14:paraId="3EC85984" w14:textId="6D60B7CD" w:rsidR="00017A0C" w:rsidRPr="00721663" w:rsidRDefault="00017A0C" w:rsidP="00017A0C">
            <w:pPr>
              <w:ind w:right="112"/>
              <w:jc w:val="right"/>
              <w:rPr>
                <w:rFonts w:ascii="Arial" w:eastAsia="Arial Unicode MS" w:hAnsi="Arial" w:cs="Arial"/>
                <w:b/>
                <w:sz w:val="18"/>
                <w:szCs w:val="18"/>
                <w:lang w:val="bg-BG"/>
              </w:rPr>
            </w:pPr>
            <w:r>
              <w:rPr>
                <w:rFonts w:ascii="Arial" w:eastAsia="Arial Unicode MS" w:hAnsi="Arial" w:cs="Arial"/>
                <w:b/>
                <w:sz w:val="18"/>
                <w:szCs w:val="18"/>
                <w:lang w:val="en-GB" w:eastAsia="bg-BG"/>
              </w:rPr>
              <w:t>28</w:t>
            </w:r>
          </w:p>
        </w:tc>
        <w:tc>
          <w:tcPr>
            <w:tcW w:w="142" w:type="dxa"/>
            <w:tcBorders>
              <w:left w:val="nil"/>
              <w:right w:val="nil"/>
            </w:tcBorders>
            <w:vAlign w:val="center"/>
          </w:tcPr>
          <w:p w14:paraId="271F02EF" w14:textId="77777777" w:rsidR="00017A0C" w:rsidRPr="00721663" w:rsidRDefault="00017A0C" w:rsidP="00017A0C">
            <w:pPr>
              <w:jc w:val="right"/>
              <w:rPr>
                <w:rFonts w:ascii="Arial" w:eastAsia="Arial Unicode MS" w:hAnsi="Arial" w:cs="Arial"/>
                <w:b/>
                <w:sz w:val="18"/>
                <w:szCs w:val="18"/>
                <w:lang w:val="bg-BG"/>
              </w:rPr>
            </w:pPr>
          </w:p>
        </w:tc>
        <w:tc>
          <w:tcPr>
            <w:tcW w:w="1148" w:type="dxa"/>
            <w:tcBorders>
              <w:top w:val="single" w:sz="2" w:space="0" w:color="auto"/>
              <w:left w:val="nil"/>
              <w:bottom w:val="double" w:sz="4" w:space="0" w:color="auto"/>
              <w:right w:val="nil"/>
            </w:tcBorders>
            <w:vAlign w:val="center"/>
          </w:tcPr>
          <w:p w14:paraId="6BC04677" w14:textId="44E26DF2" w:rsidR="00017A0C" w:rsidRPr="00721663" w:rsidRDefault="00017A0C" w:rsidP="00017A0C">
            <w:pPr>
              <w:ind w:right="112"/>
              <w:jc w:val="right"/>
              <w:rPr>
                <w:rFonts w:ascii="Arial" w:eastAsia="Arial Unicode MS" w:hAnsi="Arial" w:cs="Arial"/>
                <w:b/>
                <w:sz w:val="18"/>
                <w:szCs w:val="18"/>
                <w:lang w:val="bg-BG"/>
              </w:rPr>
            </w:pPr>
            <w:r>
              <w:rPr>
                <w:rFonts w:ascii="Arial" w:eastAsia="Arial Unicode MS" w:hAnsi="Arial" w:cs="Arial"/>
                <w:b/>
                <w:sz w:val="18"/>
                <w:szCs w:val="18"/>
                <w:lang w:val="en-GB" w:eastAsia="bg-BG"/>
              </w:rPr>
              <w:t>20,993</w:t>
            </w:r>
          </w:p>
        </w:tc>
        <w:tc>
          <w:tcPr>
            <w:tcW w:w="142" w:type="dxa"/>
            <w:tcBorders>
              <w:left w:val="nil"/>
              <w:right w:val="nil"/>
            </w:tcBorders>
            <w:vAlign w:val="center"/>
          </w:tcPr>
          <w:p w14:paraId="4A5C338C" w14:textId="77777777" w:rsidR="00017A0C" w:rsidRPr="00721663" w:rsidRDefault="00017A0C" w:rsidP="00017A0C">
            <w:pPr>
              <w:jc w:val="right"/>
              <w:rPr>
                <w:rFonts w:ascii="Arial" w:eastAsia="Arial Unicode MS" w:hAnsi="Arial" w:cs="Arial"/>
                <w:b/>
                <w:sz w:val="18"/>
                <w:szCs w:val="18"/>
                <w:lang w:val="bg-BG"/>
              </w:rPr>
            </w:pPr>
          </w:p>
        </w:tc>
        <w:tc>
          <w:tcPr>
            <w:tcW w:w="1276" w:type="dxa"/>
            <w:tcBorders>
              <w:top w:val="single" w:sz="2" w:space="0" w:color="auto"/>
              <w:left w:val="nil"/>
              <w:bottom w:val="double" w:sz="4" w:space="0" w:color="auto"/>
              <w:right w:val="nil"/>
            </w:tcBorders>
            <w:vAlign w:val="center"/>
          </w:tcPr>
          <w:p w14:paraId="4E32667D" w14:textId="57C1109B" w:rsidR="00017A0C" w:rsidRPr="00721663" w:rsidRDefault="00017A0C" w:rsidP="00017A0C">
            <w:pPr>
              <w:ind w:right="112"/>
              <w:jc w:val="right"/>
              <w:rPr>
                <w:rFonts w:ascii="Arial" w:eastAsia="Arial Unicode MS" w:hAnsi="Arial" w:cs="Arial"/>
                <w:b/>
                <w:sz w:val="18"/>
                <w:szCs w:val="18"/>
                <w:lang w:val="bg-BG"/>
              </w:rPr>
            </w:pPr>
            <w:r>
              <w:rPr>
                <w:rFonts w:ascii="Arial" w:eastAsia="Arial Unicode MS" w:hAnsi="Arial" w:cs="Arial"/>
                <w:b/>
                <w:sz w:val="18"/>
                <w:szCs w:val="18"/>
                <w:lang w:val="en-GB" w:eastAsia="bg-BG"/>
              </w:rPr>
              <w:t>-</w:t>
            </w:r>
          </w:p>
        </w:tc>
        <w:tc>
          <w:tcPr>
            <w:tcW w:w="142" w:type="dxa"/>
            <w:tcBorders>
              <w:left w:val="nil"/>
              <w:right w:val="nil"/>
            </w:tcBorders>
          </w:tcPr>
          <w:p w14:paraId="7E92A113" w14:textId="77777777" w:rsidR="00017A0C" w:rsidRPr="00721663" w:rsidRDefault="00017A0C" w:rsidP="00017A0C">
            <w:pPr>
              <w:jc w:val="right"/>
              <w:rPr>
                <w:rFonts w:ascii="Arial" w:eastAsia="Arial Unicode MS" w:hAnsi="Arial" w:cs="Arial"/>
                <w:b/>
                <w:sz w:val="18"/>
                <w:szCs w:val="18"/>
                <w:lang w:val="bg-BG"/>
              </w:rPr>
            </w:pPr>
          </w:p>
        </w:tc>
        <w:tc>
          <w:tcPr>
            <w:tcW w:w="1275" w:type="dxa"/>
            <w:tcBorders>
              <w:top w:val="single" w:sz="4" w:space="0" w:color="auto"/>
              <w:left w:val="nil"/>
              <w:bottom w:val="double" w:sz="4" w:space="0" w:color="auto"/>
              <w:right w:val="nil"/>
            </w:tcBorders>
            <w:vAlign w:val="center"/>
          </w:tcPr>
          <w:p w14:paraId="5A3A43AC" w14:textId="332C24BA" w:rsidR="00017A0C" w:rsidRPr="00721663" w:rsidRDefault="00017A0C" w:rsidP="00017A0C">
            <w:pPr>
              <w:ind w:right="112"/>
              <w:jc w:val="right"/>
              <w:rPr>
                <w:rFonts w:ascii="Arial" w:eastAsia="Arial Unicode MS" w:hAnsi="Arial" w:cs="Arial"/>
                <w:b/>
                <w:sz w:val="18"/>
                <w:szCs w:val="18"/>
                <w:lang w:val="bg-BG"/>
              </w:rPr>
            </w:pPr>
            <w:r>
              <w:rPr>
                <w:rFonts w:ascii="Arial" w:eastAsia="Arial Unicode MS" w:hAnsi="Arial" w:cs="Arial"/>
                <w:b/>
                <w:sz w:val="18"/>
                <w:szCs w:val="18"/>
                <w:lang w:val="en-GB" w:eastAsia="bg-BG"/>
              </w:rPr>
              <w:t>4</w:t>
            </w:r>
          </w:p>
        </w:tc>
        <w:tc>
          <w:tcPr>
            <w:tcW w:w="141" w:type="dxa"/>
            <w:tcBorders>
              <w:left w:val="nil"/>
              <w:right w:val="nil"/>
            </w:tcBorders>
            <w:noWrap/>
            <w:vAlign w:val="center"/>
          </w:tcPr>
          <w:p w14:paraId="0842FB60" w14:textId="77777777" w:rsidR="00017A0C" w:rsidRPr="00721663" w:rsidRDefault="00017A0C" w:rsidP="00017A0C">
            <w:pPr>
              <w:jc w:val="right"/>
              <w:rPr>
                <w:rFonts w:ascii="Arial" w:eastAsia="Arial Unicode MS" w:hAnsi="Arial" w:cs="Arial"/>
                <w:b/>
                <w:sz w:val="18"/>
                <w:szCs w:val="18"/>
                <w:lang w:val="bg-BG"/>
              </w:rPr>
            </w:pPr>
          </w:p>
        </w:tc>
        <w:tc>
          <w:tcPr>
            <w:tcW w:w="1277" w:type="dxa"/>
            <w:tcBorders>
              <w:top w:val="single" w:sz="2" w:space="0" w:color="auto"/>
              <w:left w:val="nil"/>
              <w:bottom w:val="double" w:sz="4" w:space="0" w:color="auto"/>
              <w:right w:val="nil"/>
            </w:tcBorders>
            <w:noWrap/>
            <w:vAlign w:val="center"/>
          </w:tcPr>
          <w:p w14:paraId="0CB235D8" w14:textId="2138CDBF" w:rsidR="00017A0C" w:rsidRPr="00721663" w:rsidRDefault="00017A0C" w:rsidP="00017A0C">
            <w:pPr>
              <w:ind w:right="112"/>
              <w:jc w:val="right"/>
              <w:rPr>
                <w:rFonts w:ascii="Arial" w:eastAsia="Arial Unicode MS" w:hAnsi="Arial" w:cs="Arial"/>
                <w:b/>
                <w:sz w:val="18"/>
                <w:szCs w:val="18"/>
                <w:lang w:val="bg-BG"/>
              </w:rPr>
            </w:pPr>
            <w:r>
              <w:rPr>
                <w:rFonts w:ascii="Arial" w:eastAsia="Arial Unicode MS" w:hAnsi="Arial" w:cs="Arial"/>
                <w:b/>
                <w:sz w:val="18"/>
                <w:szCs w:val="18"/>
                <w:lang w:val="en-GB" w:eastAsia="bg-BG"/>
              </w:rPr>
              <w:t>17</w:t>
            </w:r>
          </w:p>
        </w:tc>
        <w:tc>
          <w:tcPr>
            <w:tcW w:w="142" w:type="dxa"/>
            <w:tcBorders>
              <w:left w:val="nil"/>
              <w:right w:val="nil"/>
            </w:tcBorders>
            <w:noWrap/>
            <w:vAlign w:val="center"/>
          </w:tcPr>
          <w:p w14:paraId="2BC85A24" w14:textId="77777777" w:rsidR="00017A0C" w:rsidRPr="00721663" w:rsidRDefault="00017A0C" w:rsidP="00017A0C">
            <w:pPr>
              <w:ind w:right="112"/>
              <w:jc w:val="right"/>
              <w:rPr>
                <w:rFonts w:ascii="Arial" w:eastAsia="Arial Unicode MS" w:hAnsi="Arial" w:cs="Arial"/>
                <w:b/>
                <w:sz w:val="18"/>
                <w:szCs w:val="18"/>
                <w:lang w:val="bg-BG"/>
              </w:rPr>
            </w:pPr>
          </w:p>
        </w:tc>
        <w:tc>
          <w:tcPr>
            <w:tcW w:w="851" w:type="dxa"/>
            <w:tcBorders>
              <w:top w:val="single" w:sz="2" w:space="0" w:color="auto"/>
              <w:left w:val="nil"/>
              <w:bottom w:val="double" w:sz="4" w:space="0" w:color="auto"/>
              <w:right w:val="nil"/>
            </w:tcBorders>
            <w:noWrap/>
            <w:vAlign w:val="center"/>
          </w:tcPr>
          <w:p w14:paraId="4036D32C" w14:textId="1528F99F" w:rsidR="00017A0C" w:rsidRPr="00721663" w:rsidRDefault="00017A0C" w:rsidP="00017A0C">
            <w:pPr>
              <w:ind w:right="142"/>
              <w:jc w:val="right"/>
              <w:rPr>
                <w:rFonts w:ascii="Arial" w:eastAsia="Arial Unicode MS" w:hAnsi="Arial" w:cs="Arial"/>
                <w:b/>
                <w:sz w:val="18"/>
                <w:szCs w:val="18"/>
                <w:lang w:val="bg-BG"/>
              </w:rPr>
            </w:pPr>
            <w:r>
              <w:rPr>
                <w:rFonts w:ascii="Arial" w:eastAsia="Arial Unicode MS" w:hAnsi="Arial" w:cs="Arial"/>
                <w:b/>
                <w:sz w:val="18"/>
                <w:szCs w:val="18"/>
                <w:lang w:val="en-GB" w:eastAsia="bg-BG"/>
              </w:rPr>
              <w:t>21,042</w:t>
            </w:r>
          </w:p>
        </w:tc>
      </w:tr>
      <w:tr w:rsidR="00E07C4E" w:rsidRPr="00721663" w14:paraId="3F87D4C9" w14:textId="77777777" w:rsidTr="00551604">
        <w:trPr>
          <w:trHeight w:hRule="exact" w:val="113"/>
        </w:trPr>
        <w:tc>
          <w:tcPr>
            <w:tcW w:w="2268" w:type="dxa"/>
            <w:tcBorders>
              <w:top w:val="nil"/>
              <w:left w:val="nil"/>
              <w:bottom w:val="nil"/>
              <w:right w:val="nil"/>
            </w:tcBorders>
            <w:noWrap/>
            <w:vAlign w:val="center"/>
          </w:tcPr>
          <w:p w14:paraId="23F7FDCB" w14:textId="77777777" w:rsidR="00E07C4E" w:rsidRPr="00721663" w:rsidRDefault="00E07C4E" w:rsidP="00551604">
            <w:pPr>
              <w:pStyle w:val="Heading3"/>
              <w:spacing w:before="0" w:after="0"/>
              <w:jc w:val="left"/>
              <w:rPr>
                <w:rFonts w:ascii="Arial" w:hAnsi="Arial" w:cs="Arial"/>
                <w:sz w:val="18"/>
                <w:szCs w:val="18"/>
                <w:lang w:val="bg-BG"/>
              </w:rPr>
            </w:pPr>
            <w:r w:rsidRPr="00721663">
              <w:rPr>
                <w:rFonts w:ascii="Arial" w:hAnsi="Arial" w:cs="Arial"/>
                <w:sz w:val="18"/>
                <w:szCs w:val="18"/>
                <w:lang w:val="bg-BG"/>
              </w:rPr>
              <w:t>мортизация</w:t>
            </w:r>
          </w:p>
        </w:tc>
        <w:tc>
          <w:tcPr>
            <w:tcW w:w="143" w:type="dxa"/>
            <w:tcBorders>
              <w:top w:val="nil"/>
              <w:left w:val="nil"/>
              <w:bottom w:val="nil"/>
              <w:right w:val="nil"/>
            </w:tcBorders>
            <w:noWrap/>
            <w:vAlign w:val="bottom"/>
          </w:tcPr>
          <w:p w14:paraId="7BD027B0" w14:textId="77777777" w:rsidR="00E07C4E" w:rsidRPr="00721663" w:rsidRDefault="00E07C4E" w:rsidP="00551604">
            <w:pPr>
              <w:rPr>
                <w:rFonts w:ascii="Arial" w:eastAsia="Arial Unicode MS" w:hAnsi="Arial" w:cs="Arial"/>
                <w:sz w:val="18"/>
                <w:szCs w:val="18"/>
                <w:lang w:val="bg-BG"/>
              </w:rPr>
            </w:pPr>
          </w:p>
        </w:tc>
        <w:tc>
          <w:tcPr>
            <w:tcW w:w="977" w:type="dxa"/>
            <w:tcBorders>
              <w:top w:val="double" w:sz="4" w:space="0" w:color="auto"/>
              <w:left w:val="nil"/>
              <w:right w:val="nil"/>
            </w:tcBorders>
            <w:noWrap/>
            <w:vAlign w:val="center"/>
          </w:tcPr>
          <w:p w14:paraId="7B8F8E0F" w14:textId="77777777" w:rsidR="00E07C4E" w:rsidRPr="00721663" w:rsidRDefault="00E07C4E" w:rsidP="00551604">
            <w:pPr>
              <w:jc w:val="right"/>
              <w:rPr>
                <w:rFonts w:ascii="Arial" w:eastAsia="Arial Unicode MS" w:hAnsi="Arial" w:cs="Arial"/>
                <w:sz w:val="18"/>
                <w:szCs w:val="18"/>
                <w:lang w:val="bg-BG"/>
              </w:rPr>
            </w:pPr>
          </w:p>
        </w:tc>
        <w:tc>
          <w:tcPr>
            <w:tcW w:w="142" w:type="dxa"/>
            <w:tcBorders>
              <w:left w:val="nil"/>
              <w:right w:val="nil"/>
            </w:tcBorders>
            <w:vAlign w:val="center"/>
          </w:tcPr>
          <w:p w14:paraId="4D49D0DB" w14:textId="77777777" w:rsidR="00E07C4E" w:rsidRPr="00721663" w:rsidRDefault="00E07C4E" w:rsidP="00551604">
            <w:pPr>
              <w:jc w:val="right"/>
              <w:rPr>
                <w:rFonts w:ascii="Arial" w:eastAsia="Arial Unicode MS" w:hAnsi="Arial" w:cs="Arial"/>
                <w:sz w:val="18"/>
                <w:szCs w:val="18"/>
                <w:lang w:val="bg-BG"/>
              </w:rPr>
            </w:pPr>
          </w:p>
        </w:tc>
        <w:tc>
          <w:tcPr>
            <w:tcW w:w="1148" w:type="dxa"/>
            <w:tcBorders>
              <w:top w:val="double" w:sz="4" w:space="0" w:color="auto"/>
              <w:left w:val="nil"/>
              <w:right w:val="nil"/>
            </w:tcBorders>
            <w:vAlign w:val="center"/>
          </w:tcPr>
          <w:p w14:paraId="23DE41B2" w14:textId="77777777" w:rsidR="00E07C4E" w:rsidRPr="00721663" w:rsidRDefault="00E07C4E" w:rsidP="00551604">
            <w:pPr>
              <w:jc w:val="right"/>
              <w:rPr>
                <w:rFonts w:ascii="Arial" w:eastAsia="Arial Unicode MS" w:hAnsi="Arial" w:cs="Arial"/>
                <w:sz w:val="18"/>
                <w:szCs w:val="18"/>
                <w:lang w:val="bg-BG"/>
              </w:rPr>
            </w:pPr>
          </w:p>
        </w:tc>
        <w:tc>
          <w:tcPr>
            <w:tcW w:w="142" w:type="dxa"/>
            <w:tcBorders>
              <w:left w:val="nil"/>
              <w:right w:val="nil"/>
            </w:tcBorders>
            <w:vAlign w:val="center"/>
          </w:tcPr>
          <w:p w14:paraId="208AFEDE" w14:textId="77777777" w:rsidR="00E07C4E" w:rsidRPr="00721663" w:rsidRDefault="00E07C4E" w:rsidP="00551604">
            <w:pPr>
              <w:jc w:val="right"/>
              <w:rPr>
                <w:rFonts w:ascii="Arial" w:eastAsia="Arial Unicode MS" w:hAnsi="Arial" w:cs="Arial"/>
                <w:sz w:val="18"/>
                <w:szCs w:val="18"/>
                <w:lang w:val="bg-BG"/>
              </w:rPr>
            </w:pPr>
          </w:p>
        </w:tc>
        <w:tc>
          <w:tcPr>
            <w:tcW w:w="1276" w:type="dxa"/>
            <w:tcBorders>
              <w:top w:val="double" w:sz="4" w:space="0" w:color="auto"/>
              <w:left w:val="nil"/>
              <w:right w:val="nil"/>
            </w:tcBorders>
            <w:vAlign w:val="center"/>
          </w:tcPr>
          <w:p w14:paraId="0F603CC7" w14:textId="77777777" w:rsidR="00E07C4E" w:rsidRPr="00721663" w:rsidRDefault="00E07C4E" w:rsidP="00551604">
            <w:pPr>
              <w:jc w:val="right"/>
              <w:rPr>
                <w:rFonts w:ascii="Arial" w:eastAsia="Arial Unicode MS" w:hAnsi="Arial" w:cs="Arial"/>
                <w:sz w:val="18"/>
                <w:szCs w:val="18"/>
                <w:lang w:val="bg-BG"/>
              </w:rPr>
            </w:pPr>
          </w:p>
        </w:tc>
        <w:tc>
          <w:tcPr>
            <w:tcW w:w="142" w:type="dxa"/>
            <w:tcBorders>
              <w:left w:val="nil"/>
              <w:right w:val="nil"/>
            </w:tcBorders>
          </w:tcPr>
          <w:p w14:paraId="7A08659F" w14:textId="77777777" w:rsidR="00E07C4E" w:rsidRPr="00721663" w:rsidRDefault="00E07C4E" w:rsidP="00551604">
            <w:pPr>
              <w:jc w:val="right"/>
              <w:rPr>
                <w:rFonts w:ascii="Arial" w:eastAsia="Arial Unicode MS" w:hAnsi="Arial" w:cs="Arial"/>
                <w:sz w:val="18"/>
                <w:szCs w:val="18"/>
                <w:lang w:val="bg-BG"/>
              </w:rPr>
            </w:pPr>
          </w:p>
        </w:tc>
        <w:tc>
          <w:tcPr>
            <w:tcW w:w="1275" w:type="dxa"/>
            <w:tcBorders>
              <w:top w:val="double" w:sz="4" w:space="0" w:color="auto"/>
              <w:left w:val="nil"/>
              <w:right w:val="nil"/>
            </w:tcBorders>
            <w:vAlign w:val="center"/>
          </w:tcPr>
          <w:p w14:paraId="2F2F81F8" w14:textId="77777777" w:rsidR="00E07C4E" w:rsidRPr="00721663" w:rsidRDefault="00E07C4E" w:rsidP="00551604">
            <w:pPr>
              <w:ind w:right="116"/>
              <w:jc w:val="right"/>
              <w:rPr>
                <w:rFonts w:ascii="Arial" w:eastAsia="Arial Unicode MS" w:hAnsi="Arial" w:cs="Arial"/>
                <w:sz w:val="18"/>
                <w:szCs w:val="18"/>
                <w:lang w:val="bg-BG"/>
              </w:rPr>
            </w:pPr>
          </w:p>
        </w:tc>
        <w:tc>
          <w:tcPr>
            <w:tcW w:w="141" w:type="dxa"/>
            <w:tcBorders>
              <w:left w:val="nil"/>
              <w:right w:val="nil"/>
            </w:tcBorders>
            <w:noWrap/>
            <w:vAlign w:val="center"/>
          </w:tcPr>
          <w:p w14:paraId="4C99CEA6" w14:textId="77777777" w:rsidR="00E07C4E" w:rsidRPr="00721663" w:rsidRDefault="00E07C4E" w:rsidP="00551604">
            <w:pPr>
              <w:jc w:val="right"/>
              <w:rPr>
                <w:rFonts w:ascii="Arial" w:eastAsia="Arial Unicode MS" w:hAnsi="Arial" w:cs="Arial"/>
                <w:sz w:val="18"/>
                <w:szCs w:val="18"/>
                <w:lang w:val="bg-BG"/>
              </w:rPr>
            </w:pPr>
          </w:p>
        </w:tc>
        <w:tc>
          <w:tcPr>
            <w:tcW w:w="1277" w:type="dxa"/>
            <w:tcBorders>
              <w:top w:val="double" w:sz="4" w:space="0" w:color="auto"/>
              <w:left w:val="nil"/>
              <w:right w:val="nil"/>
            </w:tcBorders>
            <w:noWrap/>
            <w:vAlign w:val="center"/>
          </w:tcPr>
          <w:p w14:paraId="4399A20D" w14:textId="77777777" w:rsidR="00E07C4E" w:rsidRPr="00721663" w:rsidRDefault="00E07C4E" w:rsidP="00551604">
            <w:pPr>
              <w:ind w:right="116"/>
              <w:jc w:val="right"/>
              <w:rPr>
                <w:rFonts w:ascii="Arial" w:eastAsia="Arial Unicode MS" w:hAnsi="Arial" w:cs="Arial"/>
                <w:sz w:val="18"/>
                <w:szCs w:val="18"/>
                <w:lang w:val="bg-BG"/>
              </w:rPr>
            </w:pPr>
          </w:p>
        </w:tc>
        <w:tc>
          <w:tcPr>
            <w:tcW w:w="142" w:type="dxa"/>
            <w:tcBorders>
              <w:left w:val="nil"/>
              <w:right w:val="nil"/>
            </w:tcBorders>
            <w:noWrap/>
            <w:vAlign w:val="center"/>
          </w:tcPr>
          <w:p w14:paraId="77EAAE34" w14:textId="77777777" w:rsidR="00E07C4E" w:rsidRPr="00721663" w:rsidRDefault="00E07C4E" w:rsidP="00551604">
            <w:pPr>
              <w:jc w:val="right"/>
              <w:rPr>
                <w:rFonts w:ascii="Arial" w:eastAsia="Arial Unicode MS" w:hAnsi="Arial" w:cs="Arial"/>
                <w:sz w:val="18"/>
                <w:szCs w:val="18"/>
                <w:lang w:val="bg-BG"/>
              </w:rPr>
            </w:pPr>
          </w:p>
        </w:tc>
        <w:tc>
          <w:tcPr>
            <w:tcW w:w="851" w:type="dxa"/>
            <w:tcBorders>
              <w:top w:val="double" w:sz="4" w:space="0" w:color="auto"/>
              <w:left w:val="nil"/>
              <w:right w:val="nil"/>
            </w:tcBorders>
            <w:noWrap/>
            <w:vAlign w:val="center"/>
          </w:tcPr>
          <w:p w14:paraId="0129E6CC" w14:textId="77777777" w:rsidR="00E07C4E" w:rsidRPr="00721663" w:rsidRDefault="00E07C4E" w:rsidP="00551604">
            <w:pPr>
              <w:ind w:right="142"/>
              <w:jc w:val="right"/>
              <w:rPr>
                <w:rFonts w:ascii="Arial" w:eastAsia="Arial Unicode MS" w:hAnsi="Arial" w:cs="Arial"/>
                <w:sz w:val="18"/>
                <w:szCs w:val="18"/>
                <w:lang w:val="bg-BG"/>
              </w:rPr>
            </w:pPr>
          </w:p>
        </w:tc>
      </w:tr>
      <w:tr w:rsidR="00E07C4E" w:rsidRPr="00721663" w14:paraId="4BC4CCBC" w14:textId="77777777" w:rsidTr="00551604">
        <w:trPr>
          <w:trHeight w:hRule="exact" w:val="531"/>
        </w:trPr>
        <w:tc>
          <w:tcPr>
            <w:tcW w:w="2268" w:type="dxa"/>
            <w:tcBorders>
              <w:top w:val="nil"/>
              <w:left w:val="nil"/>
              <w:bottom w:val="nil"/>
              <w:right w:val="nil"/>
            </w:tcBorders>
            <w:noWrap/>
            <w:vAlign w:val="center"/>
          </w:tcPr>
          <w:p w14:paraId="58FAF118" w14:textId="77777777" w:rsidR="00E07C4E" w:rsidRPr="00721663" w:rsidRDefault="00E07C4E" w:rsidP="00551604">
            <w:pPr>
              <w:jc w:val="left"/>
              <w:rPr>
                <w:rFonts w:ascii="Arial" w:hAnsi="Arial" w:cs="Arial"/>
                <w:b/>
                <w:sz w:val="18"/>
                <w:szCs w:val="18"/>
                <w:lang w:val="bg-BG"/>
              </w:rPr>
            </w:pPr>
            <w:r w:rsidRPr="00721663">
              <w:rPr>
                <w:rFonts w:ascii="Arial" w:hAnsi="Arial" w:cs="Arial"/>
                <w:b/>
                <w:sz w:val="18"/>
                <w:szCs w:val="18"/>
                <w:lang w:val="bg-BG"/>
              </w:rPr>
              <w:t>Натрупана амортизация</w:t>
            </w:r>
          </w:p>
        </w:tc>
        <w:tc>
          <w:tcPr>
            <w:tcW w:w="143" w:type="dxa"/>
            <w:tcBorders>
              <w:top w:val="nil"/>
              <w:left w:val="nil"/>
              <w:bottom w:val="nil"/>
              <w:right w:val="nil"/>
            </w:tcBorders>
            <w:noWrap/>
            <w:vAlign w:val="bottom"/>
          </w:tcPr>
          <w:p w14:paraId="2E00155D" w14:textId="77777777" w:rsidR="00E07C4E" w:rsidRPr="00721663" w:rsidRDefault="00E07C4E" w:rsidP="00551604">
            <w:pPr>
              <w:rPr>
                <w:rFonts w:ascii="Arial" w:eastAsia="Arial Unicode MS" w:hAnsi="Arial" w:cs="Arial"/>
                <w:sz w:val="18"/>
                <w:szCs w:val="18"/>
                <w:lang w:val="bg-BG"/>
              </w:rPr>
            </w:pPr>
          </w:p>
        </w:tc>
        <w:tc>
          <w:tcPr>
            <w:tcW w:w="977" w:type="dxa"/>
            <w:tcBorders>
              <w:top w:val="nil"/>
              <w:left w:val="nil"/>
              <w:right w:val="nil"/>
            </w:tcBorders>
            <w:noWrap/>
            <w:vAlign w:val="center"/>
          </w:tcPr>
          <w:p w14:paraId="54405CFC" w14:textId="77777777" w:rsidR="00E07C4E" w:rsidRPr="00721663" w:rsidRDefault="00E07C4E" w:rsidP="00551604">
            <w:pPr>
              <w:jc w:val="right"/>
              <w:rPr>
                <w:rFonts w:ascii="Arial" w:eastAsia="Arial Unicode MS" w:hAnsi="Arial" w:cs="Arial"/>
                <w:sz w:val="18"/>
                <w:szCs w:val="18"/>
                <w:lang w:val="bg-BG"/>
              </w:rPr>
            </w:pPr>
          </w:p>
        </w:tc>
        <w:tc>
          <w:tcPr>
            <w:tcW w:w="142" w:type="dxa"/>
            <w:tcBorders>
              <w:top w:val="nil"/>
              <w:left w:val="nil"/>
              <w:right w:val="nil"/>
            </w:tcBorders>
            <w:vAlign w:val="center"/>
          </w:tcPr>
          <w:p w14:paraId="443C2556" w14:textId="77777777" w:rsidR="00E07C4E" w:rsidRPr="00721663" w:rsidRDefault="00E07C4E" w:rsidP="00551604">
            <w:pPr>
              <w:jc w:val="right"/>
              <w:rPr>
                <w:rFonts w:ascii="Arial" w:eastAsia="Arial Unicode MS" w:hAnsi="Arial" w:cs="Arial"/>
                <w:sz w:val="18"/>
                <w:szCs w:val="18"/>
                <w:lang w:val="bg-BG"/>
              </w:rPr>
            </w:pPr>
          </w:p>
        </w:tc>
        <w:tc>
          <w:tcPr>
            <w:tcW w:w="1148" w:type="dxa"/>
            <w:tcBorders>
              <w:top w:val="nil"/>
              <w:left w:val="nil"/>
              <w:right w:val="nil"/>
            </w:tcBorders>
            <w:vAlign w:val="center"/>
          </w:tcPr>
          <w:p w14:paraId="52711C66" w14:textId="77777777" w:rsidR="00E07C4E" w:rsidRPr="00721663" w:rsidRDefault="00E07C4E" w:rsidP="00551604">
            <w:pPr>
              <w:jc w:val="right"/>
              <w:rPr>
                <w:rFonts w:ascii="Arial" w:eastAsia="Arial Unicode MS" w:hAnsi="Arial" w:cs="Arial"/>
                <w:sz w:val="18"/>
                <w:szCs w:val="18"/>
                <w:lang w:val="bg-BG"/>
              </w:rPr>
            </w:pPr>
          </w:p>
        </w:tc>
        <w:tc>
          <w:tcPr>
            <w:tcW w:w="142" w:type="dxa"/>
            <w:tcBorders>
              <w:top w:val="nil"/>
              <w:left w:val="nil"/>
              <w:right w:val="nil"/>
            </w:tcBorders>
            <w:vAlign w:val="center"/>
          </w:tcPr>
          <w:p w14:paraId="585B4BD2" w14:textId="77777777" w:rsidR="00E07C4E" w:rsidRPr="00721663" w:rsidRDefault="00E07C4E" w:rsidP="00551604">
            <w:pPr>
              <w:jc w:val="right"/>
              <w:rPr>
                <w:rFonts w:ascii="Arial" w:eastAsia="Arial Unicode MS" w:hAnsi="Arial" w:cs="Arial"/>
                <w:sz w:val="18"/>
                <w:szCs w:val="18"/>
                <w:lang w:val="bg-BG"/>
              </w:rPr>
            </w:pPr>
          </w:p>
        </w:tc>
        <w:tc>
          <w:tcPr>
            <w:tcW w:w="1276" w:type="dxa"/>
            <w:tcBorders>
              <w:top w:val="nil"/>
              <w:left w:val="nil"/>
              <w:right w:val="nil"/>
            </w:tcBorders>
            <w:vAlign w:val="center"/>
          </w:tcPr>
          <w:p w14:paraId="41789E2A" w14:textId="77777777" w:rsidR="00E07C4E" w:rsidRPr="00721663" w:rsidRDefault="00E07C4E" w:rsidP="00551604">
            <w:pPr>
              <w:jc w:val="right"/>
              <w:rPr>
                <w:rFonts w:ascii="Arial" w:eastAsia="Arial Unicode MS" w:hAnsi="Arial" w:cs="Arial"/>
                <w:sz w:val="18"/>
                <w:szCs w:val="18"/>
                <w:lang w:val="bg-BG"/>
              </w:rPr>
            </w:pPr>
          </w:p>
        </w:tc>
        <w:tc>
          <w:tcPr>
            <w:tcW w:w="142" w:type="dxa"/>
            <w:tcBorders>
              <w:top w:val="nil"/>
              <w:left w:val="nil"/>
              <w:right w:val="nil"/>
            </w:tcBorders>
          </w:tcPr>
          <w:p w14:paraId="4B589A28" w14:textId="77777777" w:rsidR="00E07C4E" w:rsidRPr="00721663" w:rsidRDefault="00E07C4E" w:rsidP="00551604">
            <w:pPr>
              <w:jc w:val="right"/>
              <w:rPr>
                <w:rFonts w:ascii="Arial" w:eastAsia="Arial Unicode MS" w:hAnsi="Arial" w:cs="Arial"/>
                <w:sz w:val="18"/>
                <w:szCs w:val="18"/>
                <w:lang w:val="bg-BG"/>
              </w:rPr>
            </w:pPr>
          </w:p>
        </w:tc>
        <w:tc>
          <w:tcPr>
            <w:tcW w:w="1275" w:type="dxa"/>
            <w:tcBorders>
              <w:top w:val="nil"/>
              <w:left w:val="nil"/>
              <w:right w:val="nil"/>
            </w:tcBorders>
            <w:vAlign w:val="center"/>
          </w:tcPr>
          <w:p w14:paraId="211ED5C3" w14:textId="77777777" w:rsidR="00E07C4E" w:rsidRPr="00721663" w:rsidRDefault="00E07C4E" w:rsidP="00551604">
            <w:pPr>
              <w:ind w:right="116"/>
              <w:jc w:val="right"/>
              <w:rPr>
                <w:rFonts w:ascii="Arial" w:eastAsia="Arial Unicode MS" w:hAnsi="Arial" w:cs="Arial"/>
                <w:sz w:val="18"/>
                <w:szCs w:val="18"/>
                <w:lang w:val="bg-BG"/>
              </w:rPr>
            </w:pPr>
          </w:p>
        </w:tc>
        <w:tc>
          <w:tcPr>
            <w:tcW w:w="141" w:type="dxa"/>
            <w:tcBorders>
              <w:top w:val="nil"/>
              <w:left w:val="nil"/>
              <w:right w:val="nil"/>
            </w:tcBorders>
            <w:noWrap/>
            <w:vAlign w:val="center"/>
          </w:tcPr>
          <w:p w14:paraId="36FB5C87" w14:textId="77777777" w:rsidR="00E07C4E" w:rsidRPr="00721663" w:rsidRDefault="00E07C4E" w:rsidP="00551604">
            <w:pPr>
              <w:jc w:val="right"/>
              <w:rPr>
                <w:rFonts w:ascii="Arial" w:eastAsia="Arial Unicode MS" w:hAnsi="Arial" w:cs="Arial"/>
                <w:sz w:val="18"/>
                <w:szCs w:val="18"/>
                <w:lang w:val="bg-BG"/>
              </w:rPr>
            </w:pPr>
          </w:p>
        </w:tc>
        <w:tc>
          <w:tcPr>
            <w:tcW w:w="1277" w:type="dxa"/>
            <w:tcBorders>
              <w:top w:val="nil"/>
              <w:left w:val="nil"/>
              <w:right w:val="nil"/>
            </w:tcBorders>
            <w:noWrap/>
            <w:vAlign w:val="center"/>
          </w:tcPr>
          <w:p w14:paraId="641973D8" w14:textId="77777777" w:rsidR="00E07C4E" w:rsidRPr="00721663" w:rsidRDefault="00E07C4E" w:rsidP="00551604">
            <w:pPr>
              <w:ind w:right="116"/>
              <w:jc w:val="right"/>
              <w:rPr>
                <w:rFonts w:ascii="Arial" w:eastAsia="Arial Unicode MS" w:hAnsi="Arial" w:cs="Arial"/>
                <w:sz w:val="18"/>
                <w:szCs w:val="18"/>
                <w:lang w:val="bg-BG"/>
              </w:rPr>
            </w:pPr>
          </w:p>
        </w:tc>
        <w:tc>
          <w:tcPr>
            <w:tcW w:w="142" w:type="dxa"/>
            <w:tcBorders>
              <w:top w:val="nil"/>
              <w:left w:val="nil"/>
              <w:right w:val="nil"/>
            </w:tcBorders>
            <w:noWrap/>
            <w:vAlign w:val="center"/>
          </w:tcPr>
          <w:p w14:paraId="3F7E0647" w14:textId="77777777" w:rsidR="00E07C4E" w:rsidRPr="00721663" w:rsidRDefault="00E07C4E" w:rsidP="00551604">
            <w:pPr>
              <w:jc w:val="right"/>
              <w:rPr>
                <w:rFonts w:ascii="Arial" w:eastAsia="Arial Unicode MS" w:hAnsi="Arial" w:cs="Arial"/>
                <w:sz w:val="18"/>
                <w:szCs w:val="18"/>
                <w:lang w:val="bg-BG"/>
              </w:rPr>
            </w:pPr>
          </w:p>
        </w:tc>
        <w:tc>
          <w:tcPr>
            <w:tcW w:w="851" w:type="dxa"/>
            <w:tcBorders>
              <w:top w:val="nil"/>
              <w:left w:val="nil"/>
              <w:right w:val="nil"/>
            </w:tcBorders>
            <w:noWrap/>
            <w:vAlign w:val="center"/>
          </w:tcPr>
          <w:p w14:paraId="60C39F58" w14:textId="77777777" w:rsidR="00E07C4E" w:rsidRPr="00721663" w:rsidRDefault="00E07C4E" w:rsidP="00551604">
            <w:pPr>
              <w:ind w:right="142"/>
              <w:jc w:val="right"/>
              <w:rPr>
                <w:rFonts w:ascii="Arial" w:eastAsia="Arial Unicode MS" w:hAnsi="Arial" w:cs="Arial"/>
                <w:sz w:val="18"/>
                <w:szCs w:val="18"/>
                <w:lang w:val="bg-BG"/>
              </w:rPr>
            </w:pPr>
          </w:p>
        </w:tc>
      </w:tr>
      <w:tr w:rsidR="00017A0C" w:rsidRPr="00721663" w14:paraId="2736A57D" w14:textId="77777777" w:rsidTr="00017A0C">
        <w:trPr>
          <w:trHeight w:hRule="exact" w:val="320"/>
        </w:trPr>
        <w:tc>
          <w:tcPr>
            <w:tcW w:w="2268" w:type="dxa"/>
            <w:tcBorders>
              <w:top w:val="nil"/>
              <w:left w:val="nil"/>
              <w:bottom w:val="nil"/>
              <w:right w:val="nil"/>
            </w:tcBorders>
            <w:noWrap/>
            <w:vAlign w:val="center"/>
          </w:tcPr>
          <w:p w14:paraId="57EF1300" w14:textId="3B9A60EC" w:rsidR="00017A0C" w:rsidRPr="00721663" w:rsidRDefault="00017A0C" w:rsidP="00017A0C">
            <w:pPr>
              <w:jc w:val="left"/>
              <w:rPr>
                <w:rFonts w:ascii="Arial" w:hAnsi="Arial" w:cs="Arial"/>
                <w:sz w:val="18"/>
                <w:szCs w:val="18"/>
                <w:lang w:val="bg-BG"/>
              </w:rPr>
            </w:pPr>
            <w:r w:rsidRPr="00721663">
              <w:rPr>
                <w:rFonts w:ascii="Arial" w:hAnsi="Arial" w:cs="Arial"/>
                <w:sz w:val="18"/>
                <w:szCs w:val="18"/>
                <w:lang w:val="bg-BG"/>
              </w:rPr>
              <w:t xml:space="preserve">На 1 януари </w:t>
            </w:r>
            <w:r>
              <w:rPr>
                <w:rFonts w:ascii="Arial" w:hAnsi="Arial" w:cs="Arial"/>
                <w:sz w:val="18"/>
                <w:szCs w:val="18"/>
                <w:lang w:val="bg-BG"/>
              </w:rPr>
              <w:t>2016</w:t>
            </w:r>
            <w:r w:rsidRPr="00721663">
              <w:rPr>
                <w:rFonts w:ascii="Arial" w:hAnsi="Arial" w:cs="Arial"/>
                <w:sz w:val="18"/>
                <w:szCs w:val="18"/>
                <w:lang w:val="bg-BG"/>
              </w:rPr>
              <w:t xml:space="preserve"> г. </w:t>
            </w:r>
          </w:p>
        </w:tc>
        <w:tc>
          <w:tcPr>
            <w:tcW w:w="143" w:type="dxa"/>
            <w:tcBorders>
              <w:top w:val="nil"/>
              <w:left w:val="nil"/>
              <w:bottom w:val="nil"/>
              <w:right w:val="nil"/>
            </w:tcBorders>
            <w:noWrap/>
            <w:vAlign w:val="bottom"/>
          </w:tcPr>
          <w:p w14:paraId="09B8C484" w14:textId="77777777" w:rsidR="00017A0C" w:rsidRPr="00721663" w:rsidRDefault="00017A0C" w:rsidP="00017A0C">
            <w:pPr>
              <w:rPr>
                <w:rFonts w:ascii="Arial" w:eastAsia="Arial Unicode MS" w:hAnsi="Arial" w:cs="Arial"/>
                <w:sz w:val="18"/>
                <w:szCs w:val="18"/>
                <w:lang w:val="bg-BG"/>
              </w:rPr>
            </w:pPr>
          </w:p>
        </w:tc>
        <w:tc>
          <w:tcPr>
            <w:tcW w:w="977" w:type="dxa"/>
            <w:tcBorders>
              <w:top w:val="nil"/>
              <w:left w:val="nil"/>
              <w:right w:val="nil"/>
            </w:tcBorders>
            <w:noWrap/>
            <w:vAlign w:val="center"/>
          </w:tcPr>
          <w:p w14:paraId="1057A372" w14:textId="39CB8B06" w:rsidR="00017A0C" w:rsidRPr="00721663" w:rsidRDefault="00017A0C" w:rsidP="00017A0C">
            <w:pPr>
              <w:ind w:right="112"/>
              <w:jc w:val="right"/>
              <w:rPr>
                <w:rFonts w:ascii="Arial" w:eastAsia="Arial Unicode MS" w:hAnsi="Arial" w:cs="Arial"/>
                <w:b/>
                <w:sz w:val="18"/>
                <w:szCs w:val="18"/>
                <w:lang w:val="bg-BG"/>
              </w:rPr>
            </w:pPr>
            <w:r>
              <w:rPr>
                <w:rFonts w:ascii="Arial" w:eastAsia="Arial Unicode MS" w:hAnsi="Arial" w:cs="Arial"/>
                <w:b/>
                <w:sz w:val="18"/>
                <w:szCs w:val="18"/>
                <w:lang w:val="en-GB" w:eastAsia="bg-BG"/>
              </w:rPr>
              <w:t>-</w:t>
            </w:r>
          </w:p>
        </w:tc>
        <w:tc>
          <w:tcPr>
            <w:tcW w:w="142" w:type="dxa"/>
            <w:tcBorders>
              <w:top w:val="nil"/>
              <w:left w:val="nil"/>
              <w:right w:val="nil"/>
            </w:tcBorders>
            <w:vAlign w:val="center"/>
          </w:tcPr>
          <w:p w14:paraId="0D25F554" w14:textId="77777777" w:rsidR="00017A0C" w:rsidRPr="00721663" w:rsidRDefault="00017A0C" w:rsidP="00017A0C">
            <w:pPr>
              <w:jc w:val="right"/>
              <w:rPr>
                <w:rFonts w:ascii="Arial" w:eastAsia="Arial Unicode MS" w:hAnsi="Arial" w:cs="Arial"/>
                <w:b/>
                <w:sz w:val="18"/>
                <w:szCs w:val="18"/>
                <w:lang w:val="bg-BG"/>
              </w:rPr>
            </w:pPr>
          </w:p>
        </w:tc>
        <w:tc>
          <w:tcPr>
            <w:tcW w:w="1148" w:type="dxa"/>
            <w:tcBorders>
              <w:top w:val="nil"/>
              <w:left w:val="nil"/>
              <w:right w:val="nil"/>
            </w:tcBorders>
            <w:vAlign w:val="center"/>
          </w:tcPr>
          <w:p w14:paraId="044151BD" w14:textId="55742F0E" w:rsidR="00017A0C" w:rsidRPr="00721663" w:rsidRDefault="00017A0C" w:rsidP="00017A0C">
            <w:pPr>
              <w:ind w:right="112"/>
              <w:jc w:val="right"/>
              <w:rPr>
                <w:rFonts w:ascii="Arial" w:eastAsia="Arial Unicode MS" w:hAnsi="Arial" w:cs="Arial"/>
                <w:b/>
                <w:sz w:val="18"/>
                <w:szCs w:val="18"/>
                <w:lang w:val="bg-BG"/>
              </w:rPr>
            </w:pPr>
            <w:r>
              <w:rPr>
                <w:rFonts w:ascii="Arial" w:eastAsia="Arial Unicode MS" w:hAnsi="Arial" w:cs="Arial"/>
                <w:b/>
                <w:sz w:val="18"/>
                <w:szCs w:val="18"/>
                <w:lang w:val="en-GB" w:eastAsia="bg-BG"/>
              </w:rPr>
              <w:t>(4,271)</w:t>
            </w:r>
          </w:p>
        </w:tc>
        <w:tc>
          <w:tcPr>
            <w:tcW w:w="142" w:type="dxa"/>
            <w:tcBorders>
              <w:top w:val="nil"/>
              <w:left w:val="nil"/>
              <w:right w:val="nil"/>
            </w:tcBorders>
            <w:vAlign w:val="center"/>
          </w:tcPr>
          <w:p w14:paraId="58E9784E" w14:textId="77777777" w:rsidR="00017A0C" w:rsidRPr="00721663" w:rsidRDefault="00017A0C" w:rsidP="00017A0C">
            <w:pPr>
              <w:jc w:val="right"/>
              <w:rPr>
                <w:rFonts w:ascii="Arial" w:eastAsia="Arial Unicode MS" w:hAnsi="Arial" w:cs="Arial"/>
                <w:b/>
                <w:sz w:val="18"/>
                <w:szCs w:val="18"/>
                <w:lang w:val="bg-BG"/>
              </w:rPr>
            </w:pPr>
          </w:p>
        </w:tc>
        <w:tc>
          <w:tcPr>
            <w:tcW w:w="1276" w:type="dxa"/>
            <w:tcBorders>
              <w:top w:val="nil"/>
              <w:left w:val="nil"/>
              <w:right w:val="nil"/>
            </w:tcBorders>
            <w:vAlign w:val="center"/>
          </w:tcPr>
          <w:p w14:paraId="0FB92E77" w14:textId="1A338737" w:rsidR="00017A0C" w:rsidRPr="00721663" w:rsidRDefault="00017A0C" w:rsidP="00017A0C">
            <w:pPr>
              <w:ind w:right="112"/>
              <w:jc w:val="right"/>
              <w:rPr>
                <w:rFonts w:ascii="Arial" w:eastAsia="Arial Unicode MS" w:hAnsi="Arial" w:cs="Arial"/>
                <w:b/>
                <w:sz w:val="18"/>
                <w:szCs w:val="18"/>
                <w:lang w:val="bg-BG"/>
              </w:rPr>
            </w:pPr>
            <w:r>
              <w:rPr>
                <w:rFonts w:ascii="Arial" w:eastAsia="Arial Unicode MS" w:hAnsi="Arial" w:cs="Arial"/>
                <w:b/>
                <w:sz w:val="18"/>
                <w:szCs w:val="18"/>
                <w:lang w:val="en-GB" w:eastAsia="bg-BG"/>
              </w:rPr>
              <w:t>(27)</w:t>
            </w:r>
          </w:p>
        </w:tc>
        <w:tc>
          <w:tcPr>
            <w:tcW w:w="142" w:type="dxa"/>
            <w:tcBorders>
              <w:top w:val="nil"/>
              <w:left w:val="nil"/>
              <w:right w:val="nil"/>
            </w:tcBorders>
          </w:tcPr>
          <w:p w14:paraId="4E3854CF" w14:textId="77777777" w:rsidR="00017A0C" w:rsidRPr="00721663" w:rsidRDefault="00017A0C" w:rsidP="00017A0C">
            <w:pPr>
              <w:jc w:val="right"/>
              <w:rPr>
                <w:rFonts w:ascii="Arial" w:eastAsia="Arial Unicode MS" w:hAnsi="Arial" w:cs="Arial"/>
                <w:b/>
                <w:sz w:val="18"/>
                <w:szCs w:val="18"/>
                <w:lang w:val="bg-BG"/>
              </w:rPr>
            </w:pPr>
          </w:p>
        </w:tc>
        <w:tc>
          <w:tcPr>
            <w:tcW w:w="1275" w:type="dxa"/>
            <w:tcBorders>
              <w:top w:val="nil"/>
              <w:left w:val="nil"/>
              <w:right w:val="nil"/>
            </w:tcBorders>
            <w:vAlign w:val="center"/>
          </w:tcPr>
          <w:p w14:paraId="621A7146" w14:textId="6817F2B4" w:rsidR="00017A0C" w:rsidRPr="00721663" w:rsidRDefault="00017A0C" w:rsidP="00017A0C">
            <w:pPr>
              <w:ind w:right="116"/>
              <w:jc w:val="right"/>
              <w:rPr>
                <w:rFonts w:ascii="Arial" w:eastAsia="Arial Unicode MS" w:hAnsi="Arial" w:cs="Arial"/>
                <w:b/>
                <w:sz w:val="18"/>
                <w:szCs w:val="18"/>
                <w:lang w:val="bg-BG"/>
              </w:rPr>
            </w:pPr>
            <w:r>
              <w:rPr>
                <w:rFonts w:ascii="Arial" w:eastAsia="Arial Unicode MS" w:hAnsi="Arial" w:cs="Arial"/>
                <w:b/>
                <w:sz w:val="18"/>
                <w:szCs w:val="18"/>
                <w:lang w:val="en-GB" w:eastAsia="bg-BG"/>
              </w:rPr>
              <w:t>(4)</w:t>
            </w:r>
          </w:p>
        </w:tc>
        <w:tc>
          <w:tcPr>
            <w:tcW w:w="141" w:type="dxa"/>
            <w:tcBorders>
              <w:top w:val="nil"/>
              <w:left w:val="nil"/>
              <w:right w:val="nil"/>
            </w:tcBorders>
            <w:noWrap/>
            <w:vAlign w:val="center"/>
          </w:tcPr>
          <w:p w14:paraId="2B786FBC" w14:textId="77777777" w:rsidR="00017A0C" w:rsidRPr="00721663" w:rsidRDefault="00017A0C" w:rsidP="00017A0C">
            <w:pPr>
              <w:jc w:val="right"/>
              <w:rPr>
                <w:rFonts w:ascii="Arial" w:eastAsia="Arial Unicode MS" w:hAnsi="Arial" w:cs="Arial"/>
                <w:b/>
                <w:sz w:val="18"/>
                <w:szCs w:val="18"/>
                <w:lang w:val="bg-BG"/>
              </w:rPr>
            </w:pPr>
          </w:p>
        </w:tc>
        <w:tc>
          <w:tcPr>
            <w:tcW w:w="1277" w:type="dxa"/>
            <w:tcBorders>
              <w:top w:val="nil"/>
              <w:left w:val="nil"/>
              <w:right w:val="nil"/>
            </w:tcBorders>
            <w:noWrap/>
            <w:vAlign w:val="center"/>
          </w:tcPr>
          <w:p w14:paraId="466348F4" w14:textId="59AF4296" w:rsidR="00017A0C" w:rsidRPr="00721663" w:rsidRDefault="00017A0C" w:rsidP="00017A0C">
            <w:pPr>
              <w:ind w:right="116"/>
              <w:jc w:val="right"/>
              <w:rPr>
                <w:rFonts w:ascii="Arial" w:eastAsia="Arial Unicode MS" w:hAnsi="Arial" w:cs="Arial"/>
                <w:b/>
                <w:sz w:val="18"/>
                <w:szCs w:val="18"/>
                <w:lang w:val="bg-BG"/>
              </w:rPr>
            </w:pPr>
            <w:r>
              <w:rPr>
                <w:rFonts w:ascii="Arial" w:eastAsia="Arial Unicode MS" w:hAnsi="Arial" w:cs="Arial"/>
                <w:b/>
                <w:sz w:val="18"/>
                <w:szCs w:val="18"/>
                <w:lang w:val="en-GB" w:eastAsia="bg-BG"/>
              </w:rPr>
              <w:t>-</w:t>
            </w:r>
          </w:p>
        </w:tc>
        <w:tc>
          <w:tcPr>
            <w:tcW w:w="142" w:type="dxa"/>
            <w:tcBorders>
              <w:top w:val="nil"/>
              <w:left w:val="nil"/>
              <w:right w:val="nil"/>
            </w:tcBorders>
            <w:noWrap/>
            <w:vAlign w:val="center"/>
          </w:tcPr>
          <w:p w14:paraId="69F28152" w14:textId="77777777" w:rsidR="00017A0C" w:rsidRPr="00721663" w:rsidRDefault="00017A0C" w:rsidP="00017A0C">
            <w:pPr>
              <w:jc w:val="right"/>
              <w:rPr>
                <w:rFonts w:ascii="Arial" w:eastAsia="Arial Unicode MS" w:hAnsi="Arial" w:cs="Arial"/>
                <w:b/>
                <w:sz w:val="18"/>
                <w:szCs w:val="18"/>
                <w:lang w:val="bg-BG"/>
              </w:rPr>
            </w:pPr>
          </w:p>
        </w:tc>
        <w:tc>
          <w:tcPr>
            <w:tcW w:w="851" w:type="dxa"/>
            <w:tcBorders>
              <w:top w:val="nil"/>
              <w:left w:val="nil"/>
              <w:right w:val="nil"/>
            </w:tcBorders>
            <w:noWrap/>
            <w:vAlign w:val="center"/>
          </w:tcPr>
          <w:p w14:paraId="175807F9" w14:textId="42515DD3" w:rsidR="00017A0C" w:rsidRPr="00721663" w:rsidRDefault="00017A0C" w:rsidP="00017A0C">
            <w:pPr>
              <w:ind w:right="142"/>
              <w:jc w:val="right"/>
              <w:rPr>
                <w:rFonts w:ascii="Arial" w:eastAsia="Arial Unicode MS" w:hAnsi="Arial" w:cs="Arial"/>
                <w:b/>
                <w:sz w:val="18"/>
                <w:szCs w:val="18"/>
                <w:lang w:val="bg-BG"/>
              </w:rPr>
            </w:pPr>
            <w:r>
              <w:rPr>
                <w:rFonts w:ascii="Arial" w:eastAsia="Arial Unicode MS" w:hAnsi="Arial" w:cs="Arial"/>
                <w:b/>
                <w:sz w:val="18"/>
                <w:szCs w:val="18"/>
                <w:lang w:val="en-GB" w:eastAsia="bg-BG"/>
              </w:rPr>
              <w:t>(4,302)</w:t>
            </w:r>
          </w:p>
        </w:tc>
      </w:tr>
      <w:tr w:rsidR="00017A0C" w:rsidRPr="00721663" w14:paraId="5A811AF8" w14:textId="77777777" w:rsidTr="00551604">
        <w:trPr>
          <w:trHeight w:hRule="exact" w:val="596"/>
        </w:trPr>
        <w:tc>
          <w:tcPr>
            <w:tcW w:w="2268" w:type="dxa"/>
            <w:tcBorders>
              <w:left w:val="nil"/>
              <w:right w:val="nil"/>
            </w:tcBorders>
            <w:noWrap/>
            <w:vAlign w:val="center"/>
          </w:tcPr>
          <w:p w14:paraId="76777191" w14:textId="77777777" w:rsidR="00017A0C" w:rsidRPr="00721663" w:rsidRDefault="00017A0C" w:rsidP="00017A0C">
            <w:pPr>
              <w:jc w:val="left"/>
              <w:rPr>
                <w:rFonts w:ascii="Arial" w:hAnsi="Arial" w:cs="Arial"/>
                <w:sz w:val="18"/>
                <w:szCs w:val="18"/>
                <w:lang w:val="bg-BG"/>
              </w:rPr>
            </w:pPr>
            <w:r w:rsidRPr="00721663">
              <w:rPr>
                <w:rFonts w:ascii="Arial" w:hAnsi="Arial" w:cs="Arial"/>
                <w:sz w:val="18"/>
                <w:szCs w:val="18"/>
                <w:lang w:val="bg-BG"/>
              </w:rPr>
              <w:t xml:space="preserve">Начислена амортизация за </w:t>
            </w:r>
            <w:r>
              <w:rPr>
                <w:rFonts w:ascii="Arial" w:hAnsi="Arial" w:cs="Arial"/>
                <w:sz w:val="18"/>
                <w:szCs w:val="18"/>
                <w:lang w:val="bg-BG"/>
              </w:rPr>
              <w:t>периода</w:t>
            </w:r>
          </w:p>
        </w:tc>
        <w:tc>
          <w:tcPr>
            <w:tcW w:w="143" w:type="dxa"/>
            <w:tcBorders>
              <w:left w:val="nil"/>
              <w:right w:val="nil"/>
            </w:tcBorders>
            <w:noWrap/>
            <w:vAlign w:val="bottom"/>
          </w:tcPr>
          <w:p w14:paraId="5F4CBA9D" w14:textId="77777777" w:rsidR="00017A0C" w:rsidRPr="00721663" w:rsidRDefault="00017A0C" w:rsidP="00017A0C">
            <w:pPr>
              <w:rPr>
                <w:rFonts w:ascii="Arial" w:eastAsia="Arial Unicode MS" w:hAnsi="Arial" w:cs="Arial"/>
                <w:sz w:val="18"/>
                <w:szCs w:val="18"/>
                <w:lang w:val="bg-BG"/>
              </w:rPr>
            </w:pPr>
          </w:p>
        </w:tc>
        <w:tc>
          <w:tcPr>
            <w:tcW w:w="977" w:type="dxa"/>
            <w:tcBorders>
              <w:left w:val="nil"/>
              <w:bottom w:val="single" w:sz="4" w:space="0" w:color="auto"/>
              <w:right w:val="nil"/>
            </w:tcBorders>
            <w:noWrap/>
            <w:vAlign w:val="center"/>
          </w:tcPr>
          <w:p w14:paraId="1DA00B74" w14:textId="1CF275CE" w:rsidR="00017A0C" w:rsidRPr="00721663" w:rsidRDefault="00017A0C" w:rsidP="00017A0C">
            <w:pPr>
              <w:ind w:right="112"/>
              <w:jc w:val="right"/>
              <w:rPr>
                <w:rFonts w:ascii="Arial" w:eastAsia="Arial Unicode MS" w:hAnsi="Arial" w:cs="Arial"/>
                <w:sz w:val="18"/>
                <w:szCs w:val="18"/>
                <w:lang w:val="bg-BG"/>
              </w:rPr>
            </w:pPr>
            <w:r>
              <w:rPr>
                <w:rFonts w:ascii="Arial" w:eastAsia="Arial Unicode MS" w:hAnsi="Arial" w:cs="Arial"/>
                <w:sz w:val="18"/>
                <w:szCs w:val="18"/>
                <w:lang w:val="en-GB" w:eastAsia="bg-BG"/>
              </w:rPr>
              <w:t>-</w:t>
            </w:r>
          </w:p>
        </w:tc>
        <w:tc>
          <w:tcPr>
            <w:tcW w:w="142" w:type="dxa"/>
            <w:tcBorders>
              <w:left w:val="nil"/>
              <w:right w:val="nil"/>
            </w:tcBorders>
            <w:vAlign w:val="center"/>
          </w:tcPr>
          <w:p w14:paraId="1FE422A1" w14:textId="77777777" w:rsidR="00017A0C" w:rsidRPr="00721663" w:rsidRDefault="00017A0C" w:rsidP="00017A0C">
            <w:pPr>
              <w:jc w:val="right"/>
              <w:rPr>
                <w:rFonts w:ascii="Arial" w:eastAsia="Arial Unicode MS" w:hAnsi="Arial" w:cs="Arial"/>
                <w:sz w:val="18"/>
                <w:szCs w:val="18"/>
                <w:lang w:val="bg-BG"/>
              </w:rPr>
            </w:pPr>
          </w:p>
        </w:tc>
        <w:tc>
          <w:tcPr>
            <w:tcW w:w="1148" w:type="dxa"/>
            <w:tcBorders>
              <w:left w:val="nil"/>
              <w:bottom w:val="single" w:sz="4" w:space="0" w:color="auto"/>
              <w:right w:val="nil"/>
            </w:tcBorders>
            <w:vAlign w:val="center"/>
          </w:tcPr>
          <w:p w14:paraId="0E114AE4" w14:textId="7C487CD4" w:rsidR="00017A0C" w:rsidRPr="00721663" w:rsidRDefault="00017A0C" w:rsidP="00017A0C">
            <w:pPr>
              <w:ind w:right="112"/>
              <w:jc w:val="right"/>
              <w:rPr>
                <w:rFonts w:ascii="Arial" w:eastAsia="Arial Unicode MS" w:hAnsi="Arial" w:cs="Arial"/>
                <w:sz w:val="18"/>
                <w:szCs w:val="18"/>
                <w:lang w:val="bg-BG"/>
              </w:rPr>
            </w:pPr>
            <w:r>
              <w:rPr>
                <w:rFonts w:ascii="Arial" w:eastAsia="Arial Unicode MS" w:hAnsi="Arial" w:cs="Arial"/>
                <w:sz w:val="18"/>
                <w:szCs w:val="18"/>
                <w:lang w:val="en-GB" w:eastAsia="bg-BG"/>
              </w:rPr>
              <w:t>(421)</w:t>
            </w:r>
          </w:p>
        </w:tc>
        <w:tc>
          <w:tcPr>
            <w:tcW w:w="142" w:type="dxa"/>
            <w:tcBorders>
              <w:left w:val="nil"/>
              <w:right w:val="nil"/>
            </w:tcBorders>
            <w:vAlign w:val="center"/>
          </w:tcPr>
          <w:p w14:paraId="4872BC7B" w14:textId="77777777" w:rsidR="00017A0C" w:rsidRPr="00721663" w:rsidRDefault="00017A0C" w:rsidP="00017A0C">
            <w:pPr>
              <w:jc w:val="right"/>
              <w:rPr>
                <w:rFonts w:ascii="Arial" w:eastAsia="Arial Unicode MS" w:hAnsi="Arial" w:cs="Arial"/>
                <w:sz w:val="18"/>
                <w:szCs w:val="18"/>
                <w:lang w:val="bg-BG"/>
              </w:rPr>
            </w:pPr>
          </w:p>
        </w:tc>
        <w:tc>
          <w:tcPr>
            <w:tcW w:w="1276" w:type="dxa"/>
            <w:tcBorders>
              <w:left w:val="nil"/>
              <w:bottom w:val="single" w:sz="4" w:space="0" w:color="auto"/>
              <w:right w:val="nil"/>
            </w:tcBorders>
            <w:vAlign w:val="center"/>
          </w:tcPr>
          <w:p w14:paraId="74B5A89A" w14:textId="3A73F575" w:rsidR="00017A0C" w:rsidRPr="00721663" w:rsidRDefault="00017A0C" w:rsidP="00017A0C">
            <w:pPr>
              <w:ind w:right="112"/>
              <w:jc w:val="right"/>
              <w:rPr>
                <w:rFonts w:ascii="Arial" w:eastAsia="Arial Unicode MS" w:hAnsi="Arial" w:cs="Arial"/>
                <w:sz w:val="18"/>
                <w:szCs w:val="18"/>
                <w:lang w:val="bg-BG"/>
              </w:rPr>
            </w:pPr>
            <w:r>
              <w:rPr>
                <w:rFonts w:ascii="Arial" w:eastAsia="Arial Unicode MS" w:hAnsi="Arial" w:cs="Arial"/>
                <w:sz w:val="18"/>
                <w:szCs w:val="18"/>
                <w:lang w:val="en-GB" w:eastAsia="bg-BG"/>
              </w:rPr>
              <w:t>-</w:t>
            </w:r>
          </w:p>
        </w:tc>
        <w:tc>
          <w:tcPr>
            <w:tcW w:w="142" w:type="dxa"/>
            <w:tcBorders>
              <w:left w:val="nil"/>
              <w:right w:val="nil"/>
            </w:tcBorders>
          </w:tcPr>
          <w:p w14:paraId="781207B0" w14:textId="77777777" w:rsidR="00017A0C" w:rsidRPr="00721663" w:rsidRDefault="00017A0C" w:rsidP="00017A0C">
            <w:pPr>
              <w:jc w:val="right"/>
              <w:rPr>
                <w:rFonts w:ascii="Arial" w:eastAsia="Arial Unicode MS" w:hAnsi="Arial" w:cs="Arial"/>
                <w:sz w:val="18"/>
                <w:szCs w:val="18"/>
                <w:lang w:val="bg-BG"/>
              </w:rPr>
            </w:pPr>
          </w:p>
        </w:tc>
        <w:tc>
          <w:tcPr>
            <w:tcW w:w="1275" w:type="dxa"/>
            <w:tcBorders>
              <w:left w:val="nil"/>
              <w:bottom w:val="single" w:sz="4" w:space="0" w:color="auto"/>
              <w:right w:val="nil"/>
            </w:tcBorders>
            <w:vAlign w:val="center"/>
          </w:tcPr>
          <w:p w14:paraId="66BDF2EE" w14:textId="404BFECB" w:rsidR="00017A0C" w:rsidRPr="00721663" w:rsidRDefault="00017A0C" w:rsidP="00017A0C">
            <w:pPr>
              <w:ind w:right="116"/>
              <w:jc w:val="right"/>
              <w:rPr>
                <w:rFonts w:ascii="Arial" w:eastAsia="Arial Unicode MS" w:hAnsi="Arial" w:cs="Arial"/>
                <w:sz w:val="18"/>
                <w:szCs w:val="18"/>
                <w:lang w:val="bg-BG"/>
              </w:rPr>
            </w:pPr>
            <w:r>
              <w:rPr>
                <w:rFonts w:ascii="Arial" w:eastAsia="Arial Unicode MS" w:hAnsi="Arial" w:cs="Arial"/>
                <w:sz w:val="18"/>
                <w:szCs w:val="18"/>
                <w:lang w:val="en-GB" w:eastAsia="bg-BG"/>
              </w:rPr>
              <w:t>-</w:t>
            </w:r>
          </w:p>
        </w:tc>
        <w:tc>
          <w:tcPr>
            <w:tcW w:w="141" w:type="dxa"/>
            <w:tcBorders>
              <w:left w:val="nil"/>
              <w:right w:val="nil"/>
            </w:tcBorders>
            <w:noWrap/>
            <w:vAlign w:val="center"/>
          </w:tcPr>
          <w:p w14:paraId="201D8861" w14:textId="77777777" w:rsidR="00017A0C" w:rsidRPr="00721663" w:rsidRDefault="00017A0C" w:rsidP="00017A0C">
            <w:pPr>
              <w:jc w:val="right"/>
              <w:rPr>
                <w:rFonts w:ascii="Arial" w:eastAsia="Arial Unicode MS" w:hAnsi="Arial" w:cs="Arial"/>
                <w:sz w:val="18"/>
                <w:szCs w:val="18"/>
                <w:lang w:val="bg-BG"/>
              </w:rPr>
            </w:pPr>
          </w:p>
        </w:tc>
        <w:tc>
          <w:tcPr>
            <w:tcW w:w="1277" w:type="dxa"/>
            <w:tcBorders>
              <w:left w:val="nil"/>
              <w:bottom w:val="single" w:sz="4" w:space="0" w:color="auto"/>
              <w:right w:val="nil"/>
            </w:tcBorders>
            <w:noWrap/>
            <w:vAlign w:val="center"/>
          </w:tcPr>
          <w:p w14:paraId="2805A4A4" w14:textId="7C6F8080" w:rsidR="00017A0C" w:rsidRPr="00721663" w:rsidRDefault="00017A0C" w:rsidP="00017A0C">
            <w:pPr>
              <w:ind w:right="116"/>
              <w:jc w:val="right"/>
              <w:rPr>
                <w:rFonts w:ascii="Arial" w:eastAsia="Arial Unicode MS" w:hAnsi="Arial" w:cs="Arial"/>
                <w:sz w:val="18"/>
                <w:szCs w:val="18"/>
                <w:lang w:val="bg-BG"/>
              </w:rPr>
            </w:pPr>
            <w:r>
              <w:rPr>
                <w:rFonts w:ascii="Arial" w:eastAsia="Arial Unicode MS" w:hAnsi="Arial" w:cs="Arial"/>
                <w:sz w:val="18"/>
                <w:szCs w:val="18"/>
                <w:lang w:val="en-GB" w:eastAsia="bg-BG"/>
              </w:rPr>
              <w:t>-</w:t>
            </w:r>
          </w:p>
        </w:tc>
        <w:tc>
          <w:tcPr>
            <w:tcW w:w="142" w:type="dxa"/>
            <w:tcBorders>
              <w:left w:val="nil"/>
              <w:right w:val="nil"/>
            </w:tcBorders>
            <w:noWrap/>
            <w:vAlign w:val="center"/>
          </w:tcPr>
          <w:p w14:paraId="7B89F247" w14:textId="77777777" w:rsidR="00017A0C" w:rsidRPr="00721663" w:rsidRDefault="00017A0C" w:rsidP="00017A0C">
            <w:pPr>
              <w:jc w:val="right"/>
              <w:rPr>
                <w:rFonts w:ascii="Arial" w:eastAsia="Arial Unicode MS" w:hAnsi="Arial" w:cs="Arial"/>
                <w:sz w:val="18"/>
                <w:szCs w:val="18"/>
                <w:lang w:val="bg-BG"/>
              </w:rPr>
            </w:pPr>
          </w:p>
        </w:tc>
        <w:tc>
          <w:tcPr>
            <w:tcW w:w="851" w:type="dxa"/>
            <w:tcBorders>
              <w:left w:val="nil"/>
              <w:bottom w:val="single" w:sz="4" w:space="0" w:color="auto"/>
              <w:right w:val="nil"/>
            </w:tcBorders>
            <w:noWrap/>
            <w:vAlign w:val="center"/>
          </w:tcPr>
          <w:p w14:paraId="762091AA" w14:textId="40117413" w:rsidR="00017A0C" w:rsidRPr="00721663" w:rsidRDefault="00017A0C" w:rsidP="00017A0C">
            <w:pPr>
              <w:ind w:right="142"/>
              <w:jc w:val="right"/>
              <w:rPr>
                <w:rFonts w:ascii="Arial" w:eastAsia="Arial Unicode MS" w:hAnsi="Arial" w:cs="Arial"/>
                <w:sz w:val="18"/>
                <w:szCs w:val="18"/>
                <w:lang w:val="bg-BG"/>
              </w:rPr>
            </w:pPr>
            <w:r>
              <w:rPr>
                <w:rFonts w:ascii="Arial" w:eastAsia="Arial Unicode MS" w:hAnsi="Arial" w:cs="Arial"/>
                <w:sz w:val="18"/>
                <w:szCs w:val="18"/>
                <w:lang w:val="en-GB" w:eastAsia="bg-BG"/>
              </w:rPr>
              <w:t>(421)</w:t>
            </w:r>
          </w:p>
        </w:tc>
      </w:tr>
      <w:tr w:rsidR="00017A0C" w:rsidRPr="00721663" w14:paraId="54C75B91" w14:textId="77777777" w:rsidTr="00551604">
        <w:trPr>
          <w:trHeight w:hRule="exact" w:val="312"/>
        </w:trPr>
        <w:tc>
          <w:tcPr>
            <w:tcW w:w="2268" w:type="dxa"/>
            <w:tcBorders>
              <w:left w:val="nil"/>
              <w:right w:val="nil"/>
            </w:tcBorders>
            <w:noWrap/>
            <w:vAlign w:val="center"/>
          </w:tcPr>
          <w:p w14:paraId="25F491CF" w14:textId="22DFC01C" w:rsidR="00017A0C" w:rsidRPr="00721663" w:rsidRDefault="00017A0C" w:rsidP="00017A0C">
            <w:pPr>
              <w:jc w:val="left"/>
              <w:rPr>
                <w:rFonts w:ascii="Arial" w:hAnsi="Arial" w:cs="Arial"/>
                <w:sz w:val="18"/>
                <w:szCs w:val="18"/>
                <w:lang w:val="bg-BG"/>
              </w:rPr>
            </w:pPr>
            <w:r w:rsidRPr="00721663">
              <w:rPr>
                <w:rFonts w:ascii="Arial" w:hAnsi="Arial" w:cs="Arial"/>
                <w:sz w:val="18"/>
                <w:szCs w:val="18"/>
                <w:lang w:val="bg-BG"/>
              </w:rPr>
              <w:t xml:space="preserve">На </w:t>
            </w:r>
            <w:r>
              <w:rPr>
                <w:rFonts w:ascii="Arial" w:hAnsi="Arial" w:cs="Arial"/>
                <w:sz w:val="18"/>
                <w:szCs w:val="18"/>
                <w:lang w:val="bg-BG"/>
              </w:rPr>
              <w:t>30 юни 2016</w:t>
            </w:r>
            <w:r w:rsidRPr="00721663">
              <w:rPr>
                <w:rFonts w:ascii="Arial" w:hAnsi="Arial" w:cs="Arial"/>
                <w:sz w:val="18"/>
                <w:szCs w:val="18"/>
                <w:lang w:val="bg-BG"/>
              </w:rPr>
              <w:t xml:space="preserve"> г. </w:t>
            </w:r>
          </w:p>
        </w:tc>
        <w:tc>
          <w:tcPr>
            <w:tcW w:w="143" w:type="dxa"/>
            <w:tcBorders>
              <w:left w:val="nil"/>
              <w:right w:val="nil"/>
            </w:tcBorders>
            <w:noWrap/>
            <w:vAlign w:val="bottom"/>
          </w:tcPr>
          <w:p w14:paraId="328A7363" w14:textId="77777777" w:rsidR="00017A0C" w:rsidRPr="00721663" w:rsidRDefault="00017A0C" w:rsidP="00017A0C">
            <w:pPr>
              <w:rPr>
                <w:rFonts w:ascii="Arial" w:eastAsia="Arial Unicode MS" w:hAnsi="Arial" w:cs="Arial"/>
                <w:sz w:val="18"/>
                <w:szCs w:val="18"/>
                <w:lang w:val="bg-BG"/>
              </w:rPr>
            </w:pPr>
          </w:p>
        </w:tc>
        <w:tc>
          <w:tcPr>
            <w:tcW w:w="977" w:type="dxa"/>
            <w:tcBorders>
              <w:top w:val="single" w:sz="4" w:space="0" w:color="auto"/>
              <w:left w:val="nil"/>
              <w:bottom w:val="single" w:sz="4" w:space="0" w:color="auto"/>
              <w:right w:val="nil"/>
            </w:tcBorders>
            <w:noWrap/>
            <w:vAlign w:val="center"/>
          </w:tcPr>
          <w:p w14:paraId="047977DB" w14:textId="7F5C374E" w:rsidR="00017A0C" w:rsidRPr="00721663" w:rsidRDefault="00017A0C" w:rsidP="00017A0C">
            <w:pPr>
              <w:ind w:right="112"/>
              <w:jc w:val="right"/>
              <w:rPr>
                <w:rFonts w:ascii="Arial" w:eastAsia="Arial Unicode MS" w:hAnsi="Arial" w:cs="Arial"/>
                <w:b/>
                <w:sz w:val="18"/>
                <w:szCs w:val="18"/>
                <w:lang w:val="bg-BG"/>
              </w:rPr>
            </w:pPr>
            <w:r>
              <w:rPr>
                <w:rFonts w:ascii="Arial" w:eastAsia="Arial Unicode MS" w:hAnsi="Arial" w:cs="Arial"/>
                <w:b/>
                <w:sz w:val="18"/>
                <w:szCs w:val="18"/>
                <w:lang w:val="en-GB" w:eastAsia="bg-BG"/>
              </w:rPr>
              <w:t>-</w:t>
            </w:r>
          </w:p>
        </w:tc>
        <w:tc>
          <w:tcPr>
            <w:tcW w:w="142" w:type="dxa"/>
            <w:tcBorders>
              <w:left w:val="nil"/>
              <w:right w:val="nil"/>
            </w:tcBorders>
            <w:vAlign w:val="center"/>
          </w:tcPr>
          <w:p w14:paraId="42F7CCB3" w14:textId="77777777" w:rsidR="00017A0C" w:rsidRPr="00721663" w:rsidRDefault="00017A0C" w:rsidP="00017A0C">
            <w:pPr>
              <w:jc w:val="right"/>
              <w:rPr>
                <w:rFonts w:ascii="Arial" w:eastAsia="Arial Unicode MS" w:hAnsi="Arial" w:cs="Arial"/>
                <w:b/>
                <w:sz w:val="18"/>
                <w:szCs w:val="18"/>
                <w:lang w:val="bg-BG"/>
              </w:rPr>
            </w:pPr>
          </w:p>
        </w:tc>
        <w:tc>
          <w:tcPr>
            <w:tcW w:w="1148" w:type="dxa"/>
            <w:tcBorders>
              <w:top w:val="single" w:sz="4" w:space="0" w:color="auto"/>
              <w:left w:val="nil"/>
              <w:bottom w:val="single" w:sz="4" w:space="0" w:color="auto"/>
              <w:right w:val="nil"/>
            </w:tcBorders>
            <w:vAlign w:val="center"/>
          </w:tcPr>
          <w:p w14:paraId="3774B516" w14:textId="3AF95658" w:rsidR="00017A0C" w:rsidRPr="00721663" w:rsidRDefault="00017A0C" w:rsidP="00017A0C">
            <w:pPr>
              <w:ind w:right="112"/>
              <w:jc w:val="right"/>
              <w:rPr>
                <w:rFonts w:ascii="Arial" w:eastAsia="Arial Unicode MS" w:hAnsi="Arial" w:cs="Arial"/>
                <w:b/>
                <w:sz w:val="18"/>
                <w:szCs w:val="18"/>
                <w:lang w:val="bg-BG"/>
              </w:rPr>
            </w:pPr>
            <w:r>
              <w:rPr>
                <w:rFonts w:ascii="Arial" w:eastAsia="Arial Unicode MS" w:hAnsi="Arial" w:cs="Arial"/>
                <w:b/>
                <w:sz w:val="18"/>
                <w:szCs w:val="18"/>
                <w:lang w:val="en-GB" w:eastAsia="bg-BG"/>
              </w:rPr>
              <w:t>(4,692)</w:t>
            </w:r>
          </w:p>
        </w:tc>
        <w:tc>
          <w:tcPr>
            <w:tcW w:w="142" w:type="dxa"/>
            <w:tcBorders>
              <w:left w:val="nil"/>
              <w:right w:val="nil"/>
            </w:tcBorders>
            <w:vAlign w:val="center"/>
          </w:tcPr>
          <w:p w14:paraId="1353E077" w14:textId="77777777" w:rsidR="00017A0C" w:rsidRPr="00721663" w:rsidRDefault="00017A0C" w:rsidP="00017A0C">
            <w:pPr>
              <w:jc w:val="right"/>
              <w:rPr>
                <w:rFonts w:ascii="Arial" w:eastAsia="Arial Unicode MS" w:hAnsi="Arial" w:cs="Arial"/>
                <w:b/>
                <w:sz w:val="18"/>
                <w:szCs w:val="18"/>
                <w:lang w:val="bg-BG"/>
              </w:rPr>
            </w:pPr>
          </w:p>
        </w:tc>
        <w:tc>
          <w:tcPr>
            <w:tcW w:w="1276" w:type="dxa"/>
            <w:tcBorders>
              <w:top w:val="single" w:sz="4" w:space="0" w:color="auto"/>
              <w:left w:val="nil"/>
              <w:bottom w:val="single" w:sz="4" w:space="0" w:color="auto"/>
              <w:right w:val="nil"/>
            </w:tcBorders>
            <w:vAlign w:val="center"/>
          </w:tcPr>
          <w:p w14:paraId="13D6F60C" w14:textId="5DAF7C91" w:rsidR="00017A0C" w:rsidRPr="00721663" w:rsidRDefault="00017A0C" w:rsidP="00017A0C">
            <w:pPr>
              <w:ind w:right="112"/>
              <w:jc w:val="right"/>
              <w:rPr>
                <w:rFonts w:ascii="Arial" w:eastAsia="Arial Unicode MS" w:hAnsi="Arial" w:cs="Arial"/>
                <w:b/>
                <w:sz w:val="18"/>
                <w:szCs w:val="18"/>
                <w:lang w:val="bg-BG"/>
              </w:rPr>
            </w:pPr>
            <w:r>
              <w:rPr>
                <w:rFonts w:ascii="Arial" w:eastAsia="Arial Unicode MS" w:hAnsi="Arial" w:cs="Arial"/>
                <w:b/>
                <w:sz w:val="18"/>
                <w:szCs w:val="18"/>
                <w:lang w:val="en-GB" w:eastAsia="bg-BG"/>
              </w:rPr>
              <w:t>(27)</w:t>
            </w:r>
          </w:p>
        </w:tc>
        <w:tc>
          <w:tcPr>
            <w:tcW w:w="142" w:type="dxa"/>
            <w:tcBorders>
              <w:left w:val="nil"/>
              <w:right w:val="nil"/>
            </w:tcBorders>
          </w:tcPr>
          <w:p w14:paraId="38A9E268" w14:textId="77777777" w:rsidR="00017A0C" w:rsidRPr="00721663" w:rsidRDefault="00017A0C" w:rsidP="00017A0C">
            <w:pPr>
              <w:jc w:val="right"/>
              <w:rPr>
                <w:rFonts w:ascii="Arial" w:eastAsia="Arial Unicode MS" w:hAnsi="Arial" w:cs="Arial"/>
                <w:b/>
                <w:sz w:val="18"/>
                <w:szCs w:val="18"/>
                <w:lang w:val="bg-BG"/>
              </w:rPr>
            </w:pPr>
          </w:p>
        </w:tc>
        <w:tc>
          <w:tcPr>
            <w:tcW w:w="1275" w:type="dxa"/>
            <w:tcBorders>
              <w:top w:val="single" w:sz="4" w:space="0" w:color="auto"/>
              <w:left w:val="nil"/>
              <w:bottom w:val="single" w:sz="4" w:space="0" w:color="auto"/>
              <w:right w:val="nil"/>
            </w:tcBorders>
            <w:vAlign w:val="center"/>
          </w:tcPr>
          <w:p w14:paraId="685F8486" w14:textId="3D5832F5" w:rsidR="00017A0C" w:rsidRPr="00721663" w:rsidRDefault="00017A0C" w:rsidP="00017A0C">
            <w:pPr>
              <w:ind w:right="116"/>
              <w:jc w:val="right"/>
              <w:rPr>
                <w:rFonts w:ascii="Arial" w:eastAsia="Arial Unicode MS" w:hAnsi="Arial" w:cs="Arial"/>
                <w:b/>
                <w:sz w:val="18"/>
                <w:szCs w:val="18"/>
                <w:lang w:val="bg-BG"/>
              </w:rPr>
            </w:pPr>
            <w:r>
              <w:rPr>
                <w:rFonts w:ascii="Arial" w:eastAsia="Arial Unicode MS" w:hAnsi="Arial" w:cs="Arial"/>
                <w:b/>
                <w:sz w:val="18"/>
                <w:szCs w:val="18"/>
                <w:lang w:val="en-GB" w:eastAsia="bg-BG"/>
              </w:rPr>
              <w:t>(4)</w:t>
            </w:r>
          </w:p>
        </w:tc>
        <w:tc>
          <w:tcPr>
            <w:tcW w:w="141" w:type="dxa"/>
            <w:tcBorders>
              <w:left w:val="nil"/>
              <w:right w:val="nil"/>
            </w:tcBorders>
            <w:noWrap/>
            <w:vAlign w:val="center"/>
          </w:tcPr>
          <w:p w14:paraId="336BF33B" w14:textId="77777777" w:rsidR="00017A0C" w:rsidRPr="00721663" w:rsidRDefault="00017A0C" w:rsidP="00017A0C">
            <w:pPr>
              <w:jc w:val="right"/>
              <w:rPr>
                <w:rFonts w:ascii="Arial" w:eastAsia="Arial Unicode MS" w:hAnsi="Arial" w:cs="Arial"/>
                <w:b/>
                <w:sz w:val="18"/>
                <w:szCs w:val="18"/>
                <w:lang w:val="bg-BG"/>
              </w:rPr>
            </w:pPr>
          </w:p>
        </w:tc>
        <w:tc>
          <w:tcPr>
            <w:tcW w:w="1277" w:type="dxa"/>
            <w:tcBorders>
              <w:top w:val="single" w:sz="4" w:space="0" w:color="auto"/>
              <w:left w:val="nil"/>
              <w:bottom w:val="single" w:sz="4" w:space="0" w:color="auto"/>
              <w:right w:val="nil"/>
            </w:tcBorders>
            <w:noWrap/>
            <w:vAlign w:val="center"/>
          </w:tcPr>
          <w:p w14:paraId="4F5EDD26" w14:textId="6BF72ACE" w:rsidR="00017A0C" w:rsidRPr="00721663" w:rsidRDefault="00017A0C" w:rsidP="00017A0C">
            <w:pPr>
              <w:ind w:right="116"/>
              <w:jc w:val="right"/>
              <w:rPr>
                <w:rFonts w:ascii="Arial" w:eastAsia="Arial Unicode MS" w:hAnsi="Arial" w:cs="Arial"/>
                <w:b/>
                <w:sz w:val="18"/>
                <w:szCs w:val="18"/>
                <w:lang w:val="bg-BG"/>
              </w:rPr>
            </w:pPr>
            <w:r>
              <w:rPr>
                <w:rFonts w:ascii="Arial" w:eastAsia="Arial Unicode MS" w:hAnsi="Arial" w:cs="Arial"/>
                <w:b/>
                <w:sz w:val="18"/>
                <w:szCs w:val="18"/>
                <w:lang w:val="en-GB" w:eastAsia="bg-BG"/>
              </w:rPr>
              <w:t>-</w:t>
            </w:r>
          </w:p>
        </w:tc>
        <w:tc>
          <w:tcPr>
            <w:tcW w:w="142" w:type="dxa"/>
            <w:tcBorders>
              <w:left w:val="nil"/>
              <w:right w:val="nil"/>
            </w:tcBorders>
            <w:noWrap/>
            <w:vAlign w:val="center"/>
          </w:tcPr>
          <w:p w14:paraId="0556D5EC" w14:textId="77777777" w:rsidR="00017A0C" w:rsidRPr="00721663" w:rsidRDefault="00017A0C" w:rsidP="00017A0C">
            <w:pPr>
              <w:jc w:val="right"/>
              <w:rPr>
                <w:rFonts w:ascii="Arial" w:eastAsia="Arial Unicode MS" w:hAnsi="Arial" w:cs="Arial"/>
                <w:b/>
                <w:sz w:val="18"/>
                <w:szCs w:val="18"/>
                <w:lang w:val="bg-BG"/>
              </w:rPr>
            </w:pPr>
          </w:p>
        </w:tc>
        <w:tc>
          <w:tcPr>
            <w:tcW w:w="851" w:type="dxa"/>
            <w:tcBorders>
              <w:top w:val="single" w:sz="4" w:space="0" w:color="auto"/>
              <w:left w:val="nil"/>
              <w:bottom w:val="single" w:sz="4" w:space="0" w:color="auto"/>
              <w:right w:val="nil"/>
            </w:tcBorders>
            <w:noWrap/>
            <w:vAlign w:val="center"/>
          </w:tcPr>
          <w:p w14:paraId="6F596D6A" w14:textId="0D7E842F" w:rsidR="00017A0C" w:rsidRPr="00721663" w:rsidRDefault="00017A0C" w:rsidP="00017A0C">
            <w:pPr>
              <w:ind w:right="142"/>
              <w:jc w:val="right"/>
              <w:rPr>
                <w:rFonts w:ascii="Arial" w:eastAsia="Arial Unicode MS" w:hAnsi="Arial" w:cs="Arial"/>
                <w:b/>
                <w:sz w:val="18"/>
                <w:szCs w:val="18"/>
                <w:lang w:val="bg-BG"/>
              </w:rPr>
            </w:pPr>
            <w:r>
              <w:rPr>
                <w:rFonts w:ascii="Arial" w:eastAsia="Arial Unicode MS" w:hAnsi="Arial" w:cs="Arial"/>
                <w:b/>
                <w:sz w:val="18"/>
                <w:szCs w:val="18"/>
                <w:lang w:val="en-GB" w:eastAsia="bg-BG"/>
              </w:rPr>
              <w:t>(4,723)</w:t>
            </w:r>
          </w:p>
        </w:tc>
      </w:tr>
      <w:tr w:rsidR="00017A0C" w:rsidRPr="00721663" w14:paraId="5F81021E" w14:textId="77777777" w:rsidTr="00551604">
        <w:trPr>
          <w:trHeight w:hRule="exact" w:val="190"/>
        </w:trPr>
        <w:tc>
          <w:tcPr>
            <w:tcW w:w="2268" w:type="dxa"/>
            <w:tcBorders>
              <w:left w:val="nil"/>
              <w:right w:val="nil"/>
            </w:tcBorders>
            <w:noWrap/>
            <w:vAlign w:val="center"/>
          </w:tcPr>
          <w:p w14:paraId="7F109E6B" w14:textId="77777777" w:rsidR="00017A0C" w:rsidRPr="00721663" w:rsidRDefault="00017A0C" w:rsidP="00017A0C">
            <w:pPr>
              <w:jc w:val="left"/>
              <w:rPr>
                <w:rFonts w:ascii="Arial" w:hAnsi="Arial" w:cs="Arial"/>
                <w:sz w:val="18"/>
                <w:szCs w:val="18"/>
                <w:lang w:val="bg-BG"/>
              </w:rPr>
            </w:pPr>
          </w:p>
        </w:tc>
        <w:tc>
          <w:tcPr>
            <w:tcW w:w="143" w:type="dxa"/>
            <w:tcBorders>
              <w:left w:val="nil"/>
              <w:right w:val="nil"/>
            </w:tcBorders>
            <w:noWrap/>
            <w:vAlign w:val="bottom"/>
          </w:tcPr>
          <w:p w14:paraId="3B9A596B" w14:textId="77777777" w:rsidR="00017A0C" w:rsidRPr="00721663" w:rsidRDefault="00017A0C" w:rsidP="00017A0C">
            <w:pPr>
              <w:rPr>
                <w:rFonts w:ascii="Arial" w:eastAsia="Arial Unicode MS" w:hAnsi="Arial" w:cs="Arial"/>
                <w:sz w:val="18"/>
                <w:szCs w:val="18"/>
                <w:lang w:val="bg-BG"/>
              </w:rPr>
            </w:pPr>
          </w:p>
        </w:tc>
        <w:tc>
          <w:tcPr>
            <w:tcW w:w="977" w:type="dxa"/>
            <w:tcBorders>
              <w:left w:val="nil"/>
              <w:right w:val="nil"/>
            </w:tcBorders>
            <w:noWrap/>
            <w:vAlign w:val="center"/>
          </w:tcPr>
          <w:p w14:paraId="2B65431A" w14:textId="77777777" w:rsidR="00017A0C" w:rsidRPr="00721663" w:rsidRDefault="00017A0C" w:rsidP="00017A0C">
            <w:pPr>
              <w:ind w:right="112"/>
              <w:jc w:val="right"/>
              <w:rPr>
                <w:rFonts w:ascii="Arial" w:eastAsia="Arial Unicode MS" w:hAnsi="Arial" w:cs="Arial"/>
                <w:sz w:val="18"/>
                <w:szCs w:val="18"/>
                <w:lang w:val="bg-BG"/>
              </w:rPr>
            </w:pPr>
          </w:p>
        </w:tc>
        <w:tc>
          <w:tcPr>
            <w:tcW w:w="142" w:type="dxa"/>
            <w:tcBorders>
              <w:left w:val="nil"/>
              <w:right w:val="nil"/>
            </w:tcBorders>
            <w:vAlign w:val="center"/>
          </w:tcPr>
          <w:p w14:paraId="66CBFF21" w14:textId="77777777" w:rsidR="00017A0C" w:rsidRPr="00721663" w:rsidRDefault="00017A0C" w:rsidP="00017A0C">
            <w:pPr>
              <w:jc w:val="right"/>
              <w:rPr>
                <w:rFonts w:ascii="Arial" w:eastAsia="Arial Unicode MS" w:hAnsi="Arial" w:cs="Arial"/>
                <w:sz w:val="18"/>
                <w:szCs w:val="18"/>
                <w:lang w:val="bg-BG"/>
              </w:rPr>
            </w:pPr>
          </w:p>
        </w:tc>
        <w:tc>
          <w:tcPr>
            <w:tcW w:w="1148" w:type="dxa"/>
            <w:tcBorders>
              <w:left w:val="nil"/>
              <w:right w:val="nil"/>
            </w:tcBorders>
            <w:vAlign w:val="center"/>
          </w:tcPr>
          <w:p w14:paraId="3B078827" w14:textId="77777777" w:rsidR="00017A0C" w:rsidRPr="00721663" w:rsidRDefault="00017A0C" w:rsidP="00017A0C">
            <w:pPr>
              <w:ind w:right="112"/>
              <w:jc w:val="right"/>
              <w:rPr>
                <w:rFonts w:ascii="Arial" w:eastAsia="Arial Unicode MS" w:hAnsi="Arial" w:cs="Arial"/>
                <w:sz w:val="18"/>
                <w:szCs w:val="18"/>
                <w:lang w:val="bg-BG"/>
              </w:rPr>
            </w:pPr>
          </w:p>
        </w:tc>
        <w:tc>
          <w:tcPr>
            <w:tcW w:w="142" w:type="dxa"/>
            <w:tcBorders>
              <w:left w:val="nil"/>
              <w:right w:val="nil"/>
            </w:tcBorders>
            <w:vAlign w:val="center"/>
          </w:tcPr>
          <w:p w14:paraId="2AFF20FA" w14:textId="77777777" w:rsidR="00017A0C" w:rsidRPr="00721663" w:rsidRDefault="00017A0C" w:rsidP="00017A0C">
            <w:pPr>
              <w:jc w:val="right"/>
              <w:rPr>
                <w:rFonts w:ascii="Arial" w:eastAsia="Arial Unicode MS" w:hAnsi="Arial" w:cs="Arial"/>
                <w:sz w:val="18"/>
                <w:szCs w:val="18"/>
                <w:lang w:val="bg-BG"/>
              </w:rPr>
            </w:pPr>
          </w:p>
        </w:tc>
        <w:tc>
          <w:tcPr>
            <w:tcW w:w="1276" w:type="dxa"/>
            <w:tcBorders>
              <w:left w:val="nil"/>
              <w:right w:val="nil"/>
            </w:tcBorders>
            <w:vAlign w:val="center"/>
          </w:tcPr>
          <w:p w14:paraId="18A0E460" w14:textId="77777777" w:rsidR="00017A0C" w:rsidRPr="00721663" w:rsidRDefault="00017A0C" w:rsidP="00017A0C">
            <w:pPr>
              <w:ind w:right="112"/>
              <w:jc w:val="right"/>
              <w:rPr>
                <w:rFonts w:ascii="Arial" w:eastAsia="Arial Unicode MS" w:hAnsi="Arial" w:cs="Arial"/>
                <w:sz w:val="18"/>
                <w:szCs w:val="18"/>
                <w:lang w:val="bg-BG"/>
              </w:rPr>
            </w:pPr>
          </w:p>
        </w:tc>
        <w:tc>
          <w:tcPr>
            <w:tcW w:w="142" w:type="dxa"/>
            <w:tcBorders>
              <w:left w:val="nil"/>
              <w:right w:val="nil"/>
            </w:tcBorders>
          </w:tcPr>
          <w:p w14:paraId="6F65EA46" w14:textId="77777777" w:rsidR="00017A0C" w:rsidRPr="00721663" w:rsidRDefault="00017A0C" w:rsidP="00017A0C">
            <w:pPr>
              <w:jc w:val="right"/>
              <w:rPr>
                <w:rFonts w:ascii="Arial" w:eastAsia="Arial Unicode MS" w:hAnsi="Arial" w:cs="Arial"/>
                <w:sz w:val="18"/>
                <w:szCs w:val="18"/>
                <w:lang w:val="bg-BG"/>
              </w:rPr>
            </w:pPr>
          </w:p>
        </w:tc>
        <w:tc>
          <w:tcPr>
            <w:tcW w:w="1275" w:type="dxa"/>
            <w:tcBorders>
              <w:left w:val="nil"/>
              <w:right w:val="nil"/>
            </w:tcBorders>
            <w:vAlign w:val="center"/>
          </w:tcPr>
          <w:p w14:paraId="33D9707F" w14:textId="77777777" w:rsidR="00017A0C" w:rsidRPr="00721663" w:rsidRDefault="00017A0C" w:rsidP="00017A0C">
            <w:pPr>
              <w:ind w:right="116"/>
              <w:jc w:val="right"/>
              <w:rPr>
                <w:rFonts w:ascii="Arial" w:eastAsia="Arial Unicode MS" w:hAnsi="Arial" w:cs="Arial"/>
                <w:sz w:val="18"/>
                <w:szCs w:val="18"/>
                <w:lang w:val="bg-BG"/>
              </w:rPr>
            </w:pPr>
          </w:p>
        </w:tc>
        <w:tc>
          <w:tcPr>
            <w:tcW w:w="141" w:type="dxa"/>
            <w:tcBorders>
              <w:left w:val="nil"/>
              <w:right w:val="nil"/>
            </w:tcBorders>
            <w:noWrap/>
            <w:vAlign w:val="center"/>
          </w:tcPr>
          <w:p w14:paraId="37BD95B9" w14:textId="77777777" w:rsidR="00017A0C" w:rsidRPr="00721663" w:rsidRDefault="00017A0C" w:rsidP="00017A0C">
            <w:pPr>
              <w:jc w:val="right"/>
              <w:rPr>
                <w:rFonts w:ascii="Arial" w:eastAsia="Arial Unicode MS" w:hAnsi="Arial" w:cs="Arial"/>
                <w:sz w:val="18"/>
                <w:szCs w:val="18"/>
                <w:lang w:val="bg-BG"/>
              </w:rPr>
            </w:pPr>
          </w:p>
        </w:tc>
        <w:tc>
          <w:tcPr>
            <w:tcW w:w="1277" w:type="dxa"/>
            <w:tcBorders>
              <w:left w:val="nil"/>
              <w:right w:val="nil"/>
            </w:tcBorders>
            <w:noWrap/>
            <w:vAlign w:val="center"/>
          </w:tcPr>
          <w:p w14:paraId="7F25AF06" w14:textId="77777777" w:rsidR="00017A0C" w:rsidRPr="00721663" w:rsidRDefault="00017A0C" w:rsidP="00017A0C">
            <w:pPr>
              <w:ind w:right="116"/>
              <w:jc w:val="right"/>
              <w:rPr>
                <w:rFonts w:ascii="Arial" w:eastAsia="Arial Unicode MS" w:hAnsi="Arial" w:cs="Arial"/>
                <w:sz w:val="18"/>
                <w:szCs w:val="18"/>
                <w:lang w:val="bg-BG"/>
              </w:rPr>
            </w:pPr>
          </w:p>
        </w:tc>
        <w:tc>
          <w:tcPr>
            <w:tcW w:w="142" w:type="dxa"/>
            <w:tcBorders>
              <w:left w:val="nil"/>
              <w:right w:val="nil"/>
            </w:tcBorders>
            <w:noWrap/>
            <w:vAlign w:val="center"/>
          </w:tcPr>
          <w:p w14:paraId="63B86AB2" w14:textId="77777777" w:rsidR="00017A0C" w:rsidRPr="00721663" w:rsidRDefault="00017A0C" w:rsidP="00017A0C">
            <w:pPr>
              <w:jc w:val="right"/>
              <w:rPr>
                <w:rFonts w:ascii="Arial" w:eastAsia="Arial Unicode MS" w:hAnsi="Arial" w:cs="Arial"/>
                <w:sz w:val="18"/>
                <w:szCs w:val="18"/>
                <w:lang w:val="bg-BG"/>
              </w:rPr>
            </w:pPr>
          </w:p>
        </w:tc>
        <w:tc>
          <w:tcPr>
            <w:tcW w:w="851" w:type="dxa"/>
            <w:tcBorders>
              <w:left w:val="nil"/>
              <w:right w:val="nil"/>
            </w:tcBorders>
            <w:noWrap/>
            <w:vAlign w:val="center"/>
          </w:tcPr>
          <w:p w14:paraId="34E20FB2" w14:textId="77777777" w:rsidR="00017A0C" w:rsidRPr="00721663" w:rsidRDefault="00017A0C" w:rsidP="00017A0C">
            <w:pPr>
              <w:ind w:right="142"/>
              <w:jc w:val="right"/>
              <w:rPr>
                <w:rFonts w:ascii="Arial" w:eastAsia="Arial Unicode MS" w:hAnsi="Arial" w:cs="Arial"/>
                <w:sz w:val="18"/>
                <w:szCs w:val="18"/>
                <w:lang w:val="bg-BG"/>
              </w:rPr>
            </w:pPr>
          </w:p>
        </w:tc>
      </w:tr>
      <w:tr w:rsidR="00017A0C" w:rsidRPr="00721663" w14:paraId="2E617F86" w14:textId="77777777" w:rsidTr="00551604">
        <w:trPr>
          <w:trHeight w:hRule="exact" w:val="420"/>
        </w:trPr>
        <w:tc>
          <w:tcPr>
            <w:tcW w:w="2268" w:type="dxa"/>
            <w:tcBorders>
              <w:left w:val="nil"/>
              <w:right w:val="nil"/>
            </w:tcBorders>
            <w:noWrap/>
            <w:vAlign w:val="center"/>
          </w:tcPr>
          <w:p w14:paraId="733B2CA9" w14:textId="23D54274" w:rsidR="00017A0C" w:rsidRPr="00721663" w:rsidRDefault="00017A0C" w:rsidP="00017A0C">
            <w:pPr>
              <w:jc w:val="left"/>
              <w:rPr>
                <w:rFonts w:ascii="Arial" w:hAnsi="Arial" w:cs="Arial"/>
                <w:sz w:val="18"/>
                <w:szCs w:val="18"/>
                <w:lang w:val="bg-BG"/>
              </w:rPr>
            </w:pPr>
            <w:r w:rsidRPr="00721663">
              <w:rPr>
                <w:rFonts w:ascii="Arial" w:hAnsi="Arial" w:cs="Arial"/>
                <w:sz w:val="18"/>
                <w:szCs w:val="18"/>
                <w:lang w:val="bg-BG"/>
              </w:rPr>
              <w:t xml:space="preserve">На 1 януари </w:t>
            </w:r>
            <w:r>
              <w:rPr>
                <w:rFonts w:ascii="Arial" w:hAnsi="Arial" w:cs="Arial"/>
                <w:sz w:val="18"/>
                <w:szCs w:val="18"/>
                <w:lang w:val="bg-BG"/>
              </w:rPr>
              <w:t>2017</w:t>
            </w:r>
            <w:r w:rsidRPr="00721663">
              <w:rPr>
                <w:rFonts w:ascii="Arial" w:hAnsi="Arial" w:cs="Arial"/>
                <w:sz w:val="18"/>
                <w:szCs w:val="18"/>
                <w:lang w:val="bg-BG"/>
              </w:rPr>
              <w:t xml:space="preserve"> г.</w:t>
            </w:r>
          </w:p>
        </w:tc>
        <w:tc>
          <w:tcPr>
            <w:tcW w:w="143" w:type="dxa"/>
            <w:tcBorders>
              <w:left w:val="nil"/>
              <w:right w:val="nil"/>
            </w:tcBorders>
            <w:noWrap/>
            <w:vAlign w:val="bottom"/>
          </w:tcPr>
          <w:p w14:paraId="402D4196" w14:textId="77777777" w:rsidR="00017A0C" w:rsidRPr="00721663" w:rsidRDefault="00017A0C" w:rsidP="00017A0C">
            <w:pPr>
              <w:rPr>
                <w:rFonts w:ascii="Arial" w:eastAsia="Arial Unicode MS" w:hAnsi="Arial" w:cs="Arial"/>
                <w:sz w:val="18"/>
                <w:szCs w:val="18"/>
                <w:lang w:val="bg-BG"/>
              </w:rPr>
            </w:pPr>
          </w:p>
        </w:tc>
        <w:tc>
          <w:tcPr>
            <w:tcW w:w="977" w:type="dxa"/>
            <w:tcBorders>
              <w:left w:val="nil"/>
              <w:right w:val="nil"/>
            </w:tcBorders>
            <w:noWrap/>
            <w:vAlign w:val="center"/>
          </w:tcPr>
          <w:p w14:paraId="2339EA71" w14:textId="5A79C656" w:rsidR="00017A0C" w:rsidRPr="00625115" w:rsidRDefault="00017A0C" w:rsidP="00017A0C">
            <w:pPr>
              <w:ind w:right="112"/>
              <w:jc w:val="right"/>
              <w:rPr>
                <w:rFonts w:ascii="Arial" w:eastAsia="Arial Unicode MS" w:hAnsi="Arial" w:cs="Arial"/>
                <w:b/>
                <w:sz w:val="18"/>
                <w:szCs w:val="18"/>
                <w:lang w:val="bg-BG"/>
              </w:rPr>
            </w:pPr>
            <w:r>
              <w:rPr>
                <w:rFonts w:ascii="Arial" w:eastAsia="Arial Unicode MS" w:hAnsi="Arial" w:cs="Arial"/>
                <w:b/>
                <w:sz w:val="18"/>
                <w:szCs w:val="18"/>
                <w:lang w:val="en-GB" w:eastAsia="bg-BG"/>
              </w:rPr>
              <w:t>-</w:t>
            </w:r>
          </w:p>
        </w:tc>
        <w:tc>
          <w:tcPr>
            <w:tcW w:w="142" w:type="dxa"/>
            <w:tcBorders>
              <w:left w:val="nil"/>
              <w:right w:val="nil"/>
            </w:tcBorders>
            <w:vAlign w:val="center"/>
          </w:tcPr>
          <w:p w14:paraId="7FE3A772" w14:textId="77777777" w:rsidR="00017A0C" w:rsidRPr="00625115" w:rsidRDefault="00017A0C" w:rsidP="00017A0C">
            <w:pPr>
              <w:jc w:val="right"/>
              <w:rPr>
                <w:rFonts w:ascii="Arial" w:eastAsia="Arial Unicode MS" w:hAnsi="Arial" w:cs="Arial"/>
                <w:b/>
                <w:sz w:val="18"/>
                <w:szCs w:val="18"/>
                <w:lang w:val="bg-BG"/>
              </w:rPr>
            </w:pPr>
          </w:p>
        </w:tc>
        <w:tc>
          <w:tcPr>
            <w:tcW w:w="1148" w:type="dxa"/>
            <w:tcBorders>
              <w:left w:val="nil"/>
              <w:right w:val="nil"/>
            </w:tcBorders>
            <w:vAlign w:val="center"/>
          </w:tcPr>
          <w:p w14:paraId="5B9BBBAB" w14:textId="6F48018D" w:rsidR="00017A0C" w:rsidRPr="00625115" w:rsidRDefault="00017A0C" w:rsidP="00017A0C">
            <w:pPr>
              <w:ind w:right="112"/>
              <w:jc w:val="right"/>
              <w:rPr>
                <w:rFonts w:ascii="Arial" w:eastAsia="Arial Unicode MS" w:hAnsi="Arial" w:cs="Arial"/>
                <w:b/>
                <w:sz w:val="18"/>
                <w:szCs w:val="18"/>
                <w:lang w:val="bg-BG"/>
              </w:rPr>
            </w:pPr>
            <w:r>
              <w:rPr>
                <w:rFonts w:ascii="Arial" w:eastAsia="Arial Unicode MS" w:hAnsi="Arial" w:cs="Arial"/>
                <w:b/>
                <w:sz w:val="18"/>
                <w:szCs w:val="18"/>
                <w:lang w:val="en-GB" w:eastAsia="bg-BG"/>
              </w:rPr>
              <w:t>(5,112)</w:t>
            </w:r>
          </w:p>
        </w:tc>
        <w:tc>
          <w:tcPr>
            <w:tcW w:w="142" w:type="dxa"/>
            <w:tcBorders>
              <w:left w:val="nil"/>
              <w:right w:val="nil"/>
            </w:tcBorders>
            <w:vAlign w:val="center"/>
          </w:tcPr>
          <w:p w14:paraId="1E110205" w14:textId="77777777" w:rsidR="00017A0C" w:rsidRPr="00625115" w:rsidRDefault="00017A0C" w:rsidP="00017A0C">
            <w:pPr>
              <w:jc w:val="right"/>
              <w:rPr>
                <w:rFonts w:ascii="Arial" w:eastAsia="Arial Unicode MS" w:hAnsi="Arial" w:cs="Arial"/>
                <w:b/>
                <w:sz w:val="18"/>
                <w:szCs w:val="18"/>
                <w:lang w:val="bg-BG"/>
              </w:rPr>
            </w:pPr>
          </w:p>
        </w:tc>
        <w:tc>
          <w:tcPr>
            <w:tcW w:w="1276" w:type="dxa"/>
            <w:tcBorders>
              <w:left w:val="nil"/>
              <w:right w:val="nil"/>
            </w:tcBorders>
            <w:vAlign w:val="center"/>
          </w:tcPr>
          <w:p w14:paraId="0D872B33" w14:textId="4ADAB985" w:rsidR="00017A0C" w:rsidRPr="00625115" w:rsidRDefault="00017A0C" w:rsidP="00017A0C">
            <w:pPr>
              <w:ind w:right="112"/>
              <w:jc w:val="right"/>
              <w:rPr>
                <w:rFonts w:ascii="Arial" w:eastAsia="Arial Unicode MS" w:hAnsi="Arial" w:cs="Arial"/>
                <w:b/>
                <w:sz w:val="18"/>
                <w:szCs w:val="18"/>
                <w:lang w:val="bg-BG"/>
              </w:rPr>
            </w:pPr>
            <w:r>
              <w:rPr>
                <w:rFonts w:ascii="Arial" w:eastAsia="Arial Unicode MS" w:hAnsi="Arial" w:cs="Arial"/>
                <w:b/>
                <w:sz w:val="18"/>
                <w:szCs w:val="18"/>
                <w:lang w:val="en-GB" w:eastAsia="bg-BG"/>
              </w:rPr>
              <w:t>(27)</w:t>
            </w:r>
          </w:p>
        </w:tc>
        <w:tc>
          <w:tcPr>
            <w:tcW w:w="142" w:type="dxa"/>
            <w:tcBorders>
              <w:left w:val="nil"/>
              <w:right w:val="nil"/>
            </w:tcBorders>
          </w:tcPr>
          <w:p w14:paraId="1590F70B" w14:textId="77777777" w:rsidR="00017A0C" w:rsidRPr="00625115" w:rsidRDefault="00017A0C" w:rsidP="00017A0C">
            <w:pPr>
              <w:jc w:val="right"/>
              <w:rPr>
                <w:rFonts w:ascii="Arial" w:eastAsia="Arial Unicode MS" w:hAnsi="Arial" w:cs="Arial"/>
                <w:b/>
                <w:sz w:val="18"/>
                <w:szCs w:val="18"/>
                <w:lang w:val="bg-BG"/>
              </w:rPr>
            </w:pPr>
          </w:p>
        </w:tc>
        <w:tc>
          <w:tcPr>
            <w:tcW w:w="1275" w:type="dxa"/>
            <w:tcBorders>
              <w:left w:val="nil"/>
              <w:right w:val="nil"/>
            </w:tcBorders>
            <w:vAlign w:val="center"/>
          </w:tcPr>
          <w:p w14:paraId="756222F8" w14:textId="1AE1DA5F" w:rsidR="00017A0C" w:rsidRPr="00625115" w:rsidRDefault="00017A0C" w:rsidP="00017A0C">
            <w:pPr>
              <w:ind w:right="116"/>
              <w:jc w:val="right"/>
              <w:rPr>
                <w:rFonts w:ascii="Arial" w:eastAsia="Arial Unicode MS" w:hAnsi="Arial" w:cs="Arial"/>
                <w:b/>
                <w:sz w:val="18"/>
                <w:szCs w:val="18"/>
                <w:lang w:val="bg-BG"/>
              </w:rPr>
            </w:pPr>
            <w:r>
              <w:rPr>
                <w:rFonts w:ascii="Arial" w:eastAsia="Arial Unicode MS" w:hAnsi="Arial" w:cs="Arial"/>
                <w:b/>
                <w:sz w:val="18"/>
                <w:szCs w:val="18"/>
                <w:lang w:val="en-GB" w:eastAsia="bg-BG"/>
              </w:rPr>
              <w:t>(4)</w:t>
            </w:r>
          </w:p>
        </w:tc>
        <w:tc>
          <w:tcPr>
            <w:tcW w:w="141" w:type="dxa"/>
            <w:tcBorders>
              <w:left w:val="nil"/>
              <w:right w:val="nil"/>
            </w:tcBorders>
            <w:noWrap/>
            <w:vAlign w:val="center"/>
          </w:tcPr>
          <w:p w14:paraId="50E46E9B" w14:textId="77777777" w:rsidR="00017A0C" w:rsidRPr="00625115" w:rsidRDefault="00017A0C" w:rsidP="00017A0C">
            <w:pPr>
              <w:jc w:val="right"/>
              <w:rPr>
                <w:rFonts w:ascii="Arial" w:eastAsia="Arial Unicode MS" w:hAnsi="Arial" w:cs="Arial"/>
                <w:b/>
                <w:sz w:val="18"/>
                <w:szCs w:val="18"/>
                <w:lang w:val="bg-BG"/>
              </w:rPr>
            </w:pPr>
          </w:p>
        </w:tc>
        <w:tc>
          <w:tcPr>
            <w:tcW w:w="1277" w:type="dxa"/>
            <w:tcBorders>
              <w:left w:val="nil"/>
              <w:right w:val="nil"/>
            </w:tcBorders>
            <w:noWrap/>
            <w:vAlign w:val="center"/>
          </w:tcPr>
          <w:p w14:paraId="6673FEC2" w14:textId="72799B8E" w:rsidR="00017A0C" w:rsidRPr="00625115" w:rsidRDefault="00017A0C" w:rsidP="00017A0C">
            <w:pPr>
              <w:ind w:right="116"/>
              <w:jc w:val="right"/>
              <w:rPr>
                <w:rFonts w:ascii="Arial" w:eastAsia="Arial Unicode MS" w:hAnsi="Arial" w:cs="Arial"/>
                <w:b/>
                <w:sz w:val="18"/>
                <w:szCs w:val="18"/>
                <w:lang w:val="bg-BG"/>
              </w:rPr>
            </w:pPr>
            <w:r>
              <w:rPr>
                <w:rFonts w:ascii="Arial" w:eastAsia="Arial Unicode MS" w:hAnsi="Arial" w:cs="Arial"/>
                <w:b/>
                <w:sz w:val="18"/>
                <w:szCs w:val="18"/>
                <w:lang w:val="en-GB" w:eastAsia="bg-BG"/>
              </w:rPr>
              <w:t>-</w:t>
            </w:r>
          </w:p>
        </w:tc>
        <w:tc>
          <w:tcPr>
            <w:tcW w:w="142" w:type="dxa"/>
            <w:tcBorders>
              <w:left w:val="nil"/>
              <w:right w:val="nil"/>
            </w:tcBorders>
            <w:noWrap/>
            <w:vAlign w:val="center"/>
          </w:tcPr>
          <w:p w14:paraId="0B013923" w14:textId="77777777" w:rsidR="00017A0C" w:rsidRPr="00625115" w:rsidRDefault="00017A0C" w:rsidP="00017A0C">
            <w:pPr>
              <w:jc w:val="right"/>
              <w:rPr>
                <w:rFonts w:ascii="Arial" w:eastAsia="Arial Unicode MS" w:hAnsi="Arial" w:cs="Arial"/>
                <w:b/>
                <w:sz w:val="18"/>
                <w:szCs w:val="18"/>
                <w:lang w:val="bg-BG"/>
              </w:rPr>
            </w:pPr>
          </w:p>
        </w:tc>
        <w:tc>
          <w:tcPr>
            <w:tcW w:w="851" w:type="dxa"/>
            <w:tcBorders>
              <w:left w:val="nil"/>
              <w:right w:val="nil"/>
            </w:tcBorders>
            <w:noWrap/>
            <w:vAlign w:val="center"/>
          </w:tcPr>
          <w:p w14:paraId="48F9B354" w14:textId="57F65907" w:rsidR="00017A0C" w:rsidRPr="00625115" w:rsidRDefault="00017A0C" w:rsidP="00017A0C">
            <w:pPr>
              <w:ind w:right="142"/>
              <w:jc w:val="right"/>
              <w:rPr>
                <w:rFonts w:ascii="Arial" w:eastAsia="Arial Unicode MS" w:hAnsi="Arial" w:cs="Arial"/>
                <w:b/>
                <w:sz w:val="18"/>
                <w:szCs w:val="18"/>
                <w:lang w:val="bg-BG"/>
              </w:rPr>
            </w:pPr>
            <w:r>
              <w:rPr>
                <w:rFonts w:ascii="Arial" w:eastAsia="Arial Unicode MS" w:hAnsi="Arial" w:cs="Arial"/>
                <w:b/>
                <w:sz w:val="18"/>
                <w:szCs w:val="18"/>
                <w:lang w:val="en-GB" w:eastAsia="bg-BG"/>
              </w:rPr>
              <w:t>(5,143)</w:t>
            </w:r>
          </w:p>
        </w:tc>
      </w:tr>
      <w:tr w:rsidR="00017A0C" w:rsidRPr="00721663" w14:paraId="063BE1D2" w14:textId="77777777" w:rsidTr="00551604">
        <w:trPr>
          <w:trHeight w:hRule="exact" w:val="508"/>
        </w:trPr>
        <w:tc>
          <w:tcPr>
            <w:tcW w:w="2268" w:type="dxa"/>
            <w:tcBorders>
              <w:left w:val="nil"/>
              <w:bottom w:val="nil"/>
              <w:right w:val="nil"/>
            </w:tcBorders>
            <w:noWrap/>
            <w:vAlign w:val="center"/>
          </w:tcPr>
          <w:p w14:paraId="6D6601A2" w14:textId="77777777" w:rsidR="00017A0C" w:rsidRPr="00721663" w:rsidRDefault="00017A0C" w:rsidP="00017A0C">
            <w:pPr>
              <w:jc w:val="left"/>
              <w:rPr>
                <w:rFonts w:ascii="Arial" w:hAnsi="Arial" w:cs="Arial"/>
                <w:sz w:val="18"/>
                <w:szCs w:val="18"/>
                <w:lang w:val="bg-BG"/>
              </w:rPr>
            </w:pPr>
            <w:r w:rsidRPr="00721663">
              <w:rPr>
                <w:rFonts w:ascii="Arial" w:hAnsi="Arial" w:cs="Arial"/>
                <w:sz w:val="18"/>
                <w:szCs w:val="18"/>
                <w:lang w:val="bg-BG"/>
              </w:rPr>
              <w:t xml:space="preserve">Начислена амортизация за </w:t>
            </w:r>
            <w:r>
              <w:rPr>
                <w:rFonts w:ascii="Arial" w:hAnsi="Arial" w:cs="Arial"/>
                <w:sz w:val="18"/>
                <w:szCs w:val="18"/>
                <w:lang w:val="bg-BG"/>
              </w:rPr>
              <w:t>периода</w:t>
            </w:r>
          </w:p>
        </w:tc>
        <w:tc>
          <w:tcPr>
            <w:tcW w:w="143" w:type="dxa"/>
            <w:tcBorders>
              <w:left w:val="nil"/>
              <w:bottom w:val="nil"/>
              <w:right w:val="nil"/>
            </w:tcBorders>
            <w:noWrap/>
            <w:vAlign w:val="bottom"/>
          </w:tcPr>
          <w:p w14:paraId="7D598867" w14:textId="77777777" w:rsidR="00017A0C" w:rsidRPr="00721663" w:rsidRDefault="00017A0C" w:rsidP="00017A0C">
            <w:pPr>
              <w:rPr>
                <w:rFonts w:ascii="Arial" w:eastAsia="Arial Unicode MS" w:hAnsi="Arial" w:cs="Arial"/>
                <w:sz w:val="18"/>
                <w:szCs w:val="18"/>
                <w:lang w:val="bg-BG"/>
              </w:rPr>
            </w:pPr>
          </w:p>
        </w:tc>
        <w:tc>
          <w:tcPr>
            <w:tcW w:w="977" w:type="dxa"/>
            <w:tcBorders>
              <w:left w:val="nil"/>
              <w:bottom w:val="single" w:sz="4" w:space="0" w:color="auto"/>
              <w:right w:val="nil"/>
            </w:tcBorders>
            <w:noWrap/>
            <w:vAlign w:val="center"/>
          </w:tcPr>
          <w:p w14:paraId="6ED2CEA0" w14:textId="570B0929" w:rsidR="00017A0C" w:rsidRPr="00721663" w:rsidRDefault="00017A0C" w:rsidP="00017A0C">
            <w:pPr>
              <w:ind w:right="112"/>
              <w:jc w:val="right"/>
              <w:rPr>
                <w:rFonts w:ascii="Arial" w:eastAsia="Arial Unicode MS" w:hAnsi="Arial" w:cs="Arial"/>
                <w:sz w:val="18"/>
                <w:szCs w:val="18"/>
                <w:lang w:val="bg-BG"/>
              </w:rPr>
            </w:pPr>
            <w:r>
              <w:rPr>
                <w:rFonts w:ascii="Arial" w:eastAsia="Arial Unicode MS" w:hAnsi="Arial" w:cs="Arial"/>
                <w:sz w:val="18"/>
                <w:szCs w:val="18"/>
                <w:lang w:val="en-GB" w:eastAsia="bg-BG"/>
              </w:rPr>
              <w:t>-</w:t>
            </w:r>
          </w:p>
        </w:tc>
        <w:tc>
          <w:tcPr>
            <w:tcW w:w="142" w:type="dxa"/>
            <w:tcBorders>
              <w:left w:val="nil"/>
              <w:right w:val="nil"/>
            </w:tcBorders>
            <w:vAlign w:val="center"/>
          </w:tcPr>
          <w:p w14:paraId="284DD008" w14:textId="77777777" w:rsidR="00017A0C" w:rsidRPr="00721663" w:rsidRDefault="00017A0C" w:rsidP="00017A0C">
            <w:pPr>
              <w:jc w:val="right"/>
              <w:rPr>
                <w:rFonts w:ascii="Arial" w:eastAsia="Arial Unicode MS" w:hAnsi="Arial" w:cs="Arial"/>
                <w:sz w:val="18"/>
                <w:szCs w:val="18"/>
                <w:lang w:val="bg-BG"/>
              </w:rPr>
            </w:pPr>
          </w:p>
        </w:tc>
        <w:tc>
          <w:tcPr>
            <w:tcW w:w="1148" w:type="dxa"/>
            <w:tcBorders>
              <w:left w:val="nil"/>
              <w:bottom w:val="single" w:sz="4" w:space="0" w:color="auto"/>
              <w:right w:val="nil"/>
            </w:tcBorders>
            <w:vAlign w:val="center"/>
          </w:tcPr>
          <w:p w14:paraId="4C3278C7" w14:textId="77882FAA" w:rsidR="00017A0C" w:rsidRPr="00721663" w:rsidRDefault="00017A0C" w:rsidP="00017A0C">
            <w:pPr>
              <w:ind w:right="112"/>
              <w:jc w:val="right"/>
              <w:rPr>
                <w:rFonts w:ascii="Arial" w:eastAsia="Arial Unicode MS" w:hAnsi="Arial" w:cs="Arial"/>
                <w:sz w:val="18"/>
                <w:szCs w:val="18"/>
                <w:lang w:val="bg-BG"/>
              </w:rPr>
            </w:pPr>
            <w:r>
              <w:rPr>
                <w:rFonts w:ascii="Arial" w:eastAsia="Arial Unicode MS" w:hAnsi="Arial" w:cs="Arial"/>
                <w:sz w:val="18"/>
                <w:szCs w:val="18"/>
                <w:lang w:val="en-GB" w:eastAsia="bg-BG"/>
              </w:rPr>
              <w:t>(419)</w:t>
            </w:r>
          </w:p>
        </w:tc>
        <w:tc>
          <w:tcPr>
            <w:tcW w:w="142" w:type="dxa"/>
            <w:tcBorders>
              <w:left w:val="nil"/>
              <w:right w:val="nil"/>
            </w:tcBorders>
            <w:vAlign w:val="center"/>
          </w:tcPr>
          <w:p w14:paraId="47505B23" w14:textId="77777777" w:rsidR="00017A0C" w:rsidRPr="00721663" w:rsidRDefault="00017A0C" w:rsidP="00017A0C">
            <w:pPr>
              <w:jc w:val="right"/>
              <w:rPr>
                <w:rFonts w:ascii="Arial" w:eastAsia="Arial Unicode MS" w:hAnsi="Arial" w:cs="Arial"/>
                <w:sz w:val="18"/>
                <w:szCs w:val="18"/>
                <w:lang w:val="bg-BG"/>
              </w:rPr>
            </w:pPr>
          </w:p>
        </w:tc>
        <w:tc>
          <w:tcPr>
            <w:tcW w:w="1276" w:type="dxa"/>
            <w:tcBorders>
              <w:left w:val="nil"/>
              <w:bottom w:val="single" w:sz="4" w:space="0" w:color="auto"/>
              <w:right w:val="nil"/>
            </w:tcBorders>
            <w:vAlign w:val="center"/>
          </w:tcPr>
          <w:p w14:paraId="70C51651" w14:textId="215D46BD" w:rsidR="00017A0C" w:rsidRPr="00721663" w:rsidRDefault="00017A0C" w:rsidP="00017A0C">
            <w:pPr>
              <w:ind w:right="112"/>
              <w:jc w:val="right"/>
              <w:rPr>
                <w:rFonts w:ascii="Arial" w:eastAsia="Arial Unicode MS" w:hAnsi="Arial" w:cs="Arial"/>
                <w:sz w:val="18"/>
                <w:szCs w:val="18"/>
                <w:lang w:val="bg-BG"/>
              </w:rPr>
            </w:pPr>
            <w:r>
              <w:rPr>
                <w:rFonts w:ascii="Arial" w:eastAsia="Arial Unicode MS" w:hAnsi="Arial" w:cs="Arial"/>
                <w:sz w:val="18"/>
                <w:szCs w:val="18"/>
                <w:lang w:val="en-GB" w:eastAsia="bg-BG"/>
              </w:rPr>
              <w:t>-</w:t>
            </w:r>
          </w:p>
        </w:tc>
        <w:tc>
          <w:tcPr>
            <w:tcW w:w="142" w:type="dxa"/>
            <w:tcBorders>
              <w:left w:val="nil"/>
              <w:right w:val="nil"/>
            </w:tcBorders>
          </w:tcPr>
          <w:p w14:paraId="53F62200" w14:textId="77777777" w:rsidR="00017A0C" w:rsidRPr="00721663" w:rsidRDefault="00017A0C" w:rsidP="00017A0C">
            <w:pPr>
              <w:jc w:val="right"/>
              <w:rPr>
                <w:rFonts w:ascii="Arial" w:eastAsia="Arial Unicode MS" w:hAnsi="Arial" w:cs="Arial"/>
                <w:sz w:val="18"/>
                <w:szCs w:val="18"/>
                <w:lang w:val="bg-BG"/>
              </w:rPr>
            </w:pPr>
          </w:p>
        </w:tc>
        <w:tc>
          <w:tcPr>
            <w:tcW w:w="1275" w:type="dxa"/>
            <w:tcBorders>
              <w:left w:val="nil"/>
              <w:bottom w:val="single" w:sz="4" w:space="0" w:color="auto"/>
              <w:right w:val="nil"/>
            </w:tcBorders>
            <w:vAlign w:val="center"/>
          </w:tcPr>
          <w:p w14:paraId="24834E84" w14:textId="5A1D44FF" w:rsidR="00017A0C" w:rsidRPr="00721663" w:rsidRDefault="00017A0C" w:rsidP="00017A0C">
            <w:pPr>
              <w:ind w:right="116"/>
              <w:jc w:val="right"/>
              <w:rPr>
                <w:rFonts w:ascii="Arial" w:eastAsia="Arial Unicode MS" w:hAnsi="Arial" w:cs="Arial"/>
                <w:sz w:val="18"/>
                <w:szCs w:val="18"/>
                <w:lang w:val="bg-BG"/>
              </w:rPr>
            </w:pPr>
            <w:r>
              <w:rPr>
                <w:rFonts w:ascii="Arial" w:eastAsia="Arial Unicode MS" w:hAnsi="Arial" w:cs="Arial"/>
                <w:sz w:val="18"/>
                <w:szCs w:val="18"/>
                <w:lang w:val="en-GB" w:eastAsia="bg-BG"/>
              </w:rPr>
              <w:t>-</w:t>
            </w:r>
          </w:p>
        </w:tc>
        <w:tc>
          <w:tcPr>
            <w:tcW w:w="141" w:type="dxa"/>
            <w:tcBorders>
              <w:left w:val="nil"/>
              <w:right w:val="nil"/>
            </w:tcBorders>
            <w:noWrap/>
            <w:vAlign w:val="center"/>
          </w:tcPr>
          <w:p w14:paraId="5C67E2BC" w14:textId="77777777" w:rsidR="00017A0C" w:rsidRPr="00721663" w:rsidRDefault="00017A0C" w:rsidP="00017A0C">
            <w:pPr>
              <w:jc w:val="right"/>
              <w:rPr>
                <w:rFonts w:ascii="Arial" w:eastAsia="Arial Unicode MS" w:hAnsi="Arial" w:cs="Arial"/>
                <w:sz w:val="18"/>
                <w:szCs w:val="18"/>
                <w:lang w:val="bg-BG"/>
              </w:rPr>
            </w:pPr>
          </w:p>
        </w:tc>
        <w:tc>
          <w:tcPr>
            <w:tcW w:w="1277" w:type="dxa"/>
            <w:tcBorders>
              <w:left w:val="nil"/>
              <w:bottom w:val="single" w:sz="4" w:space="0" w:color="auto"/>
              <w:right w:val="nil"/>
            </w:tcBorders>
            <w:noWrap/>
            <w:vAlign w:val="center"/>
          </w:tcPr>
          <w:p w14:paraId="18723CC3" w14:textId="2A68206A" w:rsidR="00017A0C" w:rsidRPr="00721663" w:rsidRDefault="00017A0C" w:rsidP="00017A0C">
            <w:pPr>
              <w:ind w:right="116"/>
              <w:jc w:val="right"/>
              <w:rPr>
                <w:rFonts w:ascii="Arial" w:eastAsia="Arial Unicode MS" w:hAnsi="Arial" w:cs="Arial"/>
                <w:sz w:val="18"/>
                <w:szCs w:val="18"/>
                <w:lang w:val="bg-BG"/>
              </w:rPr>
            </w:pPr>
            <w:r>
              <w:rPr>
                <w:rFonts w:ascii="Arial" w:eastAsia="Arial Unicode MS" w:hAnsi="Arial" w:cs="Arial"/>
                <w:sz w:val="18"/>
                <w:szCs w:val="18"/>
                <w:lang w:val="en-GB" w:eastAsia="bg-BG"/>
              </w:rPr>
              <w:t>-</w:t>
            </w:r>
          </w:p>
        </w:tc>
        <w:tc>
          <w:tcPr>
            <w:tcW w:w="142" w:type="dxa"/>
            <w:tcBorders>
              <w:left w:val="nil"/>
              <w:right w:val="nil"/>
            </w:tcBorders>
            <w:noWrap/>
            <w:vAlign w:val="center"/>
          </w:tcPr>
          <w:p w14:paraId="7191BEFB" w14:textId="77777777" w:rsidR="00017A0C" w:rsidRPr="00721663" w:rsidRDefault="00017A0C" w:rsidP="00017A0C">
            <w:pPr>
              <w:jc w:val="right"/>
              <w:rPr>
                <w:rFonts w:ascii="Arial" w:eastAsia="Arial Unicode MS" w:hAnsi="Arial" w:cs="Arial"/>
                <w:sz w:val="18"/>
                <w:szCs w:val="18"/>
                <w:lang w:val="bg-BG"/>
              </w:rPr>
            </w:pPr>
          </w:p>
        </w:tc>
        <w:tc>
          <w:tcPr>
            <w:tcW w:w="851" w:type="dxa"/>
            <w:tcBorders>
              <w:left w:val="nil"/>
              <w:bottom w:val="single" w:sz="4" w:space="0" w:color="auto"/>
              <w:right w:val="nil"/>
            </w:tcBorders>
            <w:noWrap/>
            <w:vAlign w:val="center"/>
          </w:tcPr>
          <w:p w14:paraId="7F58A196" w14:textId="42274746" w:rsidR="00017A0C" w:rsidRPr="00721663" w:rsidRDefault="00017A0C" w:rsidP="00017A0C">
            <w:pPr>
              <w:ind w:right="142"/>
              <w:jc w:val="right"/>
              <w:rPr>
                <w:rFonts w:ascii="Arial" w:eastAsia="Arial Unicode MS" w:hAnsi="Arial" w:cs="Arial"/>
                <w:sz w:val="18"/>
                <w:szCs w:val="18"/>
                <w:lang w:val="bg-BG"/>
              </w:rPr>
            </w:pPr>
            <w:r>
              <w:rPr>
                <w:rFonts w:ascii="Arial" w:eastAsia="Arial Unicode MS" w:hAnsi="Arial" w:cs="Arial"/>
                <w:sz w:val="18"/>
                <w:szCs w:val="18"/>
                <w:lang w:val="en-GB" w:eastAsia="bg-BG"/>
              </w:rPr>
              <w:t>(419)</w:t>
            </w:r>
          </w:p>
        </w:tc>
      </w:tr>
      <w:tr w:rsidR="00017A0C" w:rsidRPr="00721663" w14:paraId="697E5385" w14:textId="77777777" w:rsidTr="00551604">
        <w:trPr>
          <w:trHeight w:hRule="exact" w:val="508"/>
        </w:trPr>
        <w:tc>
          <w:tcPr>
            <w:tcW w:w="2268" w:type="dxa"/>
            <w:tcBorders>
              <w:left w:val="nil"/>
              <w:bottom w:val="nil"/>
              <w:right w:val="nil"/>
            </w:tcBorders>
            <w:noWrap/>
            <w:vAlign w:val="center"/>
          </w:tcPr>
          <w:p w14:paraId="55598015" w14:textId="05759803" w:rsidR="00017A0C" w:rsidRPr="00721663" w:rsidRDefault="00017A0C" w:rsidP="00017A0C">
            <w:pPr>
              <w:jc w:val="left"/>
              <w:rPr>
                <w:rFonts w:ascii="Arial" w:hAnsi="Arial" w:cs="Arial"/>
                <w:sz w:val="18"/>
                <w:szCs w:val="18"/>
                <w:lang w:val="bg-BG"/>
              </w:rPr>
            </w:pPr>
            <w:r>
              <w:rPr>
                <w:rFonts w:ascii="Arial" w:hAnsi="Arial" w:cs="Arial"/>
                <w:sz w:val="18"/>
                <w:szCs w:val="18"/>
                <w:lang w:val="bg-BG"/>
              </w:rPr>
              <w:t>Отписана амортизация</w:t>
            </w:r>
          </w:p>
        </w:tc>
        <w:tc>
          <w:tcPr>
            <w:tcW w:w="143" w:type="dxa"/>
            <w:tcBorders>
              <w:left w:val="nil"/>
              <w:bottom w:val="nil"/>
              <w:right w:val="nil"/>
            </w:tcBorders>
            <w:noWrap/>
            <w:vAlign w:val="bottom"/>
          </w:tcPr>
          <w:p w14:paraId="6593805D" w14:textId="77777777" w:rsidR="00017A0C" w:rsidRPr="00721663" w:rsidRDefault="00017A0C" w:rsidP="00017A0C">
            <w:pPr>
              <w:rPr>
                <w:rFonts w:ascii="Arial" w:eastAsia="Arial Unicode MS" w:hAnsi="Arial" w:cs="Arial"/>
                <w:sz w:val="18"/>
                <w:szCs w:val="18"/>
                <w:lang w:val="bg-BG"/>
              </w:rPr>
            </w:pPr>
          </w:p>
        </w:tc>
        <w:tc>
          <w:tcPr>
            <w:tcW w:w="977" w:type="dxa"/>
            <w:tcBorders>
              <w:left w:val="nil"/>
              <w:bottom w:val="single" w:sz="4" w:space="0" w:color="auto"/>
              <w:right w:val="nil"/>
            </w:tcBorders>
            <w:noWrap/>
            <w:vAlign w:val="center"/>
          </w:tcPr>
          <w:p w14:paraId="66B06EB6" w14:textId="77E6221E" w:rsidR="00017A0C" w:rsidRPr="00721663" w:rsidRDefault="00017A0C" w:rsidP="00017A0C">
            <w:pPr>
              <w:ind w:right="112"/>
              <w:jc w:val="right"/>
              <w:rPr>
                <w:rFonts w:ascii="Arial" w:eastAsia="Arial Unicode MS" w:hAnsi="Arial" w:cs="Arial"/>
                <w:sz w:val="18"/>
                <w:szCs w:val="18"/>
                <w:lang w:val="bg-BG"/>
              </w:rPr>
            </w:pPr>
            <w:r>
              <w:rPr>
                <w:rFonts w:ascii="Arial" w:eastAsia="Arial Unicode MS" w:hAnsi="Arial" w:cs="Arial"/>
                <w:sz w:val="18"/>
                <w:szCs w:val="18"/>
                <w:lang w:val="en-GB" w:eastAsia="bg-BG"/>
              </w:rPr>
              <w:t>-</w:t>
            </w:r>
          </w:p>
        </w:tc>
        <w:tc>
          <w:tcPr>
            <w:tcW w:w="142" w:type="dxa"/>
            <w:tcBorders>
              <w:left w:val="nil"/>
              <w:right w:val="nil"/>
            </w:tcBorders>
            <w:vAlign w:val="center"/>
          </w:tcPr>
          <w:p w14:paraId="199430C9" w14:textId="77777777" w:rsidR="00017A0C" w:rsidRPr="00721663" w:rsidRDefault="00017A0C" w:rsidP="00017A0C">
            <w:pPr>
              <w:jc w:val="right"/>
              <w:rPr>
                <w:rFonts w:ascii="Arial" w:eastAsia="Arial Unicode MS" w:hAnsi="Arial" w:cs="Arial"/>
                <w:sz w:val="18"/>
                <w:szCs w:val="18"/>
                <w:lang w:val="bg-BG"/>
              </w:rPr>
            </w:pPr>
          </w:p>
        </w:tc>
        <w:tc>
          <w:tcPr>
            <w:tcW w:w="1148" w:type="dxa"/>
            <w:tcBorders>
              <w:left w:val="nil"/>
              <w:bottom w:val="single" w:sz="4" w:space="0" w:color="auto"/>
              <w:right w:val="nil"/>
            </w:tcBorders>
            <w:vAlign w:val="center"/>
          </w:tcPr>
          <w:p w14:paraId="65203B60" w14:textId="52B7C2FF" w:rsidR="00017A0C" w:rsidRPr="00721663" w:rsidRDefault="00017A0C" w:rsidP="00017A0C">
            <w:pPr>
              <w:ind w:right="112"/>
              <w:jc w:val="right"/>
              <w:rPr>
                <w:rFonts w:ascii="Arial" w:eastAsia="Arial Unicode MS" w:hAnsi="Arial" w:cs="Arial"/>
                <w:sz w:val="18"/>
                <w:szCs w:val="18"/>
                <w:lang w:val="bg-BG"/>
              </w:rPr>
            </w:pPr>
            <w:r>
              <w:rPr>
                <w:rFonts w:ascii="Arial" w:eastAsia="Arial Unicode MS" w:hAnsi="Arial" w:cs="Arial"/>
                <w:sz w:val="18"/>
                <w:szCs w:val="18"/>
                <w:lang w:val="en-GB" w:eastAsia="bg-BG"/>
              </w:rPr>
              <w:t>-</w:t>
            </w:r>
          </w:p>
        </w:tc>
        <w:tc>
          <w:tcPr>
            <w:tcW w:w="142" w:type="dxa"/>
            <w:tcBorders>
              <w:left w:val="nil"/>
              <w:right w:val="nil"/>
            </w:tcBorders>
            <w:vAlign w:val="center"/>
          </w:tcPr>
          <w:p w14:paraId="2092C019" w14:textId="77777777" w:rsidR="00017A0C" w:rsidRPr="00721663" w:rsidRDefault="00017A0C" w:rsidP="00017A0C">
            <w:pPr>
              <w:jc w:val="right"/>
              <w:rPr>
                <w:rFonts w:ascii="Arial" w:eastAsia="Arial Unicode MS" w:hAnsi="Arial" w:cs="Arial"/>
                <w:sz w:val="18"/>
                <w:szCs w:val="18"/>
                <w:lang w:val="bg-BG"/>
              </w:rPr>
            </w:pPr>
          </w:p>
        </w:tc>
        <w:tc>
          <w:tcPr>
            <w:tcW w:w="1276" w:type="dxa"/>
            <w:tcBorders>
              <w:left w:val="nil"/>
              <w:bottom w:val="single" w:sz="4" w:space="0" w:color="auto"/>
              <w:right w:val="nil"/>
            </w:tcBorders>
            <w:vAlign w:val="center"/>
          </w:tcPr>
          <w:p w14:paraId="38E039FA" w14:textId="6EC09244" w:rsidR="00017A0C" w:rsidRPr="00721663" w:rsidRDefault="00017A0C" w:rsidP="00017A0C">
            <w:pPr>
              <w:ind w:right="112"/>
              <w:jc w:val="right"/>
              <w:rPr>
                <w:rFonts w:ascii="Arial" w:eastAsia="Arial Unicode MS" w:hAnsi="Arial" w:cs="Arial"/>
                <w:sz w:val="18"/>
                <w:szCs w:val="18"/>
                <w:lang w:val="bg-BG"/>
              </w:rPr>
            </w:pPr>
            <w:r>
              <w:rPr>
                <w:rFonts w:ascii="Arial" w:eastAsia="Arial Unicode MS" w:hAnsi="Arial" w:cs="Arial"/>
                <w:sz w:val="18"/>
                <w:szCs w:val="18"/>
                <w:lang w:val="en-GB" w:eastAsia="bg-BG"/>
              </w:rPr>
              <w:t>27</w:t>
            </w:r>
          </w:p>
        </w:tc>
        <w:tc>
          <w:tcPr>
            <w:tcW w:w="142" w:type="dxa"/>
            <w:tcBorders>
              <w:left w:val="nil"/>
              <w:right w:val="nil"/>
            </w:tcBorders>
          </w:tcPr>
          <w:p w14:paraId="0D1CFCD2" w14:textId="77777777" w:rsidR="00017A0C" w:rsidRPr="00721663" w:rsidRDefault="00017A0C" w:rsidP="00017A0C">
            <w:pPr>
              <w:jc w:val="right"/>
              <w:rPr>
                <w:rFonts w:ascii="Arial" w:eastAsia="Arial Unicode MS" w:hAnsi="Arial" w:cs="Arial"/>
                <w:sz w:val="18"/>
                <w:szCs w:val="18"/>
                <w:lang w:val="bg-BG"/>
              </w:rPr>
            </w:pPr>
          </w:p>
        </w:tc>
        <w:tc>
          <w:tcPr>
            <w:tcW w:w="1275" w:type="dxa"/>
            <w:tcBorders>
              <w:left w:val="nil"/>
              <w:bottom w:val="single" w:sz="4" w:space="0" w:color="auto"/>
              <w:right w:val="nil"/>
            </w:tcBorders>
            <w:vAlign w:val="center"/>
          </w:tcPr>
          <w:p w14:paraId="2C1BC554" w14:textId="6CB82E8A" w:rsidR="00017A0C" w:rsidRPr="00721663" w:rsidRDefault="00017A0C" w:rsidP="00017A0C">
            <w:pPr>
              <w:ind w:right="116"/>
              <w:jc w:val="right"/>
              <w:rPr>
                <w:rFonts w:ascii="Arial" w:eastAsia="Arial Unicode MS" w:hAnsi="Arial" w:cs="Arial"/>
                <w:sz w:val="18"/>
                <w:szCs w:val="18"/>
                <w:lang w:val="bg-BG"/>
              </w:rPr>
            </w:pPr>
            <w:r>
              <w:rPr>
                <w:rFonts w:ascii="Arial" w:eastAsia="Arial Unicode MS" w:hAnsi="Arial" w:cs="Arial"/>
                <w:sz w:val="18"/>
                <w:szCs w:val="18"/>
                <w:lang w:val="en-GB" w:eastAsia="bg-BG"/>
              </w:rPr>
              <w:t>-</w:t>
            </w:r>
          </w:p>
        </w:tc>
        <w:tc>
          <w:tcPr>
            <w:tcW w:w="141" w:type="dxa"/>
            <w:tcBorders>
              <w:left w:val="nil"/>
              <w:right w:val="nil"/>
            </w:tcBorders>
            <w:noWrap/>
            <w:vAlign w:val="center"/>
          </w:tcPr>
          <w:p w14:paraId="406DF478" w14:textId="77777777" w:rsidR="00017A0C" w:rsidRPr="00721663" w:rsidRDefault="00017A0C" w:rsidP="00017A0C">
            <w:pPr>
              <w:jc w:val="right"/>
              <w:rPr>
                <w:rFonts w:ascii="Arial" w:eastAsia="Arial Unicode MS" w:hAnsi="Arial" w:cs="Arial"/>
                <w:sz w:val="18"/>
                <w:szCs w:val="18"/>
                <w:lang w:val="bg-BG"/>
              </w:rPr>
            </w:pPr>
          </w:p>
        </w:tc>
        <w:tc>
          <w:tcPr>
            <w:tcW w:w="1277" w:type="dxa"/>
            <w:tcBorders>
              <w:left w:val="nil"/>
              <w:bottom w:val="single" w:sz="4" w:space="0" w:color="auto"/>
              <w:right w:val="nil"/>
            </w:tcBorders>
            <w:noWrap/>
            <w:vAlign w:val="center"/>
          </w:tcPr>
          <w:p w14:paraId="554867F9" w14:textId="70DE5D70" w:rsidR="00017A0C" w:rsidRPr="00721663" w:rsidRDefault="00017A0C" w:rsidP="00017A0C">
            <w:pPr>
              <w:ind w:right="116"/>
              <w:jc w:val="right"/>
              <w:rPr>
                <w:rFonts w:ascii="Arial" w:eastAsia="Arial Unicode MS" w:hAnsi="Arial" w:cs="Arial"/>
                <w:sz w:val="18"/>
                <w:szCs w:val="18"/>
                <w:lang w:val="bg-BG"/>
              </w:rPr>
            </w:pPr>
            <w:r>
              <w:rPr>
                <w:rFonts w:ascii="Arial" w:eastAsia="Arial Unicode MS" w:hAnsi="Arial" w:cs="Arial"/>
                <w:sz w:val="18"/>
                <w:szCs w:val="18"/>
                <w:lang w:val="en-GB" w:eastAsia="bg-BG"/>
              </w:rPr>
              <w:t>-</w:t>
            </w:r>
          </w:p>
        </w:tc>
        <w:tc>
          <w:tcPr>
            <w:tcW w:w="142" w:type="dxa"/>
            <w:tcBorders>
              <w:left w:val="nil"/>
              <w:right w:val="nil"/>
            </w:tcBorders>
            <w:noWrap/>
            <w:vAlign w:val="center"/>
          </w:tcPr>
          <w:p w14:paraId="55C9A721" w14:textId="77777777" w:rsidR="00017A0C" w:rsidRPr="00721663" w:rsidRDefault="00017A0C" w:rsidP="00017A0C">
            <w:pPr>
              <w:jc w:val="right"/>
              <w:rPr>
                <w:rFonts w:ascii="Arial" w:eastAsia="Arial Unicode MS" w:hAnsi="Arial" w:cs="Arial"/>
                <w:sz w:val="18"/>
                <w:szCs w:val="18"/>
                <w:lang w:val="bg-BG"/>
              </w:rPr>
            </w:pPr>
          </w:p>
        </w:tc>
        <w:tc>
          <w:tcPr>
            <w:tcW w:w="851" w:type="dxa"/>
            <w:tcBorders>
              <w:left w:val="nil"/>
              <w:bottom w:val="single" w:sz="4" w:space="0" w:color="auto"/>
              <w:right w:val="nil"/>
            </w:tcBorders>
            <w:noWrap/>
            <w:vAlign w:val="center"/>
          </w:tcPr>
          <w:p w14:paraId="341D7781" w14:textId="1DB394E4" w:rsidR="00017A0C" w:rsidRPr="00721663" w:rsidRDefault="00017A0C" w:rsidP="00017A0C">
            <w:pPr>
              <w:ind w:right="142"/>
              <w:jc w:val="right"/>
              <w:rPr>
                <w:rFonts w:ascii="Arial" w:eastAsia="Arial Unicode MS" w:hAnsi="Arial" w:cs="Arial"/>
                <w:sz w:val="18"/>
                <w:szCs w:val="18"/>
                <w:lang w:val="bg-BG"/>
              </w:rPr>
            </w:pPr>
            <w:r>
              <w:rPr>
                <w:rFonts w:ascii="Arial" w:eastAsia="Arial Unicode MS" w:hAnsi="Arial" w:cs="Arial"/>
                <w:sz w:val="18"/>
                <w:szCs w:val="18"/>
                <w:lang w:val="en-GB" w:eastAsia="bg-BG"/>
              </w:rPr>
              <w:t>27</w:t>
            </w:r>
          </w:p>
        </w:tc>
      </w:tr>
      <w:tr w:rsidR="00017A0C" w:rsidRPr="00721663" w14:paraId="15EE24E7" w14:textId="77777777" w:rsidTr="00551604">
        <w:trPr>
          <w:trHeight w:hRule="exact" w:val="301"/>
        </w:trPr>
        <w:tc>
          <w:tcPr>
            <w:tcW w:w="2268" w:type="dxa"/>
            <w:tcBorders>
              <w:left w:val="nil"/>
              <w:bottom w:val="nil"/>
              <w:right w:val="nil"/>
            </w:tcBorders>
            <w:noWrap/>
            <w:vAlign w:val="center"/>
          </w:tcPr>
          <w:p w14:paraId="4252DF2D" w14:textId="679D94D7" w:rsidR="00017A0C" w:rsidRPr="00721663" w:rsidRDefault="00017A0C" w:rsidP="00017A0C">
            <w:pPr>
              <w:jc w:val="left"/>
              <w:rPr>
                <w:rFonts w:ascii="Arial" w:hAnsi="Arial" w:cs="Arial"/>
                <w:b/>
                <w:sz w:val="18"/>
                <w:szCs w:val="18"/>
                <w:lang w:val="bg-BG"/>
              </w:rPr>
            </w:pPr>
            <w:r w:rsidRPr="00721663">
              <w:rPr>
                <w:rFonts w:ascii="Arial" w:hAnsi="Arial" w:cs="Arial"/>
                <w:b/>
                <w:sz w:val="18"/>
                <w:szCs w:val="18"/>
                <w:lang w:val="bg-BG"/>
              </w:rPr>
              <w:t xml:space="preserve">На </w:t>
            </w:r>
            <w:r>
              <w:rPr>
                <w:rFonts w:ascii="Arial" w:hAnsi="Arial" w:cs="Arial"/>
                <w:b/>
                <w:sz w:val="18"/>
                <w:szCs w:val="18"/>
                <w:lang w:val="bg-BG"/>
              </w:rPr>
              <w:t>30 юни 2017</w:t>
            </w:r>
            <w:r w:rsidRPr="00721663">
              <w:rPr>
                <w:rFonts w:ascii="Arial" w:hAnsi="Arial" w:cs="Arial"/>
                <w:b/>
                <w:sz w:val="18"/>
                <w:szCs w:val="18"/>
                <w:lang w:val="bg-BG"/>
              </w:rPr>
              <w:t xml:space="preserve"> г.</w:t>
            </w:r>
          </w:p>
        </w:tc>
        <w:tc>
          <w:tcPr>
            <w:tcW w:w="143" w:type="dxa"/>
            <w:tcBorders>
              <w:left w:val="nil"/>
              <w:bottom w:val="nil"/>
              <w:right w:val="nil"/>
            </w:tcBorders>
            <w:noWrap/>
            <w:vAlign w:val="bottom"/>
          </w:tcPr>
          <w:p w14:paraId="0048896F" w14:textId="77777777" w:rsidR="00017A0C" w:rsidRPr="00721663" w:rsidRDefault="00017A0C" w:rsidP="00017A0C">
            <w:pPr>
              <w:rPr>
                <w:rFonts w:ascii="Arial" w:eastAsia="Arial Unicode MS" w:hAnsi="Arial" w:cs="Arial"/>
                <w:sz w:val="18"/>
                <w:szCs w:val="18"/>
                <w:lang w:val="bg-BG"/>
              </w:rPr>
            </w:pPr>
          </w:p>
        </w:tc>
        <w:tc>
          <w:tcPr>
            <w:tcW w:w="977" w:type="dxa"/>
            <w:tcBorders>
              <w:top w:val="single" w:sz="4" w:space="0" w:color="auto"/>
              <w:left w:val="nil"/>
              <w:bottom w:val="double" w:sz="4" w:space="0" w:color="auto"/>
              <w:right w:val="nil"/>
            </w:tcBorders>
            <w:noWrap/>
            <w:vAlign w:val="center"/>
          </w:tcPr>
          <w:p w14:paraId="79CD10C2" w14:textId="42A6D863" w:rsidR="00017A0C" w:rsidRPr="00721663" w:rsidRDefault="00017A0C" w:rsidP="00017A0C">
            <w:pPr>
              <w:ind w:right="112"/>
              <w:jc w:val="right"/>
              <w:rPr>
                <w:rFonts w:ascii="Arial" w:eastAsia="Arial Unicode MS" w:hAnsi="Arial" w:cs="Arial"/>
                <w:b/>
                <w:sz w:val="18"/>
                <w:szCs w:val="18"/>
                <w:lang w:val="bg-BG"/>
              </w:rPr>
            </w:pPr>
            <w:r>
              <w:rPr>
                <w:rFonts w:ascii="Arial" w:eastAsia="Arial Unicode MS" w:hAnsi="Arial" w:cs="Arial"/>
                <w:b/>
                <w:sz w:val="18"/>
                <w:szCs w:val="18"/>
                <w:lang w:val="en-GB" w:eastAsia="bg-BG"/>
              </w:rPr>
              <w:t>-</w:t>
            </w:r>
          </w:p>
        </w:tc>
        <w:tc>
          <w:tcPr>
            <w:tcW w:w="142" w:type="dxa"/>
            <w:tcBorders>
              <w:left w:val="nil"/>
              <w:right w:val="nil"/>
            </w:tcBorders>
            <w:vAlign w:val="center"/>
          </w:tcPr>
          <w:p w14:paraId="4B08CD7A" w14:textId="77777777" w:rsidR="00017A0C" w:rsidRPr="00721663" w:rsidRDefault="00017A0C" w:rsidP="00017A0C">
            <w:pPr>
              <w:jc w:val="right"/>
              <w:rPr>
                <w:rFonts w:ascii="Arial" w:eastAsia="Arial Unicode MS" w:hAnsi="Arial" w:cs="Arial"/>
                <w:b/>
                <w:sz w:val="18"/>
                <w:szCs w:val="18"/>
                <w:lang w:val="bg-BG"/>
              </w:rPr>
            </w:pPr>
          </w:p>
        </w:tc>
        <w:tc>
          <w:tcPr>
            <w:tcW w:w="1148" w:type="dxa"/>
            <w:tcBorders>
              <w:top w:val="single" w:sz="4" w:space="0" w:color="auto"/>
              <w:left w:val="nil"/>
              <w:bottom w:val="double" w:sz="4" w:space="0" w:color="auto"/>
              <w:right w:val="nil"/>
            </w:tcBorders>
            <w:vAlign w:val="center"/>
          </w:tcPr>
          <w:p w14:paraId="2BBF91DF" w14:textId="3A8F1CCD" w:rsidR="00017A0C" w:rsidRPr="00716D09" w:rsidRDefault="00017A0C" w:rsidP="00017A0C">
            <w:pPr>
              <w:ind w:right="112"/>
              <w:jc w:val="right"/>
              <w:rPr>
                <w:rFonts w:ascii="Arial" w:eastAsia="Arial Unicode MS" w:hAnsi="Arial" w:cs="Arial"/>
                <w:b/>
                <w:sz w:val="18"/>
                <w:szCs w:val="18"/>
                <w:lang w:val="en-GB"/>
              </w:rPr>
            </w:pPr>
            <w:r>
              <w:rPr>
                <w:rFonts w:ascii="Arial" w:eastAsia="Arial Unicode MS" w:hAnsi="Arial" w:cs="Arial"/>
                <w:b/>
                <w:sz w:val="18"/>
                <w:szCs w:val="18"/>
                <w:lang w:val="en-GB" w:eastAsia="bg-BG"/>
              </w:rPr>
              <w:t>(5,531)</w:t>
            </w:r>
          </w:p>
        </w:tc>
        <w:tc>
          <w:tcPr>
            <w:tcW w:w="142" w:type="dxa"/>
            <w:tcBorders>
              <w:left w:val="nil"/>
              <w:right w:val="nil"/>
            </w:tcBorders>
            <w:vAlign w:val="center"/>
          </w:tcPr>
          <w:p w14:paraId="6F4BD59A" w14:textId="77777777" w:rsidR="00017A0C" w:rsidRPr="00721663" w:rsidRDefault="00017A0C" w:rsidP="00017A0C">
            <w:pPr>
              <w:jc w:val="right"/>
              <w:rPr>
                <w:rFonts w:ascii="Arial" w:eastAsia="Arial Unicode MS" w:hAnsi="Arial" w:cs="Arial"/>
                <w:b/>
                <w:sz w:val="18"/>
                <w:szCs w:val="18"/>
                <w:lang w:val="bg-BG"/>
              </w:rPr>
            </w:pPr>
          </w:p>
        </w:tc>
        <w:tc>
          <w:tcPr>
            <w:tcW w:w="1276" w:type="dxa"/>
            <w:tcBorders>
              <w:top w:val="single" w:sz="4" w:space="0" w:color="auto"/>
              <w:left w:val="nil"/>
              <w:bottom w:val="double" w:sz="4" w:space="0" w:color="auto"/>
              <w:right w:val="nil"/>
            </w:tcBorders>
            <w:vAlign w:val="center"/>
          </w:tcPr>
          <w:p w14:paraId="4B4E5A9F" w14:textId="77FDD098" w:rsidR="00017A0C" w:rsidRPr="00721663" w:rsidRDefault="00017A0C" w:rsidP="00017A0C">
            <w:pPr>
              <w:ind w:right="112"/>
              <w:jc w:val="right"/>
              <w:rPr>
                <w:rFonts w:ascii="Arial" w:eastAsia="Arial Unicode MS" w:hAnsi="Arial" w:cs="Arial"/>
                <w:b/>
                <w:sz w:val="18"/>
                <w:szCs w:val="18"/>
                <w:lang w:val="bg-BG"/>
              </w:rPr>
            </w:pPr>
            <w:r>
              <w:rPr>
                <w:rFonts w:ascii="Arial" w:eastAsia="Arial Unicode MS" w:hAnsi="Arial" w:cs="Arial"/>
                <w:b/>
                <w:sz w:val="18"/>
                <w:szCs w:val="18"/>
                <w:lang w:val="en-GB" w:eastAsia="bg-BG"/>
              </w:rPr>
              <w:t>-</w:t>
            </w:r>
          </w:p>
        </w:tc>
        <w:tc>
          <w:tcPr>
            <w:tcW w:w="142" w:type="dxa"/>
            <w:tcBorders>
              <w:left w:val="nil"/>
              <w:right w:val="nil"/>
            </w:tcBorders>
          </w:tcPr>
          <w:p w14:paraId="17F77256" w14:textId="77777777" w:rsidR="00017A0C" w:rsidRPr="00721663" w:rsidRDefault="00017A0C" w:rsidP="00017A0C">
            <w:pPr>
              <w:jc w:val="right"/>
              <w:rPr>
                <w:rFonts w:ascii="Arial" w:eastAsia="Arial Unicode MS" w:hAnsi="Arial" w:cs="Arial"/>
                <w:b/>
                <w:sz w:val="18"/>
                <w:szCs w:val="18"/>
                <w:lang w:val="bg-BG"/>
              </w:rPr>
            </w:pPr>
          </w:p>
        </w:tc>
        <w:tc>
          <w:tcPr>
            <w:tcW w:w="1275" w:type="dxa"/>
            <w:tcBorders>
              <w:top w:val="single" w:sz="4" w:space="0" w:color="auto"/>
              <w:left w:val="nil"/>
              <w:bottom w:val="double" w:sz="4" w:space="0" w:color="auto"/>
              <w:right w:val="nil"/>
            </w:tcBorders>
            <w:vAlign w:val="center"/>
          </w:tcPr>
          <w:p w14:paraId="0AEA084A" w14:textId="0CE979BB" w:rsidR="00017A0C" w:rsidRPr="00721663" w:rsidRDefault="00017A0C" w:rsidP="00017A0C">
            <w:pPr>
              <w:ind w:right="116"/>
              <w:jc w:val="right"/>
              <w:rPr>
                <w:rFonts w:ascii="Arial" w:eastAsia="Arial Unicode MS" w:hAnsi="Arial" w:cs="Arial"/>
                <w:b/>
                <w:sz w:val="18"/>
                <w:szCs w:val="18"/>
                <w:lang w:val="bg-BG"/>
              </w:rPr>
            </w:pPr>
            <w:r>
              <w:rPr>
                <w:rFonts w:ascii="Arial" w:eastAsia="Arial Unicode MS" w:hAnsi="Arial" w:cs="Arial"/>
                <w:b/>
                <w:sz w:val="18"/>
                <w:szCs w:val="18"/>
                <w:lang w:val="en-GB" w:eastAsia="bg-BG"/>
              </w:rPr>
              <w:t>(4)</w:t>
            </w:r>
          </w:p>
        </w:tc>
        <w:tc>
          <w:tcPr>
            <w:tcW w:w="141" w:type="dxa"/>
            <w:tcBorders>
              <w:left w:val="nil"/>
              <w:right w:val="nil"/>
            </w:tcBorders>
            <w:noWrap/>
            <w:vAlign w:val="center"/>
          </w:tcPr>
          <w:p w14:paraId="4F4CB774" w14:textId="77777777" w:rsidR="00017A0C" w:rsidRPr="00721663" w:rsidRDefault="00017A0C" w:rsidP="00017A0C">
            <w:pPr>
              <w:jc w:val="right"/>
              <w:rPr>
                <w:rFonts w:ascii="Arial" w:eastAsia="Arial Unicode MS" w:hAnsi="Arial" w:cs="Arial"/>
                <w:b/>
                <w:sz w:val="18"/>
                <w:szCs w:val="18"/>
                <w:lang w:val="bg-BG"/>
              </w:rPr>
            </w:pPr>
          </w:p>
        </w:tc>
        <w:tc>
          <w:tcPr>
            <w:tcW w:w="1277" w:type="dxa"/>
            <w:tcBorders>
              <w:top w:val="single" w:sz="4" w:space="0" w:color="auto"/>
              <w:left w:val="nil"/>
              <w:bottom w:val="double" w:sz="4" w:space="0" w:color="auto"/>
              <w:right w:val="nil"/>
            </w:tcBorders>
            <w:noWrap/>
            <w:vAlign w:val="center"/>
          </w:tcPr>
          <w:p w14:paraId="4D26BC4D" w14:textId="4C4DABF7" w:rsidR="00017A0C" w:rsidRPr="00721663" w:rsidRDefault="00017A0C" w:rsidP="00017A0C">
            <w:pPr>
              <w:ind w:right="116"/>
              <w:jc w:val="right"/>
              <w:rPr>
                <w:rFonts w:ascii="Arial" w:eastAsia="Arial Unicode MS" w:hAnsi="Arial" w:cs="Arial"/>
                <w:b/>
                <w:sz w:val="18"/>
                <w:szCs w:val="18"/>
                <w:lang w:val="bg-BG"/>
              </w:rPr>
            </w:pPr>
            <w:r>
              <w:rPr>
                <w:rFonts w:ascii="Arial" w:eastAsia="Arial Unicode MS" w:hAnsi="Arial" w:cs="Arial"/>
                <w:b/>
                <w:sz w:val="18"/>
                <w:szCs w:val="18"/>
                <w:lang w:val="en-GB" w:eastAsia="bg-BG"/>
              </w:rPr>
              <w:t>-</w:t>
            </w:r>
          </w:p>
        </w:tc>
        <w:tc>
          <w:tcPr>
            <w:tcW w:w="142" w:type="dxa"/>
            <w:tcBorders>
              <w:left w:val="nil"/>
              <w:right w:val="nil"/>
            </w:tcBorders>
            <w:noWrap/>
            <w:vAlign w:val="center"/>
          </w:tcPr>
          <w:p w14:paraId="6212A3AC" w14:textId="77777777" w:rsidR="00017A0C" w:rsidRPr="00721663" w:rsidRDefault="00017A0C" w:rsidP="00017A0C">
            <w:pPr>
              <w:jc w:val="right"/>
              <w:rPr>
                <w:rFonts w:ascii="Arial" w:eastAsia="Arial Unicode MS" w:hAnsi="Arial" w:cs="Arial"/>
                <w:b/>
                <w:sz w:val="18"/>
                <w:szCs w:val="18"/>
                <w:lang w:val="bg-BG"/>
              </w:rPr>
            </w:pPr>
          </w:p>
        </w:tc>
        <w:tc>
          <w:tcPr>
            <w:tcW w:w="851" w:type="dxa"/>
            <w:tcBorders>
              <w:top w:val="single" w:sz="4" w:space="0" w:color="auto"/>
              <w:left w:val="nil"/>
              <w:bottom w:val="double" w:sz="4" w:space="0" w:color="auto"/>
              <w:right w:val="nil"/>
            </w:tcBorders>
            <w:noWrap/>
            <w:vAlign w:val="center"/>
          </w:tcPr>
          <w:p w14:paraId="001DE530" w14:textId="36E3CEC0" w:rsidR="00017A0C" w:rsidRPr="00721663" w:rsidRDefault="00017A0C" w:rsidP="00017A0C">
            <w:pPr>
              <w:ind w:right="142"/>
              <w:jc w:val="right"/>
              <w:rPr>
                <w:rFonts w:ascii="Arial" w:eastAsia="Arial Unicode MS" w:hAnsi="Arial" w:cs="Arial"/>
                <w:b/>
                <w:sz w:val="18"/>
                <w:szCs w:val="18"/>
                <w:lang w:val="bg-BG"/>
              </w:rPr>
            </w:pPr>
            <w:r>
              <w:rPr>
                <w:rFonts w:ascii="Arial" w:eastAsia="Arial Unicode MS" w:hAnsi="Arial" w:cs="Arial"/>
                <w:b/>
                <w:sz w:val="18"/>
                <w:szCs w:val="18"/>
                <w:lang w:val="en-GB" w:eastAsia="bg-BG"/>
              </w:rPr>
              <w:t>(5,535)</w:t>
            </w:r>
          </w:p>
        </w:tc>
      </w:tr>
      <w:tr w:rsidR="00E07C4E" w:rsidRPr="00721663" w14:paraId="01998A1F" w14:textId="77777777" w:rsidTr="00551604">
        <w:trPr>
          <w:trHeight w:hRule="exact" w:val="246"/>
        </w:trPr>
        <w:tc>
          <w:tcPr>
            <w:tcW w:w="2268" w:type="dxa"/>
            <w:tcBorders>
              <w:left w:val="nil"/>
              <w:bottom w:val="nil"/>
              <w:right w:val="nil"/>
            </w:tcBorders>
            <w:noWrap/>
            <w:vAlign w:val="center"/>
          </w:tcPr>
          <w:p w14:paraId="6C0A69D0" w14:textId="77777777" w:rsidR="00E07C4E" w:rsidRPr="00721663" w:rsidRDefault="00E07C4E" w:rsidP="00551604">
            <w:pPr>
              <w:jc w:val="left"/>
              <w:rPr>
                <w:rFonts w:ascii="Arial" w:hAnsi="Arial" w:cs="Arial"/>
                <w:b/>
                <w:sz w:val="18"/>
                <w:szCs w:val="18"/>
                <w:lang w:val="bg-BG"/>
              </w:rPr>
            </w:pPr>
            <w:r w:rsidRPr="00721663">
              <w:rPr>
                <w:rFonts w:ascii="Arial" w:hAnsi="Arial" w:cs="Arial"/>
                <w:b/>
                <w:sz w:val="18"/>
                <w:szCs w:val="18"/>
                <w:lang w:val="bg-BG"/>
              </w:rPr>
              <w:t>Балансова стойност:</w:t>
            </w:r>
          </w:p>
        </w:tc>
        <w:tc>
          <w:tcPr>
            <w:tcW w:w="143" w:type="dxa"/>
            <w:tcBorders>
              <w:left w:val="nil"/>
              <w:right w:val="nil"/>
            </w:tcBorders>
            <w:noWrap/>
            <w:vAlign w:val="bottom"/>
          </w:tcPr>
          <w:p w14:paraId="668A4C19" w14:textId="77777777" w:rsidR="00E07C4E" w:rsidRPr="00721663" w:rsidRDefault="00E07C4E" w:rsidP="00551604">
            <w:pPr>
              <w:rPr>
                <w:rFonts w:ascii="Arial" w:eastAsia="Arial Unicode MS" w:hAnsi="Arial" w:cs="Arial"/>
                <w:sz w:val="18"/>
                <w:szCs w:val="18"/>
                <w:lang w:val="bg-BG"/>
              </w:rPr>
            </w:pPr>
          </w:p>
        </w:tc>
        <w:tc>
          <w:tcPr>
            <w:tcW w:w="977" w:type="dxa"/>
            <w:tcBorders>
              <w:top w:val="double" w:sz="4" w:space="0" w:color="auto"/>
              <w:left w:val="nil"/>
              <w:right w:val="nil"/>
            </w:tcBorders>
            <w:noWrap/>
            <w:vAlign w:val="center"/>
          </w:tcPr>
          <w:p w14:paraId="629650F1" w14:textId="77777777" w:rsidR="00E07C4E" w:rsidRPr="00721663" w:rsidRDefault="00E07C4E" w:rsidP="00551604">
            <w:pPr>
              <w:ind w:right="112"/>
              <w:jc w:val="right"/>
              <w:rPr>
                <w:rFonts w:ascii="Arial" w:eastAsia="Arial Unicode MS" w:hAnsi="Arial" w:cs="Arial"/>
                <w:sz w:val="18"/>
                <w:szCs w:val="18"/>
                <w:lang w:val="bg-BG"/>
              </w:rPr>
            </w:pPr>
          </w:p>
        </w:tc>
        <w:tc>
          <w:tcPr>
            <w:tcW w:w="142" w:type="dxa"/>
            <w:tcBorders>
              <w:left w:val="nil"/>
              <w:right w:val="nil"/>
            </w:tcBorders>
            <w:vAlign w:val="center"/>
          </w:tcPr>
          <w:p w14:paraId="3BAC230A" w14:textId="77777777" w:rsidR="00E07C4E" w:rsidRPr="00721663" w:rsidRDefault="00E07C4E" w:rsidP="00551604">
            <w:pPr>
              <w:jc w:val="right"/>
              <w:rPr>
                <w:rFonts w:ascii="Arial" w:eastAsia="Arial Unicode MS" w:hAnsi="Arial" w:cs="Arial"/>
                <w:sz w:val="18"/>
                <w:szCs w:val="18"/>
                <w:lang w:val="bg-BG"/>
              </w:rPr>
            </w:pPr>
          </w:p>
        </w:tc>
        <w:tc>
          <w:tcPr>
            <w:tcW w:w="1148" w:type="dxa"/>
            <w:tcBorders>
              <w:top w:val="double" w:sz="4" w:space="0" w:color="auto"/>
              <w:left w:val="nil"/>
              <w:right w:val="nil"/>
            </w:tcBorders>
            <w:vAlign w:val="center"/>
          </w:tcPr>
          <w:p w14:paraId="55C90947" w14:textId="77777777" w:rsidR="00E07C4E" w:rsidRPr="00721663" w:rsidRDefault="00E07C4E" w:rsidP="00551604">
            <w:pPr>
              <w:ind w:right="112"/>
              <w:jc w:val="right"/>
              <w:rPr>
                <w:rFonts w:ascii="Arial" w:eastAsia="Arial Unicode MS" w:hAnsi="Arial" w:cs="Arial"/>
                <w:sz w:val="18"/>
                <w:szCs w:val="18"/>
                <w:lang w:val="bg-BG"/>
              </w:rPr>
            </w:pPr>
          </w:p>
        </w:tc>
        <w:tc>
          <w:tcPr>
            <w:tcW w:w="142" w:type="dxa"/>
            <w:tcBorders>
              <w:left w:val="nil"/>
              <w:right w:val="nil"/>
            </w:tcBorders>
            <w:vAlign w:val="center"/>
          </w:tcPr>
          <w:p w14:paraId="1C75D00C" w14:textId="77777777" w:rsidR="00E07C4E" w:rsidRPr="00721663" w:rsidRDefault="00E07C4E" w:rsidP="00551604">
            <w:pPr>
              <w:jc w:val="right"/>
              <w:rPr>
                <w:rFonts w:ascii="Arial" w:eastAsia="Arial Unicode MS" w:hAnsi="Arial" w:cs="Arial"/>
                <w:sz w:val="18"/>
                <w:szCs w:val="18"/>
                <w:lang w:val="bg-BG"/>
              </w:rPr>
            </w:pPr>
          </w:p>
        </w:tc>
        <w:tc>
          <w:tcPr>
            <w:tcW w:w="1276" w:type="dxa"/>
            <w:tcBorders>
              <w:top w:val="double" w:sz="4" w:space="0" w:color="auto"/>
              <w:left w:val="nil"/>
              <w:right w:val="nil"/>
            </w:tcBorders>
            <w:vAlign w:val="center"/>
          </w:tcPr>
          <w:p w14:paraId="6EBB1B5F" w14:textId="77777777" w:rsidR="00E07C4E" w:rsidRPr="00721663" w:rsidRDefault="00E07C4E" w:rsidP="00551604">
            <w:pPr>
              <w:ind w:right="112"/>
              <w:jc w:val="right"/>
              <w:rPr>
                <w:rFonts w:ascii="Arial" w:eastAsia="Arial Unicode MS" w:hAnsi="Arial" w:cs="Arial"/>
                <w:sz w:val="18"/>
                <w:szCs w:val="18"/>
                <w:lang w:val="bg-BG"/>
              </w:rPr>
            </w:pPr>
          </w:p>
        </w:tc>
        <w:tc>
          <w:tcPr>
            <w:tcW w:w="142" w:type="dxa"/>
            <w:tcBorders>
              <w:left w:val="nil"/>
              <w:right w:val="nil"/>
            </w:tcBorders>
          </w:tcPr>
          <w:p w14:paraId="1B160280" w14:textId="77777777" w:rsidR="00E07C4E" w:rsidRPr="00721663" w:rsidRDefault="00E07C4E" w:rsidP="00551604">
            <w:pPr>
              <w:jc w:val="right"/>
              <w:rPr>
                <w:rFonts w:ascii="Arial" w:eastAsia="Arial Unicode MS" w:hAnsi="Arial" w:cs="Arial"/>
                <w:sz w:val="18"/>
                <w:szCs w:val="18"/>
                <w:lang w:val="bg-BG"/>
              </w:rPr>
            </w:pPr>
          </w:p>
        </w:tc>
        <w:tc>
          <w:tcPr>
            <w:tcW w:w="1275" w:type="dxa"/>
            <w:tcBorders>
              <w:top w:val="double" w:sz="4" w:space="0" w:color="auto"/>
              <w:left w:val="nil"/>
              <w:right w:val="nil"/>
            </w:tcBorders>
            <w:vAlign w:val="center"/>
          </w:tcPr>
          <w:p w14:paraId="366AAD0F" w14:textId="77777777" w:rsidR="00E07C4E" w:rsidRPr="00721663" w:rsidRDefault="00E07C4E" w:rsidP="00551604">
            <w:pPr>
              <w:ind w:right="116"/>
              <w:jc w:val="right"/>
              <w:rPr>
                <w:rFonts w:ascii="Arial" w:eastAsia="Arial Unicode MS" w:hAnsi="Arial" w:cs="Arial"/>
                <w:sz w:val="18"/>
                <w:szCs w:val="18"/>
                <w:lang w:val="bg-BG"/>
              </w:rPr>
            </w:pPr>
          </w:p>
        </w:tc>
        <w:tc>
          <w:tcPr>
            <w:tcW w:w="141" w:type="dxa"/>
            <w:tcBorders>
              <w:left w:val="nil"/>
              <w:right w:val="nil"/>
            </w:tcBorders>
            <w:noWrap/>
            <w:vAlign w:val="center"/>
          </w:tcPr>
          <w:p w14:paraId="357DFA02" w14:textId="77777777" w:rsidR="00E07C4E" w:rsidRPr="00721663" w:rsidRDefault="00E07C4E" w:rsidP="00551604">
            <w:pPr>
              <w:jc w:val="right"/>
              <w:rPr>
                <w:rFonts w:ascii="Arial" w:eastAsia="Arial Unicode MS" w:hAnsi="Arial" w:cs="Arial"/>
                <w:sz w:val="18"/>
                <w:szCs w:val="18"/>
                <w:lang w:val="bg-BG"/>
              </w:rPr>
            </w:pPr>
          </w:p>
        </w:tc>
        <w:tc>
          <w:tcPr>
            <w:tcW w:w="1277" w:type="dxa"/>
            <w:tcBorders>
              <w:top w:val="double" w:sz="4" w:space="0" w:color="auto"/>
              <w:left w:val="nil"/>
              <w:right w:val="nil"/>
            </w:tcBorders>
            <w:noWrap/>
            <w:vAlign w:val="center"/>
          </w:tcPr>
          <w:p w14:paraId="3CECE53C" w14:textId="77777777" w:rsidR="00E07C4E" w:rsidRPr="00721663" w:rsidRDefault="00E07C4E" w:rsidP="00551604">
            <w:pPr>
              <w:ind w:right="116"/>
              <w:jc w:val="right"/>
              <w:rPr>
                <w:rFonts w:ascii="Arial" w:eastAsia="Arial Unicode MS" w:hAnsi="Arial" w:cs="Arial"/>
                <w:sz w:val="18"/>
                <w:szCs w:val="18"/>
                <w:lang w:val="bg-BG"/>
              </w:rPr>
            </w:pPr>
          </w:p>
        </w:tc>
        <w:tc>
          <w:tcPr>
            <w:tcW w:w="142" w:type="dxa"/>
            <w:tcBorders>
              <w:left w:val="nil"/>
              <w:right w:val="nil"/>
            </w:tcBorders>
            <w:noWrap/>
            <w:vAlign w:val="center"/>
          </w:tcPr>
          <w:p w14:paraId="672305B6" w14:textId="77777777" w:rsidR="00E07C4E" w:rsidRPr="00721663" w:rsidRDefault="00E07C4E" w:rsidP="00551604">
            <w:pPr>
              <w:jc w:val="right"/>
              <w:rPr>
                <w:rFonts w:ascii="Arial" w:eastAsia="Arial Unicode MS" w:hAnsi="Arial" w:cs="Arial"/>
                <w:sz w:val="18"/>
                <w:szCs w:val="18"/>
                <w:lang w:val="bg-BG"/>
              </w:rPr>
            </w:pPr>
          </w:p>
        </w:tc>
        <w:tc>
          <w:tcPr>
            <w:tcW w:w="851" w:type="dxa"/>
            <w:tcBorders>
              <w:top w:val="double" w:sz="4" w:space="0" w:color="auto"/>
              <w:left w:val="nil"/>
              <w:right w:val="nil"/>
            </w:tcBorders>
            <w:noWrap/>
            <w:vAlign w:val="center"/>
          </w:tcPr>
          <w:p w14:paraId="459F0BEE" w14:textId="77777777" w:rsidR="00E07C4E" w:rsidRPr="00721663" w:rsidRDefault="00E07C4E" w:rsidP="00551604">
            <w:pPr>
              <w:ind w:right="142"/>
              <w:jc w:val="right"/>
              <w:rPr>
                <w:rFonts w:ascii="Arial" w:eastAsia="Arial Unicode MS" w:hAnsi="Arial" w:cs="Arial"/>
                <w:b/>
                <w:sz w:val="18"/>
                <w:szCs w:val="18"/>
                <w:lang w:val="bg-BG"/>
              </w:rPr>
            </w:pPr>
          </w:p>
        </w:tc>
      </w:tr>
      <w:tr w:rsidR="00E07C4E" w:rsidRPr="00721663" w14:paraId="363A4869" w14:textId="77777777" w:rsidTr="00551604">
        <w:trPr>
          <w:trHeight w:hRule="exact" w:val="106"/>
        </w:trPr>
        <w:tc>
          <w:tcPr>
            <w:tcW w:w="2268" w:type="dxa"/>
            <w:tcBorders>
              <w:left w:val="nil"/>
              <w:bottom w:val="nil"/>
              <w:right w:val="nil"/>
            </w:tcBorders>
            <w:noWrap/>
            <w:vAlign w:val="center"/>
          </w:tcPr>
          <w:p w14:paraId="7A5486DF" w14:textId="77777777" w:rsidR="00E07C4E" w:rsidRPr="00721663" w:rsidRDefault="00E07C4E" w:rsidP="00551604">
            <w:pPr>
              <w:jc w:val="left"/>
              <w:rPr>
                <w:rFonts w:ascii="Arial" w:hAnsi="Arial" w:cs="Arial"/>
                <w:b/>
                <w:sz w:val="18"/>
                <w:szCs w:val="18"/>
                <w:lang w:val="bg-BG"/>
              </w:rPr>
            </w:pPr>
          </w:p>
        </w:tc>
        <w:tc>
          <w:tcPr>
            <w:tcW w:w="143" w:type="dxa"/>
            <w:tcBorders>
              <w:left w:val="nil"/>
              <w:right w:val="nil"/>
            </w:tcBorders>
            <w:noWrap/>
            <w:vAlign w:val="bottom"/>
          </w:tcPr>
          <w:p w14:paraId="17C72163" w14:textId="77777777" w:rsidR="00E07C4E" w:rsidRPr="00721663" w:rsidRDefault="00E07C4E" w:rsidP="00551604">
            <w:pPr>
              <w:rPr>
                <w:rFonts w:ascii="Arial" w:eastAsia="Arial Unicode MS" w:hAnsi="Arial" w:cs="Arial"/>
                <w:sz w:val="18"/>
                <w:szCs w:val="18"/>
                <w:lang w:val="bg-BG"/>
              </w:rPr>
            </w:pPr>
          </w:p>
        </w:tc>
        <w:tc>
          <w:tcPr>
            <w:tcW w:w="977" w:type="dxa"/>
            <w:tcBorders>
              <w:left w:val="nil"/>
              <w:right w:val="nil"/>
            </w:tcBorders>
            <w:noWrap/>
            <w:vAlign w:val="center"/>
          </w:tcPr>
          <w:p w14:paraId="4D588218" w14:textId="77777777" w:rsidR="00E07C4E" w:rsidRPr="00721663" w:rsidRDefault="00E07C4E" w:rsidP="00551604">
            <w:pPr>
              <w:ind w:right="112"/>
              <w:jc w:val="right"/>
              <w:rPr>
                <w:rFonts w:ascii="Arial" w:eastAsia="Arial Unicode MS" w:hAnsi="Arial" w:cs="Arial"/>
                <w:sz w:val="18"/>
                <w:szCs w:val="18"/>
                <w:lang w:val="bg-BG"/>
              </w:rPr>
            </w:pPr>
          </w:p>
        </w:tc>
        <w:tc>
          <w:tcPr>
            <w:tcW w:w="142" w:type="dxa"/>
            <w:tcBorders>
              <w:left w:val="nil"/>
              <w:right w:val="nil"/>
            </w:tcBorders>
            <w:vAlign w:val="center"/>
          </w:tcPr>
          <w:p w14:paraId="5783B639" w14:textId="77777777" w:rsidR="00E07C4E" w:rsidRPr="00721663" w:rsidRDefault="00E07C4E" w:rsidP="00551604">
            <w:pPr>
              <w:jc w:val="right"/>
              <w:rPr>
                <w:rFonts w:ascii="Arial" w:eastAsia="Arial Unicode MS" w:hAnsi="Arial" w:cs="Arial"/>
                <w:sz w:val="18"/>
                <w:szCs w:val="18"/>
                <w:lang w:val="bg-BG"/>
              </w:rPr>
            </w:pPr>
          </w:p>
        </w:tc>
        <w:tc>
          <w:tcPr>
            <w:tcW w:w="1148" w:type="dxa"/>
            <w:tcBorders>
              <w:left w:val="nil"/>
              <w:right w:val="nil"/>
            </w:tcBorders>
            <w:vAlign w:val="center"/>
          </w:tcPr>
          <w:p w14:paraId="72F28AEF" w14:textId="77777777" w:rsidR="00E07C4E" w:rsidRPr="00721663" w:rsidRDefault="00E07C4E" w:rsidP="00551604">
            <w:pPr>
              <w:ind w:right="112"/>
              <w:jc w:val="right"/>
              <w:rPr>
                <w:rFonts w:ascii="Arial" w:eastAsia="Arial Unicode MS" w:hAnsi="Arial" w:cs="Arial"/>
                <w:sz w:val="18"/>
                <w:szCs w:val="18"/>
                <w:lang w:val="bg-BG"/>
              </w:rPr>
            </w:pPr>
          </w:p>
        </w:tc>
        <w:tc>
          <w:tcPr>
            <w:tcW w:w="142" w:type="dxa"/>
            <w:tcBorders>
              <w:left w:val="nil"/>
              <w:right w:val="nil"/>
            </w:tcBorders>
            <w:vAlign w:val="center"/>
          </w:tcPr>
          <w:p w14:paraId="5DC8F80C" w14:textId="77777777" w:rsidR="00E07C4E" w:rsidRPr="00721663" w:rsidRDefault="00E07C4E" w:rsidP="00551604">
            <w:pPr>
              <w:jc w:val="right"/>
              <w:rPr>
                <w:rFonts w:ascii="Arial" w:eastAsia="Arial Unicode MS" w:hAnsi="Arial" w:cs="Arial"/>
                <w:sz w:val="18"/>
                <w:szCs w:val="18"/>
                <w:lang w:val="bg-BG"/>
              </w:rPr>
            </w:pPr>
          </w:p>
        </w:tc>
        <w:tc>
          <w:tcPr>
            <w:tcW w:w="1276" w:type="dxa"/>
            <w:tcBorders>
              <w:left w:val="nil"/>
              <w:right w:val="nil"/>
            </w:tcBorders>
            <w:vAlign w:val="center"/>
          </w:tcPr>
          <w:p w14:paraId="01E0BCB4" w14:textId="77777777" w:rsidR="00E07C4E" w:rsidRPr="00721663" w:rsidRDefault="00E07C4E" w:rsidP="00551604">
            <w:pPr>
              <w:ind w:right="112"/>
              <w:jc w:val="right"/>
              <w:rPr>
                <w:rFonts w:ascii="Arial" w:eastAsia="Arial Unicode MS" w:hAnsi="Arial" w:cs="Arial"/>
                <w:sz w:val="18"/>
                <w:szCs w:val="18"/>
                <w:lang w:val="bg-BG"/>
              </w:rPr>
            </w:pPr>
          </w:p>
        </w:tc>
        <w:tc>
          <w:tcPr>
            <w:tcW w:w="142" w:type="dxa"/>
            <w:tcBorders>
              <w:left w:val="nil"/>
              <w:right w:val="nil"/>
            </w:tcBorders>
          </w:tcPr>
          <w:p w14:paraId="25B3FECA" w14:textId="77777777" w:rsidR="00E07C4E" w:rsidRPr="00721663" w:rsidRDefault="00E07C4E" w:rsidP="00551604">
            <w:pPr>
              <w:jc w:val="right"/>
              <w:rPr>
                <w:rFonts w:ascii="Arial" w:eastAsia="Arial Unicode MS" w:hAnsi="Arial" w:cs="Arial"/>
                <w:sz w:val="18"/>
                <w:szCs w:val="18"/>
                <w:lang w:val="bg-BG"/>
              </w:rPr>
            </w:pPr>
          </w:p>
        </w:tc>
        <w:tc>
          <w:tcPr>
            <w:tcW w:w="1275" w:type="dxa"/>
            <w:tcBorders>
              <w:left w:val="nil"/>
              <w:right w:val="nil"/>
            </w:tcBorders>
            <w:vAlign w:val="center"/>
          </w:tcPr>
          <w:p w14:paraId="0542441C" w14:textId="77777777" w:rsidR="00E07C4E" w:rsidRPr="00721663" w:rsidRDefault="00E07C4E" w:rsidP="00551604">
            <w:pPr>
              <w:ind w:right="116"/>
              <w:jc w:val="right"/>
              <w:rPr>
                <w:rFonts w:ascii="Arial" w:eastAsia="Arial Unicode MS" w:hAnsi="Arial" w:cs="Arial"/>
                <w:sz w:val="18"/>
                <w:szCs w:val="18"/>
                <w:lang w:val="bg-BG"/>
              </w:rPr>
            </w:pPr>
          </w:p>
        </w:tc>
        <w:tc>
          <w:tcPr>
            <w:tcW w:w="141" w:type="dxa"/>
            <w:tcBorders>
              <w:left w:val="nil"/>
              <w:right w:val="nil"/>
            </w:tcBorders>
            <w:noWrap/>
            <w:vAlign w:val="center"/>
          </w:tcPr>
          <w:p w14:paraId="5A3B9D8B" w14:textId="77777777" w:rsidR="00E07C4E" w:rsidRPr="00721663" w:rsidRDefault="00E07C4E" w:rsidP="00551604">
            <w:pPr>
              <w:jc w:val="right"/>
              <w:rPr>
                <w:rFonts w:ascii="Arial" w:eastAsia="Arial Unicode MS" w:hAnsi="Arial" w:cs="Arial"/>
                <w:sz w:val="18"/>
                <w:szCs w:val="18"/>
                <w:lang w:val="bg-BG"/>
              </w:rPr>
            </w:pPr>
          </w:p>
        </w:tc>
        <w:tc>
          <w:tcPr>
            <w:tcW w:w="1277" w:type="dxa"/>
            <w:tcBorders>
              <w:left w:val="nil"/>
              <w:right w:val="nil"/>
            </w:tcBorders>
            <w:noWrap/>
            <w:vAlign w:val="center"/>
          </w:tcPr>
          <w:p w14:paraId="3C17C041" w14:textId="77777777" w:rsidR="00E07C4E" w:rsidRPr="00721663" w:rsidRDefault="00E07C4E" w:rsidP="00551604">
            <w:pPr>
              <w:ind w:right="116"/>
              <w:jc w:val="right"/>
              <w:rPr>
                <w:rFonts w:ascii="Arial" w:eastAsia="Arial Unicode MS" w:hAnsi="Arial" w:cs="Arial"/>
                <w:sz w:val="18"/>
                <w:szCs w:val="18"/>
                <w:lang w:val="bg-BG"/>
              </w:rPr>
            </w:pPr>
          </w:p>
        </w:tc>
        <w:tc>
          <w:tcPr>
            <w:tcW w:w="142" w:type="dxa"/>
            <w:tcBorders>
              <w:left w:val="nil"/>
              <w:right w:val="nil"/>
            </w:tcBorders>
            <w:noWrap/>
            <w:vAlign w:val="center"/>
          </w:tcPr>
          <w:p w14:paraId="76374085" w14:textId="77777777" w:rsidR="00E07C4E" w:rsidRPr="00721663" w:rsidRDefault="00E07C4E" w:rsidP="00551604">
            <w:pPr>
              <w:jc w:val="right"/>
              <w:rPr>
                <w:rFonts w:ascii="Arial" w:eastAsia="Arial Unicode MS" w:hAnsi="Arial" w:cs="Arial"/>
                <w:sz w:val="18"/>
                <w:szCs w:val="18"/>
                <w:lang w:val="bg-BG"/>
              </w:rPr>
            </w:pPr>
          </w:p>
        </w:tc>
        <w:tc>
          <w:tcPr>
            <w:tcW w:w="851" w:type="dxa"/>
            <w:tcBorders>
              <w:left w:val="nil"/>
              <w:right w:val="nil"/>
            </w:tcBorders>
            <w:noWrap/>
            <w:vAlign w:val="center"/>
          </w:tcPr>
          <w:p w14:paraId="40B33663" w14:textId="77777777" w:rsidR="00E07C4E" w:rsidRPr="00721663" w:rsidRDefault="00E07C4E" w:rsidP="00551604">
            <w:pPr>
              <w:ind w:right="142"/>
              <w:jc w:val="right"/>
              <w:rPr>
                <w:rFonts w:ascii="Arial" w:eastAsia="Arial Unicode MS" w:hAnsi="Arial" w:cs="Arial"/>
                <w:b/>
                <w:sz w:val="18"/>
                <w:szCs w:val="18"/>
                <w:lang w:val="bg-BG"/>
              </w:rPr>
            </w:pPr>
          </w:p>
        </w:tc>
      </w:tr>
      <w:tr w:rsidR="00017A0C" w:rsidRPr="00721663" w14:paraId="26CC29A3" w14:textId="77777777" w:rsidTr="00551604">
        <w:trPr>
          <w:trHeight w:hRule="exact" w:val="301"/>
        </w:trPr>
        <w:tc>
          <w:tcPr>
            <w:tcW w:w="2268" w:type="dxa"/>
            <w:tcBorders>
              <w:left w:val="nil"/>
              <w:right w:val="nil"/>
            </w:tcBorders>
            <w:noWrap/>
            <w:vAlign w:val="center"/>
          </w:tcPr>
          <w:p w14:paraId="74F8B2D1" w14:textId="4D6E98E6" w:rsidR="00017A0C" w:rsidRPr="00721663" w:rsidRDefault="00017A0C" w:rsidP="00017A0C">
            <w:pPr>
              <w:jc w:val="left"/>
              <w:rPr>
                <w:rFonts w:ascii="Arial" w:hAnsi="Arial" w:cs="Arial"/>
                <w:sz w:val="18"/>
                <w:szCs w:val="18"/>
                <w:lang w:val="bg-BG"/>
              </w:rPr>
            </w:pPr>
            <w:r w:rsidRPr="00721663">
              <w:rPr>
                <w:rFonts w:ascii="Arial" w:hAnsi="Arial" w:cs="Arial"/>
                <w:sz w:val="18"/>
                <w:szCs w:val="18"/>
                <w:lang w:val="bg-BG"/>
              </w:rPr>
              <w:t xml:space="preserve">На </w:t>
            </w:r>
            <w:r>
              <w:rPr>
                <w:rFonts w:ascii="Arial" w:hAnsi="Arial" w:cs="Arial"/>
                <w:sz w:val="18"/>
                <w:szCs w:val="18"/>
                <w:lang w:val="bg-BG"/>
              </w:rPr>
              <w:t>30 юни 2017</w:t>
            </w:r>
            <w:r w:rsidRPr="00721663">
              <w:rPr>
                <w:rFonts w:ascii="Arial" w:hAnsi="Arial" w:cs="Arial"/>
                <w:sz w:val="18"/>
                <w:szCs w:val="18"/>
                <w:lang w:val="bg-BG"/>
              </w:rPr>
              <w:t xml:space="preserve"> г.</w:t>
            </w:r>
          </w:p>
        </w:tc>
        <w:tc>
          <w:tcPr>
            <w:tcW w:w="143" w:type="dxa"/>
            <w:tcBorders>
              <w:left w:val="nil"/>
              <w:right w:val="nil"/>
            </w:tcBorders>
            <w:noWrap/>
            <w:vAlign w:val="bottom"/>
          </w:tcPr>
          <w:p w14:paraId="03F0F17E" w14:textId="77777777" w:rsidR="00017A0C" w:rsidRPr="00721663" w:rsidRDefault="00017A0C" w:rsidP="00017A0C">
            <w:pPr>
              <w:rPr>
                <w:rFonts w:ascii="Arial" w:eastAsia="Arial Unicode MS" w:hAnsi="Arial" w:cs="Arial"/>
                <w:sz w:val="18"/>
                <w:szCs w:val="18"/>
                <w:lang w:val="bg-BG"/>
              </w:rPr>
            </w:pPr>
          </w:p>
        </w:tc>
        <w:tc>
          <w:tcPr>
            <w:tcW w:w="977" w:type="dxa"/>
            <w:tcBorders>
              <w:left w:val="nil"/>
              <w:bottom w:val="double" w:sz="4" w:space="0" w:color="auto"/>
              <w:right w:val="nil"/>
            </w:tcBorders>
            <w:noWrap/>
            <w:vAlign w:val="center"/>
          </w:tcPr>
          <w:p w14:paraId="4D6D2219" w14:textId="5BEDF153" w:rsidR="00017A0C" w:rsidRPr="00721663" w:rsidRDefault="00017A0C" w:rsidP="00017A0C">
            <w:pPr>
              <w:ind w:right="142"/>
              <w:jc w:val="right"/>
              <w:rPr>
                <w:rFonts w:ascii="Arial" w:eastAsia="Arial Unicode MS" w:hAnsi="Arial" w:cs="Arial"/>
                <w:b/>
                <w:sz w:val="18"/>
                <w:szCs w:val="18"/>
                <w:lang w:val="bg-BG"/>
              </w:rPr>
            </w:pPr>
            <w:r>
              <w:rPr>
                <w:rFonts w:ascii="Arial" w:eastAsia="Arial Unicode MS" w:hAnsi="Arial" w:cs="Arial"/>
                <w:b/>
                <w:sz w:val="18"/>
                <w:szCs w:val="18"/>
                <w:lang w:val="en-GB" w:eastAsia="bg-BG"/>
              </w:rPr>
              <w:t>28</w:t>
            </w:r>
          </w:p>
        </w:tc>
        <w:tc>
          <w:tcPr>
            <w:tcW w:w="142" w:type="dxa"/>
            <w:tcBorders>
              <w:left w:val="nil"/>
              <w:right w:val="nil"/>
            </w:tcBorders>
            <w:vAlign w:val="center"/>
          </w:tcPr>
          <w:p w14:paraId="6EC2032E" w14:textId="77777777" w:rsidR="00017A0C" w:rsidRPr="00721663" w:rsidRDefault="00017A0C" w:rsidP="00017A0C">
            <w:pPr>
              <w:jc w:val="right"/>
              <w:rPr>
                <w:rFonts w:ascii="Arial" w:eastAsia="Arial Unicode MS" w:hAnsi="Arial" w:cs="Arial"/>
                <w:b/>
                <w:sz w:val="18"/>
                <w:szCs w:val="18"/>
                <w:lang w:val="bg-BG"/>
              </w:rPr>
            </w:pPr>
          </w:p>
        </w:tc>
        <w:tc>
          <w:tcPr>
            <w:tcW w:w="1148" w:type="dxa"/>
            <w:tcBorders>
              <w:left w:val="nil"/>
              <w:bottom w:val="double" w:sz="4" w:space="0" w:color="auto"/>
              <w:right w:val="nil"/>
            </w:tcBorders>
            <w:vAlign w:val="center"/>
          </w:tcPr>
          <w:p w14:paraId="2400DD58" w14:textId="5DF4690E" w:rsidR="00017A0C" w:rsidRPr="00721663" w:rsidRDefault="00017A0C" w:rsidP="00017A0C">
            <w:pPr>
              <w:ind w:right="142"/>
              <w:jc w:val="right"/>
              <w:rPr>
                <w:rFonts w:ascii="Arial" w:eastAsia="Arial Unicode MS" w:hAnsi="Arial" w:cs="Arial"/>
                <w:b/>
                <w:sz w:val="18"/>
                <w:szCs w:val="18"/>
                <w:lang w:val="bg-BG"/>
              </w:rPr>
            </w:pPr>
            <w:r>
              <w:rPr>
                <w:rFonts w:ascii="Arial" w:eastAsia="Arial Unicode MS" w:hAnsi="Arial" w:cs="Arial"/>
                <w:b/>
                <w:sz w:val="18"/>
                <w:szCs w:val="18"/>
                <w:lang w:val="en-GB" w:eastAsia="bg-BG"/>
              </w:rPr>
              <w:t>15,462</w:t>
            </w:r>
          </w:p>
        </w:tc>
        <w:tc>
          <w:tcPr>
            <w:tcW w:w="142" w:type="dxa"/>
            <w:tcBorders>
              <w:left w:val="nil"/>
              <w:right w:val="nil"/>
            </w:tcBorders>
            <w:vAlign w:val="center"/>
          </w:tcPr>
          <w:p w14:paraId="50384685" w14:textId="77777777" w:rsidR="00017A0C" w:rsidRPr="00721663" w:rsidRDefault="00017A0C" w:rsidP="00017A0C">
            <w:pPr>
              <w:jc w:val="right"/>
              <w:rPr>
                <w:rFonts w:ascii="Arial" w:eastAsia="Arial Unicode MS" w:hAnsi="Arial" w:cs="Arial"/>
                <w:b/>
                <w:sz w:val="18"/>
                <w:szCs w:val="18"/>
                <w:lang w:val="bg-BG"/>
              </w:rPr>
            </w:pPr>
          </w:p>
        </w:tc>
        <w:tc>
          <w:tcPr>
            <w:tcW w:w="1276" w:type="dxa"/>
            <w:tcBorders>
              <w:left w:val="nil"/>
              <w:bottom w:val="double" w:sz="4" w:space="0" w:color="auto"/>
              <w:right w:val="nil"/>
            </w:tcBorders>
            <w:vAlign w:val="center"/>
          </w:tcPr>
          <w:p w14:paraId="19F63615" w14:textId="34D05274" w:rsidR="00017A0C" w:rsidRPr="00721663" w:rsidRDefault="00017A0C" w:rsidP="00017A0C">
            <w:pPr>
              <w:ind w:right="142"/>
              <w:jc w:val="right"/>
              <w:rPr>
                <w:rFonts w:ascii="Arial" w:eastAsia="Arial Unicode MS" w:hAnsi="Arial" w:cs="Arial"/>
                <w:b/>
                <w:sz w:val="18"/>
                <w:szCs w:val="18"/>
                <w:lang w:val="bg-BG"/>
              </w:rPr>
            </w:pPr>
            <w:r>
              <w:rPr>
                <w:rFonts w:ascii="Arial" w:eastAsia="Arial Unicode MS" w:hAnsi="Arial" w:cs="Arial"/>
                <w:b/>
                <w:sz w:val="18"/>
                <w:szCs w:val="18"/>
                <w:lang w:val="en-GB" w:eastAsia="bg-BG"/>
              </w:rPr>
              <w:t>-</w:t>
            </w:r>
          </w:p>
        </w:tc>
        <w:tc>
          <w:tcPr>
            <w:tcW w:w="142" w:type="dxa"/>
            <w:tcBorders>
              <w:left w:val="nil"/>
              <w:right w:val="nil"/>
            </w:tcBorders>
          </w:tcPr>
          <w:p w14:paraId="15858E56" w14:textId="77777777" w:rsidR="00017A0C" w:rsidRPr="00721663" w:rsidRDefault="00017A0C" w:rsidP="00017A0C">
            <w:pPr>
              <w:jc w:val="right"/>
              <w:rPr>
                <w:rFonts w:ascii="Arial" w:eastAsia="Arial Unicode MS" w:hAnsi="Arial" w:cs="Arial"/>
                <w:b/>
                <w:sz w:val="18"/>
                <w:szCs w:val="18"/>
                <w:lang w:val="bg-BG"/>
              </w:rPr>
            </w:pPr>
          </w:p>
        </w:tc>
        <w:tc>
          <w:tcPr>
            <w:tcW w:w="1275" w:type="dxa"/>
            <w:tcBorders>
              <w:left w:val="nil"/>
              <w:bottom w:val="double" w:sz="4" w:space="0" w:color="auto"/>
              <w:right w:val="nil"/>
            </w:tcBorders>
            <w:vAlign w:val="center"/>
          </w:tcPr>
          <w:p w14:paraId="3FB23064" w14:textId="6080C897" w:rsidR="00017A0C" w:rsidRPr="00721663" w:rsidRDefault="00017A0C" w:rsidP="00017A0C">
            <w:pPr>
              <w:ind w:right="142"/>
              <w:jc w:val="right"/>
              <w:rPr>
                <w:rFonts w:ascii="Arial" w:eastAsia="Arial Unicode MS" w:hAnsi="Arial" w:cs="Arial"/>
                <w:b/>
                <w:sz w:val="18"/>
                <w:szCs w:val="18"/>
                <w:lang w:val="bg-BG"/>
              </w:rPr>
            </w:pPr>
            <w:r>
              <w:rPr>
                <w:rFonts w:ascii="Arial" w:eastAsia="Arial Unicode MS" w:hAnsi="Arial" w:cs="Arial"/>
                <w:b/>
                <w:sz w:val="18"/>
                <w:szCs w:val="18"/>
                <w:lang w:val="en-GB" w:eastAsia="bg-BG"/>
              </w:rPr>
              <w:t>-</w:t>
            </w:r>
          </w:p>
        </w:tc>
        <w:tc>
          <w:tcPr>
            <w:tcW w:w="141" w:type="dxa"/>
            <w:tcBorders>
              <w:left w:val="nil"/>
              <w:right w:val="nil"/>
            </w:tcBorders>
            <w:noWrap/>
            <w:vAlign w:val="center"/>
          </w:tcPr>
          <w:p w14:paraId="31F73A2E" w14:textId="77777777" w:rsidR="00017A0C" w:rsidRPr="00721663" w:rsidRDefault="00017A0C" w:rsidP="00017A0C">
            <w:pPr>
              <w:jc w:val="right"/>
              <w:rPr>
                <w:rFonts w:ascii="Arial" w:eastAsia="Arial Unicode MS" w:hAnsi="Arial" w:cs="Arial"/>
                <w:b/>
                <w:sz w:val="18"/>
                <w:szCs w:val="18"/>
                <w:lang w:val="bg-BG"/>
              </w:rPr>
            </w:pPr>
          </w:p>
        </w:tc>
        <w:tc>
          <w:tcPr>
            <w:tcW w:w="1277" w:type="dxa"/>
            <w:tcBorders>
              <w:left w:val="nil"/>
              <w:bottom w:val="double" w:sz="4" w:space="0" w:color="auto"/>
              <w:right w:val="nil"/>
            </w:tcBorders>
            <w:noWrap/>
            <w:vAlign w:val="center"/>
          </w:tcPr>
          <w:p w14:paraId="747FC5FB" w14:textId="50ABC1A1" w:rsidR="00017A0C" w:rsidRPr="00721663" w:rsidRDefault="00017A0C" w:rsidP="00017A0C">
            <w:pPr>
              <w:ind w:right="142"/>
              <w:jc w:val="right"/>
              <w:rPr>
                <w:rFonts w:ascii="Arial" w:eastAsia="Arial Unicode MS" w:hAnsi="Arial" w:cs="Arial"/>
                <w:b/>
                <w:sz w:val="18"/>
                <w:szCs w:val="18"/>
                <w:lang w:val="bg-BG"/>
              </w:rPr>
            </w:pPr>
            <w:r>
              <w:rPr>
                <w:rFonts w:ascii="Arial" w:eastAsia="Arial Unicode MS" w:hAnsi="Arial" w:cs="Arial"/>
                <w:b/>
                <w:sz w:val="18"/>
                <w:szCs w:val="18"/>
                <w:lang w:val="en-GB" w:eastAsia="bg-BG"/>
              </w:rPr>
              <w:t>17</w:t>
            </w:r>
          </w:p>
        </w:tc>
        <w:tc>
          <w:tcPr>
            <w:tcW w:w="142" w:type="dxa"/>
            <w:tcBorders>
              <w:left w:val="nil"/>
              <w:right w:val="nil"/>
            </w:tcBorders>
            <w:noWrap/>
            <w:vAlign w:val="center"/>
          </w:tcPr>
          <w:p w14:paraId="64DB3521" w14:textId="77777777" w:rsidR="00017A0C" w:rsidRPr="00721663" w:rsidRDefault="00017A0C" w:rsidP="00017A0C">
            <w:pPr>
              <w:jc w:val="right"/>
              <w:rPr>
                <w:rFonts w:ascii="Arial" w:eastAsia="Arial Unicode MS" w:hAnsi="Arial" w:cs="Arial"/>
                <w:b/>
                <w:sz w:val="18"/>
                <w:szCs w:val="18"/>
                <w:lang w:val="bg-BG"/>
              </w:rPr>
            </w:pPr>
          </w:p>
        </w:tc>
        <w:tc>
          <w:tcPr>
            <w:tcW w:w="851" w:type="dxa"/>
            <w:tcBorders>
              <w:left w:val="nil"/>
              <w:bottom w:val="double" w:sz="4" w:space="0" w:color="auto"/>
              <w:right w:val="nil"/>
            </w:tcBorders>
            <w:noWrap/>
            <w:vAlign w:val="center"/>
          </w:tcPr>
          <w:p w14:paraId="48921212" w14:textId="1B237ED9" w:rsidR="00017A0C" w:rsidRPr="00721663" w:rsidRDefault="00017A0C" w:rsidP="00017A0C">
            <w:pPr>
              <w:ind w:right="142"/>
              <w:jc w:val="right"/>
              <w:rPr>
                <w:rFonts w:ascii="Arial" w:eastAsia="Arial Unicode MS" w:hAnsi="Arial" w:cs="Arial"/>
                <w:b/>
                <w:sz w:val="18"/>
                <w:szCs w:val="18"/>
                <w:lang w:val="bg-BG"/>
              </w:rPr>
            </w:pPr>
            <w:r>
              <w:rPr>
                <w:rFonts w:ascii="Arial" w:eastAsia="Arial Unicode MS" w:hAnsi="Arial" w:cs="Arial"/>
                <w:b/>
                <w:sz w:val="18"/>
                <w:szCs w:val="18"/>
                <w:lang w:val="en-GB" w:eastAsia="bg-BG"/>
              </w:rPr>
              <w:t>15,507</w:t>
            </w:r>
          </w:p>
        </w:tc>
      </w:tr>
      <w:tr w:rsidR="00017A0C" w:rsidRPr="00721663" w14:paraId="7A92D27D" w14:textId="77777777" w:rsidTr="00551604">
        <w:trPr>
          <w:trHeight w:hRule="exact" w:val="332"/>
        </w:trPr>
        <w:tc>
          <w:tcPr>
            <w:tcW w:w="2268" w:type="dxa"/>
            <w:tcBorders>
              <w:left w:val="nil"/>
              <w:right w:val="nil"/>
            </w:tcBorders>
            <w:noWrap/>
            <w:vAlign w:val="center"/>
          </w:tcPr>
          <w:p w14:paraId="016617AD" w14:textId="7B81667C" w:rsidR="00017A0C" w:rsidRPr="00721663" w:rsidRDefault="00017A0C" w:rsidP="00017A0C">
            <w:pPr>
              <w:jc w:val="left"/>
              <w:rPr>
                <w:rFonts w:ascii="Arial" w:hAnsi="Arial" w:cs="Arial"/>
                <w:sz w:val="18"/>
                <w:szCs w:val="18"/>
                <w:lang w:val="bg-BG"/>
              </w:rPr>
            </w:pPr>
            <w:r w:rsidRPr="00721663">
              <w:rPr>
                <w:rFonts w:ascii="Arial" w:hAnsi="Arial" w:cs="Arial"/>
                <w:sz w:val="18"/>
                <w:szCs w:val="18"/>
                <w:lang w:val="bg-BG"/>
              </w:rPr>
              <w:t xml:space="preserve">На </w:t>
            </w:r>
            <w:r>
              <w:rPr>
                <w:rFonts w:ascii="Arial" w:hAnsi="Arial" w:cs="Arial"/>
                <w:sz w:val="18"/>
                <w:szCs w:val="18"/>
                <w:lang w:val="bg-BG"/>
              </w:rPr>
              <w:t>31 декември 2016</w:t>
            </w:r>
            <w:r w:rsidRPr="00721663">
              <w:rPr>
                <w:rFonts w:ascii="Arial" w:hAnsi="Arial" w:cs="Arial"/>
                <w:sz w:val="18"/>
                <w:szCs w:val="18"/>
                <w:lang w:val="bg-BG"/>
              </w:rPr>
              <w:t xml:space="preserve"> г.</w:t>
            </w:r>
          </w:p>
        </w:tc>
        <w:tc>
          <w:tcPr>
            <w:tcW w:w="143" w:type="dxa"/>
            <w:tcBorders>
              <w:left w:val="nil"/>
              <w:right w:val="nil"/>
            </w:tcBorders>
            <w:noWrap/>
            <w:vAlign w:val="bottom"/>
          </w:tcPr>
          <w:p w14:paraId="44A709EF" w14:textId="77777777" w:rsidR="00017A0C" w:rsidRPr="00721663" w:rsidRDefault="00017A0C" w:rsidP="00017A0C">
            <w:pPr>
              <w:rPr>
                <w:rFonts w:ascii="Arial" w:eastAsia="Arial Unicode MS" w:hAnsi="Arial" w:cs="Arial"/>
                <w:sz w:val="18"/>
                <w:szCs w:val="18"/>
                <w:lang w:val="bg-BG"/>
              </w:rPr>
            </w:pPr>
          </w:p>
        </w:tc>
        <w:tc>
          <w:tcPr>
            <w:tcW w:w="977" w:type="dxa"/>
            <w:tcBorders>
              <w:left w:val="nil"/>
              <w:bottom w:val="double" w:sz="4" w:space="0" w:color="auto"/>
              <w:right w:val="nil"/>
            </w:tcBorders>
            <w:noWrap/>
            <w:vAlign w:val="center"/>
          </w:tcPr>
          <w:p w14:paraId="5734F79B" w14:textId="3A575938" w:rsidR="00017A0C" w:rsidRPr="00721663" w:rsidRDefault="00017A0C" w:rsidP="00017A0C">
            <w:pPr>
              <w:ind w:right="142"/>
              <w:jc w:val="right"/>
              <w:rPr>
                <w:rFonts w:ascii="Arial" w:eastAsia="Arial Unicode MS" w:hAnsi="Arial" w:cs="Arial"/>
                <w:b/>
                <w:sz w:val="18"/>
                <w:szCs w:val="18"/>
                <w:lang w:val="bg-BG"/>
              </w:rPr>
            </w:pPr>
            <w:r>
              <w:rPr>
                <w:rFonts w:ascii="Arial" w:eastAsia="Arial Unicode MS" w:hAnsi="Arial" w:cs="Arial"/>
                <w:b/>
                <w:sz w:val="18"/>
                <w:szCs w:val="18"/>
                <w:lang w:val="en-GB" w:eastAsia="bg-BG"/>
              </w:rPr>
              <w:t>28</w:t>
            </w:r>
          </w:p>
        </w:tc>
        <w:tc>
          <w:tcPr>
            <w:tcW w:w="142" w:type="dxa"/>
            <w:tcBorders>
              <w:left w:val="nil"/>
              <w:right w:val="nil"/>
            </w:tcBorders>
            <w:vAlign w:val="center"/>
          </w:tcPr>
          <w:p w14:paraId="260BDC30" w14:textId="77777777" w:rsidR="00017A0C" w:rsidRPr="00721663" w:rsidRDefault="00017A0C" w:rsidP="00017A0C">
            <w:pPr>
              <w:jc w:val="right"/>
              <w:rPr>
                <w:rFonts w:ascii="Arial" w:eastAsia="Arial Unicode MS" w:hAnsi="Arial" w:cs="Arial"/>
                <w:b/>
                <w:sz w:val="18"/>
                <w:szCs w:val="18"/>
                <w:lang w:val="bg-BG"/>
              </w:rPr>
            </w:pPr>
          </w:p>
        </w:tc>
        <w:tc>
          <w:tcPr>
            <w:tcW w:w="1148" w:type="dxa"/>
            <w:tcBorders>
              <w:left w:val="nil"/>
              <w:bottom w:val="double" w:sz="4" w:space="0" w:color="auto"/>
              <w:right w:val="nil"/>
            </w:tcBorders>
            <w:vAlign w:val="center"/>
          </w:tcPr>
          <w:p w14:paraId="300ADFFA" w14:textId="4A5AAE7B" w:rsidR="00017A0C" w:rsidRPr="00721663" w:rsidRDefault="00017A0C" w:rsidP="00017A0C">
            <w:pPr>
              <w:ind w:right="142"/>
              <w:jc w:val="right"/>
              <w:rPr>
                <w:rFonts w:ascii="Arial" w:eastAsia="Arial Unicode MS" w:hAnsi="Arial" w:cs="Arial"/>
                <w:b/>
                <w:sz w:val="18"/>
                <w:szCs w:val="18"/>
                <w:lang w:val="bg-BG"/>
              </w:rPr>
            </w:pPr>
            <w:r>
              <w:rPr>
                <w:rFonts w:ascii="Arial" w:eastAsia="Arial Unicode MS" w:hAnsi="Arial" w:cs="Arial"/>
                <w:b/>
                <w:sz w:val="18"/>
                <w:szCs w:val="18"/>
                <w:lang w:val="en-GB" w:eastAsia="bg-BG"/>
              </w:rPr>
              <w:t>15,881</w:t>
            </w:r>
          </w:p>
        </w:tc>
        <w:tc>
          <w:tcPr>
            <w:tcW w:w="142" w:type="dxa"/>
            <w:tcBorders>
              <w:left w:val="nil"/>
              <w:right w:val="nil"/>
            </w:tcBorders>
            <w:vAlign w:val="center"/>
          </w:tcPr>
          <w:p w14:paraId="2C3F38B0" w14:textId="77777777" w:rsidR="00017A0C" w:rsidRPr="00721663" w:rsidRDefault="00017A0C" w:rsidP="00017A0C">
            <w:pPr>
              <w:jc w:val="right"/>
              <w:rPr>
                <w:rFonts w:ascii="Arial" w:eastAsia="Arial Unicode MS" w:hAnsi="Arial" w:cs="Arial"/>
                <w:b/>
                <w:sz w:val="18"/>
                <w:szCs w:val="18"/>
                <w:lang w:val="bg-BG"/>
              </w:rPr>
            </w:pPr>
          </w:p>
        </w:tc>
        <w:tc>
          <w:tcPr>
            <w:tcW w:w="1276" w:type="dxa"/>
            <w:tcBorders>
              <w:left w:val="nil"/>
              <w:bottom w:val="double" w:sz="4" w:space="0" w:color="auto"/>
              <w:right w:val="nil"/>
            </w:tcBorders>
            <w:vAlign w:val="center"/>
          </w:tcPr>
          <w:p w14:paraId="106E7AA0" w14:textId="3F49D2B0" w:rsidR="00017A0C" w:rsidRPr="00721663" w:rsidRDefault="00017A0C" w:rsidP="00017A0C">
            <w:pPr>
              <w:ind w:right="142"/>
              <w:jc w:val="right"/>
              <w:rPr>
                <w:rFonts w:ascii="Arial" w:eastAsia="Arial Unicode MS" w:hAnsi="Arial" w:cs="Arial"/>
                <w:b/>
                <w:sz w:val="18"/>
                <w:szCs w:val="18"/>
                <w:lang w:val="bg-BG"/>
              </w:rPr>
            </w:pPr>
            <w:r>
              <w:rPr>
                <w:rFonts w:ascii="Arial" w:eastAsia="Arial Unicode MS" w:hAnsi="Arial" w:cs="Arial"/>
                <w:b/>
                <w:sz w:val="18"/>
                <w:szCs w:val="18"/>
                <w:lang w:val="en-GB" w:eastAsia="bg-BG"/>
              </w:rPr>
              <w:t>-</w:t>
            </w:r>
          </w:p>
        </w:tc>
        <w:tc>
          <w:tcPr>
            <w:tcW w:w="142" w:type="dxa"/>
            <w:tcBorders>
              <w:left w:val="nil"/>
              <w:right w:val="nil"/>
            </w:tcBorders>
          </w:tcPr>
          <w:p w14:paraId="796318EC" w14:textId="77777777" w:rsidR="00017A0C" w:rsidRPr="00721663" w:rsidRDefault="00017A0C" w:rsidP="00017A0C">
            <w:pPr>
              <w:jc w:val="right"/>
              <w:rPr>
                <w:rFonts w:ascii="Arial" w:eastAsia="Arial Unicode MS" w:hAnsi="Arial" w:cs="Arial"/>
                <w:b/>
                <w:sz w:val="18"/>
                <w:szCs w:val="18"/>
                <w:lang w:val="bg-BG"/>
              </w:rPr>
            </w:pPr>
          </w:p>
        </w:tc>
        <w:tc>
          <w:tcPr>
            <w:tcW w:w="1275" w:type="dxa"/>
            <w:tcBorders>
              <w:top w:val="double" w:sz="4" w:space="0" w:color="auto"/>
              <w:left w:val="nil"/>
              <w:bottom w:val="double" w:sz="4" w:space="0" w:color="auto"/>
              <w:right w:val="nil"/>
            </w:tcBorders>
            <w:vAlign w:val="center"/>
          </w:tcPr>
          <w:p w14:paraId="69C01CE7" w14:textId="2B530A49" w:rsidR="00017A0C" w:rsidRPr="00721663" w:rsidRDefault="00017A0C" w:rsidP="00017A0C">
            <w:pPr>
              <w:ind w:right="142"/>
              <w:jc w:val="right"/>
              <w:rPr>
                <w:rFonts w:ascii="Arial" w:eastAsia="Arial Unicode MS" w:hAnsi="Arial" w:cs="Arial"/>
                <w:b/>
                <w:sz w:val="18"/>
                <w:szCs w:val="18"/>
                <w:lang w:val="bg-BG"/>
              </w:rPr>
            </w:pPr>
            <w:r>
              <w:rPr>
                <w:rFonts w:ascii="Arial" w:eastAsia="Arial Unicode MS" w:hAnsi="Arial" w:cs="Arial"/>
                <w:b/>
                <w:sz w:val="18"/>
                <w:szCs w:val="18"/>
                <w:lang w:val="en-GB" w:eastAsia="bg-BG"/>
              </w:rPr>
              <w:t>-</w:t>
            </w:r>
          </w:p>
        </w:tc>
        <w:tc>
          <w:tcPr>
            <w:tcW w:w="141" w:type="dxa"/>
            <w:tcBorders>
              <w:left w:val="nil"/>
              <w:right w:val="nil"/>
            </w:tcBorders>
            <w:noWrap/>
            <w:vAlign w:val="center"/>
          </w:tcPr>
          <w:p w14:paraId="0A21BDD6" w14:textId="77777777" w:rsidR="00017A0C" w:rsidRPr="00721663" w:rsidRDefault="00017A0C" w:rsidP="00017A0C">
            <w:pPr>
              <w:jc w:val="right"/>
              <w:rPr>
                <w:rFonts w:ascii="Arial" w:eastAsia="Arial Unicode MS" w:hAnsi="Arial" w:cs="Arial"/>
                <w:b/>
                <w:sz w:val="18"/>
                <w:szCs w:val="18"/>
                <w:lang w:val="bg-BG"/>
              </w:rPr>
            </w:pPr>
          </w:p>
        </w:tc>
        <w:tc>
          <w:tcPr>
            <w:tcW w:w="1277" w:type="dxa"/>
            <w:tcBorders>
              <w:left w:val="nil"/>
              <w:bottom w:val="double" w:sz="4" w:space="0" w:color="auto"/>
              <w:right w:val="nil"/>
            </w:tcBorders>
            <w:noWrap/>
            <w:vAlign w:val="center"/>
          </w:tcPr>
          <w:p w14:paraId="4B7C6E25" w14:textId="3E50B0A5" w:rsidR="00017A0C" w:rsidRPr="00721663" w:rsidRDefault="00017A0C" w:rsidP="00017A0C">
            <w:pPr>
              <w:ind w:right="142"/>
              <w:jc w:val="right"/>
              <w:rPr>
                <w:rFonts w:ascii="Arial" w:eastAsia="Arial Unicode MS" w:hAnsi="Arial" w:cs="Arial"/>
                <w:b/>
                <w:sz w:val="18"/>
                <w:szCs w:val="18"/>
                <w:lang w:val="bg-BG"/>
              </w:rPr>
            </w:pPr>
            <w:r>
              <w:rPr>
                <w:rFonts w:ascii="Arial" w:eastAsia="Arial Unicode MS" w:hAnsi="Arial" w:cs="Arial"/>
                <w:b/>
                <w:sz w:val="18"/>
                <w:szCs w:val="18"/>
                <w:lang w:val="en-GB" w:eastAsia="bg-BG"/>
              </w:rPr>
              <w:t>17</w:t>
            </w:r>
          </w:p>
        </w:tc>
        <w:tc>
          <w:tcPr>
            <w:tcW w:w="142" w:type="dxa"/>
            <w:tcBorders>
              <w:left w:val="nil"/>
              <w:right w:val="nil"/>
            </w:tcBorders>
            <w:noWrap/>
            <w:vAlign w:val="center"/>
          </w:tcPr>
          <w:p w14:paraId="7F9A4C24" w14:textId="77777777" w:rsidR="00017A0C" w:rsidRPr="00721663" w:rsidRDefault="00017A0C" w:rsidP="00017A0C">
            <w:pPr>
              <w:jc w:val="right"/>
              <w:rPr>
                <w:rFonts w:ascii="Arial" w:eastAsia="Arial Unicode MS" w:hAnsi="Arial" w:cs="Arial"/>
                <w:b/>
                <w:sz w:val="18"/>
                <w:szCs w:val="18"/>
                <w:lang w:val="bg-BG"/>
              </w:rPr>
            </w:pPr>
          </w:p>
        </w:tc>
        <w:tc>
          <w:tcPr>
            <w:tcW w:w="851" w:type="dxa"/>
            <w:tcBorders>
              <w:left w:val="nil"/>
              <w:bottom w:val="double" w:sz="4" w:space="0" w:color="auto"/>
              <w:right w:val="nil"/>
            </w:tcBorders>
            <w:noWrap/>
            <w:vAlign w:val="center"/>
          </w:tcPr>
          <w:p w14:paraId="5D6804F3" w14:textId="59B9CF2A" w:rsidR="00017A0C" w:rsidRPr="00721663" w:rsidRDefault="00017A0C" w:rsidP="00017A0C">
            <w:pPr>
              <w:ind w:right="142"/>
              <w:jc w:val="right"/>
              <w:rPr>
                <w:rFonts w:ascii="Arial" w:eastAsia="Arial Unicode MS" w:hAnsi="Arial" w:cs="Arial"/>
                <w:b/>
                <w:sz w:val="18"/>
                <w:szCs w:val="18"/>
                <w:lang w:val="bg-BG"/>
              </w:rPr>
            </w:pPr>
            <w:r>
              <w:rPr>
                <w:rFonts w:ascii="Arial" w:eastAsia="Arial Unicode MS" w:hAnsi="Arial" w:cs="Arial"/>
                <w:b/>
                <w:sz w:val="18"/>
                <w:szCs w:val="18"/>
                <w:lang w:val="en-GB" w:eastAsia="bg-BG"/>
              </w:rPr>
              <w:t>15,926</w:t>
            </w:r>
          </w:p>
        </w:tc>
      </w:tr>
      <w:tr w:rsidR="00017A0C" w:rsidRPr="00721663" w14:paraId="07D08303" w14:textId="77777777" w:rsidTr="00551604">
        <w:trPr>
          <w:trHeight w:hRule="exact" w:val="283"/>
        </w:trPr>
        <w:tc>
          <w:tcPr>
            <w:tcW w:w="2268" w:type="dxa"/>
            <w:vMerge w:val="restart"/>
            <w:tcBorders>
              <w:left w:val="nil"/>
              <w:right w:val="nil"/>
            </w:tcBorders>
            <w:noWrap/>
            <w:vAlign w:val="center"/>
          </w:tcPr>
          <w:p w14:paraId="6DA1FB0C" w14:textId="0531B5C2" w:rsidR="00017A0C" w:rsidRPr="00721663" w:rsidRDefault="00017A0C" w:rsidP="00017A0C">
            <w:pPr>
              <w:jc w:val="left"/>
              <w:rPr>
                <w:rFonts w:ascii="Arial" w:hAnsi="Arial" w:cs="Arial"/>
                <w:sz w:val="18"/>
                <w:szCs w:val="18"/>
                <w:lang w:val="bg-BG"/>
              </w:rPr>
            </w:pPr>
            <w:r w:rsidRPr="00721663">
              <w:rPr>
                <w:rFonts w:ascii="Arial" w:hAnsi="Arial" w:cs="Arial"/>
                <w:sz w:val="18"/>
                <w:szCs w:val="18"/>
                <w:lang w:val="bg-BG"/>
              </w:rPr>
              <w:t xml:space="preserve">На 1 януари </w:t>
            </w:r>
            <w:r>
              <w:rPr>
                <w:rFonts w:ascii="Arial" w:hAnsi="Arial" w:cs="Arial"/>
                <w:sz w:val="18"/>
                <w:szCs w:val="18"/>
                <w:lang w:val="bg-BG"/>
              </w:rPr>
              <w:t>2016</w:t>
            </w:r>
            <w:r w:rsidRPr="00721663">
              <w:rPr>
                <w:rFonts w:ascii="Arial" w:hAnsi="Arial" w:cs="Arial"/>
                <w:sz w:val="18"/>
                <w:szCs w:val="18"/>
                <w:lang w:val="bg-BG"/>
              </w:rPr>
              <w:t xml:space="preserve"> г. </w:t>
            </w:r>
          </w:p>
        </w:tc>
        <w:tc>
          <w:tcPr>
            <w:tcW w:w="143" w:type="dxa"/>
            <w:vMerge w:val="restart"/>
            <w:tcBorders>
              <w:left w:val="nil"/>
              <w:right w:val="nil"/>
            </w:tcBorders>
            <w:noWrap/>
            <w:vAlign w:val="bottom"/>
          </w:tcPr>
          <w:p w14:paraId="7A28DC17" w14:textId="77777777" w:rsidR="00017A0C" w:rsidRPr="00721663" w:rsidRDefault="00017A0C" w:rsidP="00017A0C">
            <w:pPr>
              <w:rPr>
                <w:rFonts w:ascii="Arial" w:eastAsia="Arial Unicode MS" w:hAnsi="Arial" w:cs="Arial"/>
                <w:sz w:val="18"/>
                <w:szCs w:val="18"/>
                <w:lang w:val="bg-BG"/>
              </w:rPr>
            </w:pPr>
          </w:p>
        </w:tc>
        <w:tc>
          <w:tcPr>
            <w:tcW w:w="977" w:type="dxa"/>
            <w:tcBorders>
              <w:left w:val="nil"/>
              <w:bottom w:val="double" w:sz="4" w:space="0" w:color="auto"/>
              <w:right w:val="nil"/>
            </w:tcBorders>
            <w:noWrap/>
            <w:vAlign w:val="center"/>
          </w:tcPr>
          <w:p w14:paraId="0C904B61" w14:textId="5CFF88CF" w:rsidR="00017A0C" w:rsidRPr="00721663" w:rsidRDefault="00017A0C" w:rsidP="00017A0C">
            <w:pPr>
              <w:ind w:right="142"/>
              <w:jc w:val="right"/>
              <w:rPr>
                <w:rFonts w:ascii="Arial" w:eastAsia="Arial Unicode MS" w:hAnsi="Arial" w:cs="Arial"/>
                <w:b/>
                <w:sz w:val="18"/>
                <w:szCs w:val="18"/>
                <w:lang w:val="bg-BG"/>
              </w:rPr>
            </w:pPr>
            <w:r>
              <w:rPr>
                <w:rFonts w:ascii="Arial" w:eastAsia="Arial Unicode MS" w:hAnsi="Arial" w:cs="Arial"/>
                <w:b/>
                <w:sz w:val="18"/>
                <w:szCs w:val="18"/>
                <w:lang w:val="en-GB" w:eastAsia="bg-BG"/>
              </w:rPr>
              <w:t>28</w:t>
            </w:r>
          </w:p>
        </w:tc>
        <w:tc>
          <w:tcPr>
            <w:tcW w:w="142" w:type="dxa"/>
            <w:vMerge w:val="restart"/>
            <w:tcBorders>
              <w:left w:val="nil"/>
              <w:right w:val="nil"/>
            </w:tcBorders>
            <w:vAlign w:val="center"/>
          </w:tcPr>
          <w:p w14:paraId="16A886CE" w14:textId="77777777" w:rsidR="00017A0C" w:rsidRPr="00721663" w:rsidRDefault="00017A0C" w:rsidP="00017A0C">
            <w:pPr>
              <w:jc w:val="right"/>
              <w:rPr>
                <w:rFonts w:ascii="Arial" w:eastAsia="Arial Unicode MS" w:hAnsi="Arial" w:cs="Arial"/>
                <w:b/>
                <w:sz w:val="18"/>
                <w:szCs w:val="18"/>
                <w:lang w:val="bg-BG"/>
              </w:rPr>
            </w:pPr>
          </w:p>
        </w:tc>
        <w:tc>
          <w:tcPr>
            <w:tcW w:w="1148" w:type="dxa"/>
            <w:tcBorders>
              <w:left w:val="nil"/>
              <w:bottom w:val="double" w:sz="4" w:space="0" w:color="auto"/>
              <w:right w:val="nil"/>
            </w:tcBorders>
            <w:vAlign w:val="center"/>
          </w:tcPr>
          <w:p w14:paraId="5A485A03" w14:textId="23BFDE2C" w:rsidR="00017A0C" w:rsidRPr="00721663" w:rsidRDefault="00017A0C" w:rsidP="00017A0C">
            <w:pPr>
              <w:ind w:right="142"/>
              <w:jc w:val="right"/>
              <w:rPr>
                <w:rFonts w:ascii="Arial" w:eastAsia="Arial Unicode MS" w:hAnsi="Arial" w:cs="Arial"/>
                <w:b/>
                <w:sz w:val="18"/>
                <w:szCs w:val="18"/>
                <w:lang w:val="bg-BG"/>
              </w:rPr>
            </w:pPr>
            <w:r>
              <w:rPr>
                <w:rFonts w:ascii="Arial" w:eastAsia="Arial Unicode MS" w:hAnsi="Arial" w:cs="Arial"/>
                <w:b/>
                <w:sz w:val="18"/>
                <w:szCs w:val="18"/>
                <w:lang w:val="en-GB" w:eastAsia="bg-BG"/>
              </w:rPr>
              <w:t>16,722</w:t>
            </w:r>
          </w:p>
        </w:tc>
        <w:tc>
          <w:tcPr>
            <w:tcW w:w="142" w:type="dxa"/>
            <w:vMerge w:val="restart"/>
            <w:tcBorders>
              <w:left w:val="nil"/>
              <w:right w:val="nil"/>
            </w:tcBorders>
            <w:vAlign w:val="center"/>
          </w:tcPr>
          <w:p w14:paraId="24B20261" w14:textId="77777777" w:rsidR="00017A0C" w:rsidRPr="00721663" w:rsidRDefault="00017A0C" w:rsidP="00017A0C">
            <w:pPr>
              <w:jc w:val="right"/>
              <w:rPr>
                <w:rFonts w:ascii="Arial" w:eastAsia="Arial Unicode MS" w:hAnsi="Arial" w:cs="Arial"/>
                <w:b/>
                <w:sz w:val="18"/>
                <w:szCs w:val="18"/>
                <w:lang w:val="bg-BG"/>
              </w:rPr>
            </w:pPr>
          </w:p>
        </w:tc>
        <w:tc>
          <w:tcPr>
            <w:tcW w:w="1276" w:type="dxa"/>
            <w:tcBorders>
              <w:left w:val="nil"/>
              <w:bottom w:val="double" w:sz="4" w:space="0" w:color="auto"/>
              <w:right w:val="nil"/>
            </w:tcBorders>
            <w:vAlign w:val="center"/>
          </w:tcPr>
          <w:p w14:paraId="5C11FC2F" w14:textId="2E516E0B" w:rsidR="00017A0C" w:rsidRPr="00721663" w:rsidRDefault="00017A0C" w:rsidP="00017A0C">
            <w:pPr>
              <w:ind w:right="142"/>
              <w:jc w:val="right"/>
              <w:rPr>
                <w:rFonts w:ascii="Arial" w:eastAsia="Arial Unicode MS" w:hAnsi="Arial" w:cs="Arial"/>
                <w:b/>
                <w:sz w:val="18"/>
                <w:szCs w:val="18"/>
                <w:lang w:val="bg-BG"/>
              </w:rPr>
            </w:pPr>
            <w:r>
              <w:rPr>
                <w:rFonts w:ascii="Arial" w:eastAsia="Arial Unicode MS" w:hAnsi="Arial" w:cs="Arial"/>
                <w:b/>
                <w:sz w:val="18"/>
                <w:szCs w:val="18"/>
                <w:lang w:val="en-GB" w:eastAsia="bg-BG"/>
              </w:rPr>
              <w:t>-</w:t>
            </w:r>
          </w:p>
        </w:tc>
        <w:tc>
          <w:tcPr>
            <w:tcW w:w="142" w:type="dxa"/>
            <w:tcBorders>
              <w:left w:val="nil"/>
              <w:right w:val="nil"/>
            </w:tcBorders>
          </w:tcPr>
          <w:p w14:paraId="390472B6" w14:textId="77777777" w:rsidR="00017A0C" w:rsidRPr="00721663" w:rsidRDefault="00017A0C" w:rsidP="00017A0C">
            <w:pPr>
              <w:jc w:val="right"/>
              <w:rPr>
                <w:rFonts w:ascii="Arial" w:eastAsia="Arial Unicode MS" w:hAnsi="Arial" w:cs="Arial"/>
                <w:b/>
                <w:sz w:val="18"/>
                <w:szCs w:val="18"/>
                <w:lang w:val="bg-BG"/>
              </w:rPr>
            </w:pPr>
          </w:p>
        </w:tc>
        <w:tc>
          <w:tcPr>
            <w:tcW w:w="1275" w:type="dxa"/>
            <w:tcBorders>
              <w:top w:val="double" w:sz="4" w:space="0" w:color="auto"/>
              <w:left w:val="nil"/>
              <w:bottom w:val="double" w:sz="4" w:space="0" w:color="auto"/>
              <w:right w:val="nil"/>
            </w:tcBorders>
            <w:vAlign w:val="center"/>
          </w:tcPr>
          <w:p w14:paraId="7AB18F93" w14:textId="2017F677" w:rsidR="00017A0C" w:rsidRPr="00721663" w:rsidRDefault="00017A0C" w:rsidP="00017A0C">
            <w:pPr>
              <w:ind w:right="142"/>
              <w:jc w:val="right"/>
              <w:rPr>
                <w:rFonts w:ascii="Arial" w:eastAsia="Arial Unicode MS" w:hAnsi="Arial" w:cs="Arial"/>
                <w:b/>
                <w:sz w:val="18"/>
                <w:szCs w:val="18"/>
                <w:lang w:val="bg-BG"/>
              </w:rPr>
            </w:pPr>
            <w:r>
              <w:rPr>
                <w:rFonts w:ascii="Arial" w:eastAsia="Arial Unicode MS" w:hAnsi="Arial" w:cs="Arial"/>
                <w:b/>
                <w:sz w:val="18"/>
                <w:szCs w:val="18"/>
                <w:lang w:val="en-GB" w:eastAsia="bg-BG"/>
              </w:rPr>
              <w:t>-</w:t>
            </w:r>
          </w:p>
        </w:tc>
        <w:tc>
          <w:tcPr>
            <w:tcW w:w="141" w:type="dxa"/>
            <w:vMerge w:val="restart"/>
            <w:tcBorders>
              <w:left w:val="nil"/>
              <w:right w:val="nil"/>
            </w:tcBorders>
            <w:noWrap/>
            <w:vAlign w:val="center"/>
          </w:tcPr>
          <w:p w14:paraId="08DDE3FB" w14:textId="77777777" w:rsidR="00017A0C" w:rsidRPr="00721663" w:rsidRDefault="00017A0C" w:rsidP="00017A0C">
            <w:pPr>
              <w:jc w:val="right"/>
              <w:rPr>
                <w:rFonts w:ascii="Arial" w:eastAsia="Arial Unicode MS" w:hAnsi="Arial" w:cs="Arial"/>
                <w:b/>
                <w:sz w:val="18"/>
                <w:szCs w:val="18"/>
                <w:lang w:val="bg-BG"/>
              </w:rPr>
            </w:pPr>
          </w:p>
        </w:tc>
        <w:tc>
          <w:tcPr>
            <w:tcW w:w="1277" w:type="dxa"/>
            <w:tcBorders>
              <w:left w:val="nil"/>
              <w:bottom w:val="double" w:sz="4" w:space="0" w:color="auto"/>
              <w:right w:val="nil"/>
            </w:tcBorders>
            <w:noWrap/>
            <w:vAlign w:val="center"/>
          </w:tcPr>
          <w:p w14:paraId="437FC51D" w14:textId="6E167A4F" w:rsidR="00017A0C" w:rsidRPr="00721663" w:rsidRDefault="00017A0C" w:rsidP="00017A0C">
            <w:pPr>
              <w:ind w:right="142"/>
              <w:jc w:val="right"/>
              <w:rPr>
                <w:rFonts w:ascii="Arial" w:eastAsia="Arial Unicode MS" w:hAnsi="Arial" w:cs="Arial"/>
                <w:b/>
                <w:sz w:val="18"/>
                <w:szCs w:val="18"/>
                <w:lang w:val="bg-BG"/>
              </w:rPr>
            </w:pPr>
            <w:r>
              <w:rPr>
                <w:rFonts w:ascii="Arial" w:eastAsia="Arial Unicode MS" w:hAnsi="Arial" w:cs="Arial"/>
                <w:b/>
                <w:sz w:val="18"/>
                <w:szCs w:val="18"/>
                <w:lang w:val="en-GB" w:eastAsia="bg-BG"/>
              </w:rPr>
              <w:t>17</w:t>
            </w:r>
          </w:p>
        </w:tc>
        <w:tc>
          <w:tcPr>
            <w:tcW w:w="142" w:type="dxa"/>
            <w:vMerge w:val="restart"/>
            <w:tcBorders>
              <w:left w:val="nil"/>
              <w:right w:val="nil"/>
            </w:tcBorders>
            <w:noWrap/>
            <w:vAlign w:val="center"/>
          </w:tcPr>
          <w:p w14:paraId="17B9B477" w14:textId="77777777" w:rsidR="00017A0C" w:rsidRPr="00721663" w:rsidRDefault="00017A0C" w:rsidP="00017A0C">
            <w:pPr>
              <w:jc w:val="right"/>
              <w:rPr>
                <w:rFonts w:ascii="Arial" w:eastAsia="Arial Unicode MS" w:hAnsi="Arial" w:cs="Arial"/>
                <w:b/>
                <w:sz w:val="18"/>
                <w:szCs w:val="18"/>
                <w:lang w:val="bg-BG"/>
              </w:rPr>
            </w:pPr>
          </w:p>
        </w:tc>
        <w:tc>
          <w:tcPr>
            <w:tcW w:w="851" w:type="dxa"/>
            <w:tcBorders>
              <w:left w:val="nil"/>
              <w:bottom w:val="double" w:sz="4" w:space="0" w:color="auto"/>
              <w:right w:val="nil"/>
            </w:tcBorders>
            <w:noWrap/>
            <w:vAlign w:val="center"/>
          </w:tcPr>
          <w:p w14:paraId="4A4D0548" w14:textId="2BDA0F55" w:rsidR="00017A0C" w:rsidRPr="00721663" w:rsidRDefault="00017A0C" w:rsidP="00017A0C">
            <w:pPr>
              <w:ind w:right="142"/>
              <w:jc w:val="right"/>
              <w:rPr>
                <w:rFonts w:ascii="Arial" w:eastAsia="Arial Unicode MS" w:hAnsi="Arial" w:cs="Arial"/>
                <w:b/>
                <w:sz w:val="18"/>
                <w:szCs w:val="18"/>
                <w:lang w:val="bg-BG"/>
              </w:rPr>
            </w:pPr>
            <w:r>
              <w:rPr>
                <w:rFonts w:ascii="Arial" w:eastAsia="Arial Unicode MS" w:hAnsi="Arial" w:cs="Arial"/>
                <w:b/>
                <w:sz w:val="18"/>
                <w:szCs w:val="18"/>
                <w:lang w:val="en-GB" w:eastAsia="bg-BG"/>
              </w:rPr>
              <w:t>16,767</w:t>
            </w:r>
          </w:p>
        </w:tc>
      </w:tr>
      <w:tr w:rsidR="00E07C4E" w:rsidRPr="00721663" w14:paraId="69F0BD16" w14:textId="77777777" w:rsidTr="00551604">
        <w:trPr>
          <w:trHeight w:hRule="exact" w:val="82"/>
        </w:trPr>
        <w:tc>
          <w:tcPr>
            <w:tcW w:w="2268" w:type="dxa"/>
            <w:vMerge/>
            <w:tcBorders>
              <w:left w:val="nil"/>
              <w:right w:val="nil"/>
            </w:tcBorders>
            <w:noWrap/>
            <w:vAlign w:val="center"/>
          </w:tcPr>
          <w:p w14:paraId="653EB41F" w14:textId="77777777" w:rsidR="00E07C4E" w:rsidRPr="00721663" w:rsidRDefault="00E07C4E" w:rsidP="00551604">
            <w:pPr>
              <w:jc w:val="left"/>
              <w:rPr>
                <w:rFonts w:ascii="Arial" w:hAnsi="Arial" w:cs="Arial"/>
                <w:sz w:val="18"/>
                <w:szCs w:val="18"/>
                <w:lang w:val="bg-BG"/>
              </w:rPr>
            </w:pPr>
          </w:p>
        </w:tc>
        <w:tc>
          <w:tcPr>
            <w:tcW w:w="143" w:type="dxa"/>
            <w:vMerge/>
            <w:tcBorders>
              <w:left w:val="nil"/>
              <w:right w:val="nil"/>
            </w:tcBorders>
            <w:noWrap/>
            <w:vAlign w:val="bottom"/>
          </w:tcPr>
          <w:p w14:paraId="319105A5" w14:textId="77777777" w:rsidR="00E07C4E" w:rsidRPr="00721663" w:rsidRDefault="00E07C4E" w:rsidP="00551604">
            <w:pPr>
              <w:rPr>
                <w:rFonts w:ascii="Arial" w:eastAsia="Arial Unicode MS" w:hAnsi="Arial" w:cs="Arial"/>
                <w:sz w:val="18"/>
                <w:szCs w:val="18"/>
                <w:lang w:val="bg-BG"/>
              </w:rPr>
            </w:pPr>
          </w:p>
        </w:tc>
        <w:tc>
          <w:tcPr>
            <w:tcW w:w="977" w:type="dxa"/>
            <w:tcBorders>
              <w:top w:val="double" w:sz="4" w:space="0" w:color="auto"/>
              <w:left w:val="nil"/>
              <w:right w:val="nil"/>
            </w:tcBorders>
            <w:noWrap/>
            <w:vAlign w:val="center"/>
          </w:tcPr>
          <w:p w14:paraId="23925280" w14:textId="77777777" w:rsidR="00E07C4E" w:rsidRPr="00721663" w:rsidRDefault="00E07C4E" w:rsidP="00551604">
            <w:pPr>
              <w:ind w:right="142"/>
              <w:jc w:val="right"/>
              <w:rPr>
                <w:rFonts w:ascii="Arial" w:eastAsia="Arial Unicode MS" w:hAnsi="Arial" w:cs="Arial"/>
                <w:sz w:val="18"/>
                <w:szCs w:val="18"/>
                <w:lang w:val="bg-BG"/>
              </w:rPr>
            </w:pPr>
          </w:p>
        </w:tc>
        <w:tc>
          <w:tcPr>
            <w:tcW w:w="142" w:type="dxa"/>
            <w:vMerge/>
            <w:tcBorders>
              <w:left w:val="nil"/>
              <w:right w:val="nil"/>
            </w:tcBorders>
            <w:vAlign w:val="center"/>
          </w:tcPr>
          <w:p w14:paraId="3F73BDE2" w14:textId="77777777" w:rsidR="00E07C4E" w:rsidRPr="00721663" w:rsidRDefault="00E07C4E" w:rsidP="00551604">
            <w:pPr>
              <w:jc w:val="right"/>
              <w:rPr>
                <w:rFonts w:ascii="Arial" w:eastAsia="Arial Unicode MS" w:hAnsi="Arial" w:cs="Arial"/>
                <w:sz w:val="18"/>
                <w:szCs w:val="18"/>
                <w:lang w:val="bg-BG"/>
              </w:rPr>
            </w:pPr>
          </w:p>
        </w:tc>
        <w:tc>
          <w:tcPr>
            <w:tcW w:w="1148" w:type="dxa"/>
            <w:tcBorders>
              <w:top w:val="double" w:sz="4" w:space="0" w:color="auto"/>
              <w:left w:val="nil"/>
              <w:right w:val="nil"/>
            </w:tcBorders>
            <w:vAlign w:val="center"/>
          </w:tcPr>
          <w:p w14:paraId="56486895" w14:textId="77777777" w:rsidR="00E07C4E" w:rsidRPr="00721663" w:rsidRDefault="00E07C4E" w:rsidP="00551604">
            <w:pPr>
              <w:ind w:right="142"/>
              <w:jc w:val="right"/>
              <w:rPr>
                <w:rFonts w:ascii="Arial" w:eastAsia="Arial Unicode MS" w:hAnsi="Arial" w:cs="Arial"/>
                <w:sz w:val="18"/>
                <w:szCs w:val="18"/>
                <w:lang w:val="bg-BG"/>
              </w:rPr>
            </w:pPr>
          </w:p>
        </w:tc>
        <w:tc>
          <w:tcPr>
            <w:tcW w:w="142" w:type="dxa"/>
            <w:vMerge/>
            <w:tcBorders>
              <w:left w:val="nil"/>
              <w:right w:val="nil"/>
            </w:tcBorders>
            <w:vAlign w:val="center"/>
          </w:tcPr>
          <w:p w14:paraId="32E10208" w14:textId="77777777" w:rsidR="00E07C4E" w:rsidRPr="00721663" w:rsidRDefault="00E07C4E" w:rsidP="00551604">
            <w:pPr>
              <w:jc w:val="right"/>
              <w:rPr>
                <w:rFonts w:ascii="Arial" w:eastAsia="Arial Unicode MS" w:hAnsi="Arial" w:cs="Arial"/>
                <w:sz w:val="18"/>
                <w:szCs w:val="18"/>
                <w:lang w:val="bg-BG"/>
              </w:rPr>
            </w:pPr>
          </w:p>
        </w:tc>
        <w:tc>
          <w:tcPr>
            <w:tcW w:w="1276" w:type="dxa"/>
            <w:tcBorders>
              <w:top w:val="double" w:sz="4" w:space="0" w:color="auto"/>
              <w:left w:val="nil"/>
              <w:right w:val="nil"/>
            </w:tcBorders>
            <w:vAlign w:val="center"/>
          </w:tcPr>
          <w:p w14:paraId="7D17C7F1" w14:textId="77777777" w:rsidR="00E07C4E" w:rsidRPr="00721663" w:rsidRDefault="00E07C4E" w:rsidP="00551604">
            <w:pPr>
              <w:ind w:right="142"/>
              <w:jc w:val="right"/>
              <w:rPr>
                <w:rFonts w:ascii="Arial" w:eastAsia="Arial Unicode MS" w:hAnsi="Arial" w:cs="Arial"/>
                <w:sz w:val="18"/>
                <w:szCs w:val="18"/>
                <w:lang w:val="bg-BG"/>
              </w:rPr>
            </w:pPr>
          </w:p>
        </w:tc>
        <w:tc>
          <w:tcPr>
            <w:tcW w:w="142" w:type="dxa"/>
            <w:tcBorders>
              <w:left w:val="nil"/>
              <w:right w:val="nil"/>
            </w:tcBorders>
          </w:tcPr>
          <w:p w14:paraId="145E5CFE" w14:textId="77777777" w:rsidR="00E07C4E" w:rsidRPr="00721663" w:rsidRDefault="00E07C4E" w:rsidP="00551604">
            <w:pPr>
              <w:jc w:val="right"/>
              <w:rPr>
                <w:rFonts w:ascii="Arial" w:eastAsia="Arial Unicode MS" w:hAnsi="Arial" w:cs="Arial"/>
                <w:sz w:val="18"/>
                <w:szCs w:val="18"/>
                <w:lang w:val="bg-BG"/>
              </w:rPr>
            </w:pPr>
          </w:p>
        </w:tc>
        <w:tc>
          <w:tcPr>
            <w:tcW w:w="1275" w:type="dxa"/>
            <w:tcBorders>
              <w:top w:val="double" w:sz="4" w:space="0" w:color="auto"/>
              <w:left w:val="nil"/>
              <w:right w:val="nil"/>
            </w:tcBorders>
          </w:tcPr>
          <w:p w14:paraId="03223A3E" w14:textId="77777777" w:rsidR="00E07C4E" w:rsidRPr="00721663" w:rsidRDefault="00E07C4E" w:rsidP="00551604">
            <w:pPr>
              <w:jc w:val="right"/>
              <w:rPr>
                <w:rFonts w:ascii="Arial" w:eastAsia="Arial Unicode MS" w:hAnsi="Arial" w:cs="Arial"/>
                <w:sz w:val="18"/>
                <w:szCs w:val="18"/>
                <w:lang w:val="bg-BG"/>
              </w:rPr>
            </w:pPr>
          </w:p>
        </w:tc>
        <w:tc>
          <w:tcPr>
            <w:tcW w:w="141" w:type="dxa"/>
            <w:vMerge/>
            <w:tcBorders>
              <w:left w:val="nil"/>
              <w:right w:val="nil"/>
            </w:tcBorders>
            <w:noWrap/>
            <w:vAlign w:val="center"/>
          </w:tcPr>
          <w:p w14:paraId="53211851" w14:textId="77777777" w:rsidR="00E07C4E" w:rsidRPr="00721663" w:rsidRDefault="00E07C4E" w:rsidP="00551604">
            <w:pPr>
              <w:jc w:val="right"/>
              <w:rPr>
                <w:rFonts w:ascii="Arial" w:eastAsia="Arial Unicode MS" w:hAnsi="Arial" w:cs="Arial"/>
                <w:sz w:val="18"/>
                <w:szCs w:val="18"/>
                <w:lang w:val="bg-BG"/>
              </w:rPr>
            </w:pPr>
          </w:p>
        </w:tc>
        <w:tc>
          <w:tcPr>
            <w:tcW w:w="1277" w:type="dxa"/>
            <w:tcBorders>
              <w:top w:val="double" w:sz="4" w:space="0" w:color="auto"/>
              <w:left w:val="nil"/>
              <w:right w:val="nil"/>
            </w:tcBorders>
            <w:noWrap/>
            <w:vAlign w:val="center"/>
          </w:tcPr>
          <w:p w14:paraId="37AEB352" w14:textId="77777777" w:rsidR="00E07C4E" w:rsidRPr="00721663" w:rsidRDefault="00E07C4E" w:rsidP="00551604">
            <w:pPr>
              <w:ind w:right="142"/>
              <w:jc w:val="right"/>
              <w:rPr>
                <w:rFonts w:ascii="Arial" w:eastAsia="Arial Unicode MS" w:hAnsi="Arial" w:cs="Arial"/>
                <w:sz w:val="18"/>
                <w:szCs w:val="18"/>
                <w:lang w:val="bg-BG"/>
              </w:rPr>
            </w:pPr>
          </w:p>
        </w:tc>
        <w:tc>
          <w:tcPr>
            <w:tcW w:w="142" w:type="dxa"/>
            <w:vMerge/>
            <w:tcBorders>
              <w:left w:val="nil"/>
              <w:right w:val="nil"/>
            </w:tcBorders>
            <w:noWrap/>
            <w:vAlign w:val="center"/>
          </w:tcPr>
          <w:p w14:paraId="44221DBE" w14:textId="77777777" w:rsidR="00E07C4E" w:rsidRPr="00721663" w:rsidRDefault="00E07C4E" w:rsidP="00551604">
            <w:pPr>
              <w:jc w:val="right"/>
              <w:rPr>
                <w:rFonts w:ascii="Arial" w:eastAsia="Arial Unicode MS" w:hAnsi="Arial" w:cs="Arial"/>
                <w:sz w:val="18"/>
                <w:szCs w:val="18"/>
                <w:lang w:val="bg-BG"/>
              </w:rPr>
            </w:pPr>
          </w:p>
        </w:tc>
        <w:tc>
          <w:tcPr>
            <w:tcW w:w="851" w:type="dxa"/>
            <w:tcBorders>
              <w:top w:val="double" w:sz="4" w:space="0" w:color="auto"/>
              <w:left w:val="nil"/>
              <w:right w:val="nil"/>
            </w:tcBorders>
            <w:noWrap/>
            <w:vAlign w:val="center"/>
          </w:tcPr>
          <w:p w14:paraId="6BDBCA67" w14:textId="77777777" w:rsidR="00E07C4E" w:rsidRPr="00721663" w:rsidRDefault="00E07C4E" w:rsidP="00551604">
            <w:pPr>
              <w:ind w:right="142"/>
              <w:jc w:val="right"/>
              <w:rPr>
                <w:rFonts w:ascii="Arial" w:eastAsia="Arial Unicode MS" w:hAnsi="Arial" w:cs="Arial"/>
                <w:sz w:val="18"/>
                <w:szCs w:val="18"/>
                <w:lang w:val="bg-BG"/>
              </w:rPr>
            </w:pPr>
          </w:p>
        </w:tc>
      </w:tr>
    </w:tbl>
    <w:p w14:paraId="5392F5F1" w14:textId="77777777" w:rsidR="00E07C4E" w:rsidRPr="00721663" w:rsidRDefault="00E07C4E" w:rsidP="00E07C4E">
      <w:pPr>
        <w:spacing w:before="120" w:after="120"/>
        <w:jc w:val="left"/>
        <w:rPr>
          <w:rFonts w:ascii="Arial" w:hAnsi="Arial" w:cs="Arial"/>
          <w:sz w:val="18"/>
          <w:szCs w:val="18"/>
          <w:lang w:val="bg-BG"/>
        </w:rPr>
      </w:pPr>
      <w:r w:rsidRPr="00721663">
        <w:rPr>
          <w:rFonts w:ascii="Arial" w:hAnsi="Arial" w:cs="Arial"/>
          <w:sz w:val="18"/>
          <w:szCs w:val="18"/>
          <w:lang w:val="bg-BG"/>
        </w:rPr>
        <w:t>През април 2010 г., ВГЕ 1 ЕООД купува два поземлени имота с обща площ 13,000 кв.м. за сумата от 4 хил. лв. в. с. Пролез, Община Шабла (Варненска област), върху които е изграден ветрогенератор.</w:t>
      </w:r>
    </w:p>
    <w:p w14:paraId="47F20F8B" w14:textId="77777777" w:rsidR="00E07C4E" w:rsidRPr="00721663" w:rsidRDefault="00E07C4E" w:rsidP="00E07C4E">
      <w:pPr>
        <w:spacing w:after="120"/>
        <w:jc w:val="left"/>
        <w:rPr>
          <w:rFonts w:ascii="Arial" w:hAnsi="Arial" w:cs="Arial"/>
          <w:sz w:val="18"/>
          <w:szCs w:val="18"/>
          <w:lang w:val="bg-BG"/>
        </w:rPr>
      </w:pPr>
      <w:r w:rsidRPr="00721663">
        <w:rPr>
          <w:rFonts w:ascii="Arial" w:hAnsi="Arial" w:cs="Arial"/>
          <w:sz w:val="18"/>
          <w:szCs w:val="18"/>
          <w:lang w:val="bg-BG"/>
        </w:rPr>
        <w:t>На 28 ноември 2008 г., Шабла Енерджи ЕООД закупува поземлен имот с обща площ 10,336 кв.м. за сумата от 20 хил. лв. в с. Пролез, Община Шабла (Варненска област), върху който е  изграден ветрогенератор.</w:t>
      </w:r>
    </w:p>
    <w:p w14:paraId="2C4B1E0A" w14:textId="77777777" w:rsidR="00E07C4E" w:rsidRPr="00721663" w:rsidRDefault="00E07C4E" w:rsidP="00E07C4E">
      <w:pPr>
        <w:spacing w:after="120"/>
        <w:jc w:val="left"/>
        <w:rPr>
          <w:rFonts w:ascii="Arial" w:hAnsi="Arial" w:cs="Arial"/>
          <w:sz w:val="18"/>
          <w:szCs w:val="18"/>
          <w:lang w:val="bg-BG"/>
        </w:rPr>
      </w:pPr>
      <w:r w:rsidRPr="00721663">
        <w:rPr>
          <w:rFonts w:ascii="Arial" w:hAnsi="Arial" w:cs="Arial"/>
          <w:sz w:val="18"/>
          <w:szCs w:val="18"/>
          <w:lang w:val="bg-BG"/>
        </w:rPr>
        <w:t>През април 2010 г., Еко Ветро Енерджи ЕООД закупува два поземлени имота с обща площ 15 000 кв.м. за сумата от 4 хил. лв. в с. Пролез, Община Шабла (Варненска област), върху които е изграден ветрогенератор.</w:t>
      </w:r>
    </w:p>
    <w:p w14:paraId="58CC379A" w14:textId="77777777" w:rsidR="00E07C4E" w:rsidRPr="00721663" w:rsidRDefault="00E07C4E" w:rsidP="00E07C4E">
      <w:pPr>
        <w:spacing w:after="120"/>
        <w:jc w:val="left"/>
        <w:rPr>
          <w:rFonts w:ascii="Arial" w:hAnsi="Arial" w:cs="Arial"/>
          <w:sz w:val="18"/>
          <w:szCs w:val="18"/>
          <w:lang w:val="bg-BG"/>
        </w:rPr>
      </w:pPr>
      <w:r w:rsidRPr="00721663">
        <w:rPr>
          <w:rFonts w:ascii="Arial" w:hAnsi="Arial" w:cs="Arial"/>
          <w:sz w:val="18"/>
          <w:szCs w:val="18"/>
          <w:lang w:val="bg-BG"/>
        </w:rPr>
        <w:t>През ноември 2010 г. Групата придобива три малки ветрогенератора (тип Вестас V90 3.0.MW) на обща стойност 20,987 хил. лева, конструирани от Вестас Консорциум. Активите започват да произвеждат електричество на 1 декември 2010 г.</w:t>
      </w:r>
    </w:p>
    <w:p w14:paraId="2D7E0436" w14:textId="405B2295" w:rsidR="00E07C4E" w:rsidRPr="00721663" w:rsidRDefault="00E07C4E" w:rsidP="00E07C4E">
      <w:pPr>
        <w:autoSpaceDE w:val="0"/>
        <w:autoSpaceDN w:val="0"/>
        <w:adjustRightInd w:val="0"/>
        <w:spacing w:after="120"/>
        <w:jc w:val="left"/>
        <w:rPr>
          <w:rFonts w:ascii="Arial" w:hAnsi="Arial" w:cs="Arial"/>
          <w:sz w:val="18"/>
          <w:szCs w:val="18"/>
          <w:lang w:val="bg-BG"/>
        </w:rPr>
      </w:pPr>
      <w:r w:rsidRPr="00721663">
        <w:rPr>
          <w:rFonts w:ascii="Arial" w:hAnsi="Arial" w:cs="Arial"/>
          <w:sz w:val="18"/>
          <w:szCs w:val="18"/>
          <w:lang w:val="bg-BG"/>
        </w:rPr>
        <w:t xml:space="preserve">Към </w:t>
      </w:r>
      <w:r w:rsidR="00144930">
        <w:rPr>
          <w:rFonts w:ascii="Arial" w:hAnsi="Arial" w:cs="Arial"/>
          <w:sz w:val="18"/>
          <w:szCs w:val="18"/>
          <w:lang w:val="bg-BG"/>
        </w:rPr>
        <w:t>30 юни 2017</w:t>
      </w:r>
      <w:r w:rsidRPr="00551604">
        <w:rPr>
          <w:rFonts w:ascii="Arial" w:hAnsi="Arial" w:cs="Arial"/>
          <w:sz w:val="18"/>
          <w:szCs w:val="18"/>
          <w:lang w:val="bg-BG"/>
        </w:rPr>
        <w:t xml:space="preserve"> г., Групата притежава дълготрайни материални активи в процес на изграждане в размер на 17 хиляди лева (</w:t>
      </w:r>
      <w:r w:rsidR="00144930">
        <w:rPr>
          <w:rFonts w:ascii="Arial" w:hAnsi="Arial" w:cs="Arial"/>
          <w:sz w:val="18"/>
          <w:szCs w:val="18"/>
          <w:lang w:val="bg-BG"/>
        </w:rPr>
        <w:t>31 декември 2016</w:t>
      </w:r>
      <w:r w:rsidRPr="00551604">
        <w:rPr>
          <w:rFonts w:ascii="Arial" w:hAnsi="Arial" w:cs="Arial"/>
          <w:sz w:val="18"/>
          <w:szCs w:val="18"/>
          <w:lang w:val="bg-BG"/>
        </w:rPr>
        <w:t xml:space="preserve"> г.: 17</w:t>
      </w:r>
      <w:r w:rsidRPr="00721663">
        <w:rPr>
          <w:rFonts w:ascii="Arial" w:hAnsi="Arial" w:cs="Arial"/>
          <w:sz w:val="18"/>
          <w:szCs w:val="18"/>
          <w:lang w:val="bg-BG"/>
        </w:rPr>
        <w:t xml:space="preserve"> хил. лв.), които се състоят от нотариални и държавни такси (13 хил. лв.) и договорно право за използване на парцели за период от 25 години (4 хил. лв.).</w:t>
      </w:r>
    </w:p>
    <w:p w14:paraId="5674495B" w14:textId="77777777" w:rsidR="00E07C4E" w:rsidRPr="00721663" w:rsidRDefault="00E07C4E" w:rsidP="00E07C4E">
      <w:pPr>
        <w:spacing w:after="120"/>
        <w:jc w:val="left"/>
        <w:rPr>
          <w:rFonts w:ascii="Arial" w:hAnsi="Arial" w:cs="Arial"/>
          <w:sz w:val="18"/>
          <w:szCs w:val="18"/>
          <w:lang w:val="bg-BG"/>
        </w:rPr>
      </w:pPr>
      <w:r w:rsidRPr="00721663">
        <w:rPr>
          <w:rFonts w:ascii="Arial" w:hAnsi="Arial" w:cs="Arial"/>
          <w:sz w:val="18"/>
          <w:szCs w:val="18"/>
          <w:lang w:val="bg-BG"/>
        </w:rPr>
        <w:t>Полезният живот на активите е оценен, както следва:</w:t>
      </w:r>
    </w:p>
    <w:p w14:paraId="5030B836" w14:textId="7817CC86" w:rsidR="00680E2F" w:rsidRDefault="00E07C4E" w:rsidP="00680E2F">
      <w:pPr>
        <w:spacing w:after="120"/>
        <w:jc w:val="left"/>
        <w:rPr>
          <w:rFonts w:ascii="Arial" w:hAnsi="Arial" w:cs="Arial"/>
          <w:sz w:val="18"/>
          <w:szCs w:val="18"/>
          <w:lang w:val="bg-BG"/>
        </w:rPr>
      </w:pPr>
      <w:r w:rsidRPr="00721663">
        <w:rPr>
          <w:rFonts w:ascii="Arial" w:hAnsi="Arial" w:cs="Arial"/>
          <w:sz w:val="18"/>
          <w:szCs w:val="18"/>
          <w:lang w:val="bg-BG"/>
        </w:rPr>
        <w:t>Машини и съоръжения - 25 години; автомобили - 4 години; компютърно оборудване - 2 години; земя – не се амортизира.</w:t>
      </w:r>
      <w:r w:rsidR="00680E2F">
        <w:rPr>
          <w:rFonts w:ascii="Arial" w:hAnsi="Arial" w:cs="Arial"/>
          <w:sz w:val="18"/>
          <w:szCs w:val="18"/>
          <w:lang w:val="bg-BG"/>
        </w:rPr>
        <w:br w:type="page"/>
      </w:r>
    </w:p>
    <w:p w14:paraId="57EA5897" w14:textId="77777777" w:rsidR="00017A0C" w:rsidRPr="009B0F52" w:rsidRDefault="00017A0C" w:rsidP="00017A0C">
      <w:pPr>
        <w:spacing w:after="120"/>
      </w:pPr>
      <w:r w:rsidRPr="009B0F52">
        <w:rPr>
          <w:rFonts w:ascii="Arial" w:hAnsi="Arial" w:cs="Arial"/>
          <w:b/>
          <w:lang w:val="bg-BG"/>
        </w:rPr>
        <w:t xml:space="preserve">7. Имоти, машини и съоръжения </w:t>
      </w:r>
      <w:r w:rsidRPr="009451E6">
        <w:rPr>
          <w:rFonts w:ascii="Arial" w:hAnsi="Arial" w:cs="Arial"/>
          <w:b/>
          <w:lang w:val="bg-BG"/>
        </w:rPr>
        <w:t>(продължение)</w:t>
      </w:r>
    </w:p>
    <w:p w14:paraId="184579BE" w14:textId="77777777" w:rsidR="00E07C4E" w:rsidRPr="00721663" w:rsidRDefault="00E07C4E" w:rsidP="00E07C4E">
      <w:pPr>
        <w:spacing w:after="120"/>
        <w:jc w:val="left"/>
        <w:rPr>
          <w:rFonts w:ascii="Arial" w:hAnsi="Arial" w:cs="Arial"/>
          <w:sz w:val="18"/>
          <w:szCs w:val="18"/>
          <w:lang w:val="bg-BG"/>
        </w:rPr>
      </w:pPr>
      <w:r w:rsidRPr="00721663">
        <w:rPr>
          <w:rFonts w:ascii="Arial" w:hAnsi="Arial" w:cs="Arial"/>
          <w:sz w:val="18"/>
          <w:szCs w:val="18"/>
          <w:lang w:val="bg-BG"/>
        </w:rPr>
        <w:t>С изключение на натрупаните разходи за придобиване на дълготрайни материални активи не е призната обезценка на дълготрайните активи, тъй като няма индикации, че балансовата стойност на активите на Групата превишава тяхната възстановима стойност.</w:t>
      </w:r>
    </w:p>
    <w:p w14:paraId="35B1BAD8" w14:textId="5F2391AF" w:rsidR="00E07C4E" w:rsidRPr="00721663" w:rsidRDefault="00E07C4E" w:rsidP="00E07C4E">
      <w:pPr>
        <w:spacing w:before="120" w:after="120"/>
        <w:jc w:val="left"/>
        <w:rPr>
          <w:rFonts w:ascii="Arial" w:hAnsi="Arial" w:cs="Arial"/>
          <w:sz w:val="18"/>
          <w:szCs w:val="18"/>
          <w:lang w:val="bg-BG"/>
        </w:rPr>
      </w:pPr>
      <w:r w:rsidRPr="00721663">
        <w:rPr>
          <w:rFonts w:ascii="Arial" w:hAnsi="Arial" w:cs="Arial"/>
          <w:sz w:val="18"/>
          <w:szCs w:val="18"/>
          <w:lang w:val="bg-BG"/>
        </w:rPr>
        <w:t xml:space="preserve">Към </w:t>
      </w:r>
      <w:r w:rsidR="00144930">
        <w:rPr>
          <w:rFonts w:ascii="Arial" w:hAnsi="Arial" w:cs="Arial"/>
          <w:sz w:val="18"/>
          <w:szCs w:val="18"/>
          <w:lang w:val="bg-BG"/>
        </w:rPr>
        <w:t>30 юни 2017</w:t>
      </w:r>
      <w:r w:rsidRPr="00721663">
        <w:rPr>
          <w:rFonts w:ascii="Arial" w:hAnsi="Arial" w:cs="Arial"/>
          <w:sz w:val="18"/>
          <w:szCs w:val="18"/>
          <w:lang w:val="bg-BG"/>
        </w:rPr>
        <w:t xml:space="preserve"> г. и </w:t>
      </w:r>
      <w:r w:rsidR="00144930">
        <w:rPr>
          <w:rFonts w:ascii="Arial" w:hAnsi="Arial" w:cs="Arial"/>
          <w:sz w:val="18"/>
          <w:szCs w:val="18"/>
          <w:lang w:val="bg-BG"/>
        </w:rPr>
        <w:t>31 декември 2016</w:t>
      </w:r>
      <w:r w:rsidRPr="00721663">
        <w:rPr>
          <w:rFonts w:ascii="Arial" w:hAnsi="Arial" w:cs="Arial"/>
          <w:sz w:val="18"/>
          <w:szCs w:val="18"/>
          <w:lang w:val="bg-BG"/>
        </w:rPr>
        <w:t xml:space="preserve"> г. дълготрайните активи на Групата са заложени в полза на Демир</w:t>
      </w:r>
      <w:r>
        <w:rPr>
          <w:rFonts w:ascii="Arial" w:hAnsi="Arial" w:cs="Arial"/>
          <w:sz w:val="18"/>
          <w:szCs w:val="18"/>
          <w:lang w:val="bg-BG"/>
        </w:rPr>
        <w:t xml:space="preserve"> </w:t>
      </w:r>
      <w:r w:rsidRPr="00721663">
        <w:rPr>
          <w:rFonts w:ascii="Arial" w:hAnsi="Arial" w:cs="Arial"/>
          <w:sz w:val="18"/>
          <w:szCs w:val="18"/>
          <w:lang w:val="bg-BG"/>
        </w:rPr>
        <w:t>Халк Банк (бележка 9).</w:t>
      </w:r>
    </w:p>
    <w:p w14:paraId="7E59CC67" w14:textId="77777777" w:rsidR="00E07C4E" w:rsidRPr="00721663" w:rsidRDefault="00E07C4E" w:rsidP="00E07C4E">
      <w:pPr>
        <w:pStyle w:val="Heading1"/>
      </w:pPr>
      <w:bookmarkStart w:id="34" w:name="_Toc490647400"/>
      <w:bookmarkStart w:id="35" w:name="_Toc131333690"/>
      <w:bookmarkStart w:id="36" w:name="_Toc131333691"/>
      <w:bookmarkStart w:id="37" w:name="_Toc156219596"/>
      <w:bookmarkStart w:id="38" w:name="_Toc41821586"/>
      <w:r w:rsidRPr="00721663">
        <w:t>8. Бизнес комбинация</w:t>
      </w:r>
      <w:bookmarkEnd w:id="34"/>
    </w:p>
    <w:p w14:paraId="560386C0" w14:textId="77777777" w:rsidR="00E07C4E" w:rsidRPr="00721663" w:rsidRDefault="00E07C4E" w:rsidP="00E07C4E">
      <w:pPr>
        <w:pStyle w:val="Notesbodytext"/>
        <w:spacing w:line="240" w:lineRule="atLeast"/>
        <w:rPr>
          <w:rFonts w:ascii="Arial" w:hAnsi="Arial"/>
          <w:b/>
          <w:lang w:val="bg-BG"/>
        </w:rPr>
      </w:pPr>
      <w:r w:rsidRPr="00721663">
        <w:rPr>
          <w:rFonts w:ascii="Arial" w:hAnsi="Arial"/>
          <w:b/>
          <w:lang w:val="bg-BG"/>
        </w:rPr>
        <w:t>Придобиване на Шабла Енерджи ЕООД  и Еко Ветро Енерджи ЕООД</w:t>
      </w:r>
    </w:p>
    <w:p w14:paraId="60554CFD" w14:textId="77777777" w:rsidR="00E07C4E" w:rsidRPr="00721663" w:rsidRDefault="00E07C4E" w:rsidP="00E07C4E">
      <w:pPr>
        <w:pStyle w:val="Notesbodytext"/>
        <w:spacing w:line="240" w:lineRule="atLeast"/>
        <w:rPr>
          <w:rFonts w:ascii="Arial" w:hAnsi="Arial"/>
          <w:lang w:val="bg-BG"/>
        </w:rPr>
      </w:pPr>
      <w:r w:rsidRPr="00721663">
        <w:rPr>
          <w:rFonts w:ascii="Arial" w:hAnsi="Arial"/>
          <w:lang w:val="bg-BG"/>
        </w:rPr>
        <w:t>На 7 юни 2010 г. ВГЕ-1 ЕООД придобива 100% от дяловете на Шабла Енерджи ЕООД  и Еко Ветро Енерджи ЕООД.</w:t>
      </w:r>
    </w:p>
    <w:p w14:paraId="43776C90" w14:textId="77777777" w:rsidR="00E07C4E" w:rsidRPr="00721663" w:rsidRDefault="00E07C4E" w:rsidP="00E07C4E">
      <w:pPr>
        <w:spacing w:after="120"/>
        <w:jc w:val="left"/>
        <w:rPr>
          <w:rFonts w:ascii="Arial" w:hAnsi="Arial" w:cs="Arial"/>
          <w:sz w:val="18"/>
          <w:szCs w:val="18"/>
          <w:lang w:val="bg-BG"/>
        </w:rPr>
      </w:pPr>
      <w:r w:rsidRPr="00721663">
        <w:rPr>
          <w:rFonts w:ascii="Arial" w:hAnsi="Arial" w:cs="Arial"/>
          <w:sz w:val="18"/>
          <w:szCs w:val="18"/>
          <w:lang w:val="bg-BG"/>
        </w:rPr>
        <w:t>Подробности за справедливите стойности на придобитите нетни активи, репутацията, възникнала при придобиването, и платеното възнаграждения са представени по-долу:</w:t>
      </w:r>
    </w:p>
    <w:tbl>
      <w:tblPr>
        <w:tblW w:w="8946" w:type="dxa"/>
        <w:tblInd w:w="93" w:type="dxa"/>
        <w:tblLook w:val="0000" w:firstRow="0" w:lastRow="0" w:firstColumn="0" w:lastColumn="0" w:noHBand="0" w:noVBand="0"/>
      </w:tblPr>
      <w:tblGrid>
        <w:gridCol w:w="5118"/>
        <w:gridCol w:w="284"/>
        <w:gridCol w:w="1559"/>
        <w:gridCol w:w="284"/>
        <w:gridCol w:w="1701"/>
      </w:tblGrid>
      <w:tr w:rsidR="00E07C4E" w:rsidRPr="00721663" w14:paraId="35E3BC69" w14:textId="77777777" w:rsidTr="00551604">
        <w:trPr>
          <w:trHeight w:val="255"/>
        </w:trPr>
        <w:tc>
          <w:tcPr>
            <w:tcW w:w="5118" w:type="dxa"/>
            <w:shd w:val="clear" w:color="auto" w:fill="auto"/>
            <w:noWrap/>
          </w:tcPr>
          <w:p w14:paraId="578CA44E" w14:textId="77777777" w:rsidR="00E07C4E" w:rsidRPr="00721663" w:rsidRDefault="00E07C4E" w:rsidP="00551604">
            <w:pPr>
              <w:spacing w:before="60" w:after="40" w:line="240" w:lineRule="auto"/>
              <w:rPr>
                <w:i/>
                <w:sz w:val="22"/>
                <w:szCs w:val="22"/>
                <w:lang w:val="bg-BG"/>
              </w:rPr>
            </w:pPr>
          </w:p>
        </w:tc>
        <w:tc>
          <w:tcPr>
            <w:tcW w:w="284" w:type="dxa"/>
            <w:shd w:val="clear" w:color="auto" w:fill="auto"/>
            <w:noWrap/>
            <w:vAlign w:val="bottom"/>
          </w:tcPr>
          <w:p w14:paraId="498835ED" w14:textId="77777777" w:rsidR="00E07C4E" w:rsidRPr="00721663" w:rsidRDefault="00E07C4E" w:rsidP="00551604">
            <w:pPr>
              <w:spacing w:before="60" w:after="40" w:line="240" w:lineRule="auto"/>
              <w:rPr>
                <w:sz w:val="22"/>
                <w:szCs w:val="22"/>
                <w:lang w:val="bg-BG"/>
              </w:rPr>
            </w:pPr>
          </w:p>
        </w:tc>
        <w:tc>
          <w:tcPr>
            <w:tcW w:w="1559" w:type="dxa"/>
            <w:tcBorders>
              <w:bottom w:val="single" w:sz="6" w:space="0" w:color="auto"/>
            </w:tcBorders>
            <w:shd w:val="clear" w:color="auto" w:fill="auto"/>
            <w:noWrap/>
            <w:vAlign w:val="bottom"/>
          </w:tcPr>
          <w:p w14:paraId="0989AD07" w14:textId="77777777" w:rsidR="00E07C4E" w:rsidRPr="00721663" w:rsidRDefault="00E07C4E" w:rsidP="00551604">
            <w:pPr>
              <w:spacing w:line="240" w:lineRule="auto"/>
              <w:jc w:val="right"/>
              <w:rPr>
                <w:rFonts w:ascii="Arial" w:hAnsi="Arial" w:cs="Arial"/>
                <w:b/>
                <w:sz w:val="18"/>
                <w:szCs w:val="18"/>
                <w:lang w:val="bg-BG"/>
              </w:rPr>
            </w:pPr>
            <w:r w:rsidRPr="00721663">
              <w:rPr>
                <w:rFonts w:ascii="Arial" w:hAnsi="Arial" w:cs="Arial"/>
                <w:b/>
                <w:sz w:val="18"/>
                <w:szCs w:val="18"/>
                <w:lang w:val="bg-BG"/>
              </w:rPr>
              <w:t>Справедлива стойност</w:t>
            </w:r>
          </w:p>
        </w:tc>
        <w:tc>
          <w:tcPr>
            <w:tcW w:w="284" w:type="dxa"/>
          </w:tcPr>
          <w:p w14:paraId="01BF968D" w14:textId="77777777" w:rsidR="00E07C4E" w:rsidRPr="00721663" w:rsidRDefault="00E07C4E" w:rsidP="00551604">
            <w:pPr>
              <w:spacing w:line="240" w:lineRule="auto"/>
              <w:jc w:val="right"/>
              <w:rPr>
                <w:rFonts w:ascii="Arial" w:hAnsi="Arial" w:cs="Arial"/>
                <w:b/>
                <w:sz w:val="18"/>
                <w:szCs w:val="18"/>
                <w:lang w:val="bg-BG"/>
              </w:rPr>
            </w:pPr>
          </w:p>
        </w:tc>
        <w:tc>
          <w:tcPr>
            <w:tcW w:w="1701" w:type="dxa"/>
            <w:tcBorders>
              <w:bottom w:val="single" w:sz="6" w:space="0" w:color="auto"/>
            </w:tcBorders>
            <w:shd w:val="clear" w:color="auto" w:fill="auto"/>
            <w:noWrap/>
            <w:vAlign w:val="bottom"/>
          </w:tcPr>
          <w:p w14:paraId="2DFF4AC2" w14:textId="77777777" w:rsidR="00E07C4E" w:rsidRPr="00721663" w:rsidRDefault="00E07C4E" w:rsidP="00551604">
            <w:pPr>
              <w:spacing w:line="240" w:lineRule="auto"/>
              <w:jc w:val="right"/>
              <w:rPr>
                <w:rFonts w:ascii="Arial" w:hAnsi="Arial" w:cs="Arial"/>
                <w:b/>
                <w:sz w:val="18"/>
                <w:szCs w:val="18"/>
                <w:lang w:val="bg-BG"/>
              </w:rPr>
            </w:pPr>
            <w:r w:rsidRPr="00721663">
              <w:rPr>
                <w:rFonts w:ascii="Arial" w:hAnsi="Arial" w:cs="Arial"/>
                <w:b/>
                <w:sz w:val="18"/>
                <w:szCs w:val="18"/>
                <w:lang w:val="bg-BG"/>
              </w:rPr>
              <w:t>Балансова стойност</w:t>
            </w:r>
          </w:p>
        </w:tc>
      </w:tr>
      <w:tr w:rsidR="00E07C4E" w:rsidRPr="00721663" w14:paraId="305825B9" w14:textId="77777777" w:rsidTr="00551604">
        <w:trPr>
          <w:trHeight w:val="255"/>
        </w:trPr>
        <w:tc>
          <w:tcPr>
            <w:tcW w:w="5118" w:type="dxa"/>
            <w:shd w:val="clear" w:color="auto" w:fill="auto"/>
            <w:noWrap/>
          </w:tcPr>
          <w:p w14:paraId="7CBFE102" w14:textId="77777777" w:rsidR="00E07C4E" w:rsidRPr="00721663" w:rsidRDefault="00E07C4E" w:rsidP="00551604">
            <w:pPr>
              <w:spacing w:line="240" w:lineRule="auto"/>
              <w:rPr>
                <w:sz w:val="22"/>
                <w:szCs w:val="22"/>
                <w:lang w:val="bg-BG"/>
              </w:rPr>
            </w:pPr>
          </w:p>
        </w:tc>
        <w:tc>
          <w:tcPr>
            <w:tcW w:w="284" w:type="dxa"/>
            <w:shd w:val="clear" w:color="auto" w:fill="auto"/>
            <w:noWrap/>
            <w:vAlign w:val="bottom"/>
          </w:tcPr>
          <w:p w14:paraId="6827F3E6" w14:textId="77777777" w:rsidR="00E07C4E" w:rsidRPr="00721663" w:rsidRDefault="00E07C4E" w:rsidP="00551604">
            <w:pPr>
              <w:spacing w:line="240" w:lineRule="auto"/>
              <w:rPr>
                <w:sz w:val="22"/>
                <w:szCs w:val="22"/>
                <w:lang w:val="bg-BG"/>
              </w:rPr>
            </w:pPr>
          </w:p>
        </w:tc>
        <w:tc>
          <w:tcPr>
            <w:tcW w:w="1559" w:type="dxa"/>
            <w:tcBorders>
              <w:top w:val="single" w:sz="6" w:space="0" w:color="auto"/>
            </w:tcBorders>
            <w:shd w:val="clear" w:color="auto" w:fill="auto"/>
            <w:noWrap/>
            <w:vAlign w:val="bottom"/>
          </w:tcPr>
          <w:p w14:paraId="5FC4A73A"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284" w:type="dxa"/>
          </w:tcPr>
          <w:p w14:paraId="165052C2"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701" w:type="dxa"/>
            <w:tcBorders>
              <w:top w:val="single" w:sz="6" w:space="0" w:color="auto"/>
            </w:tcBorders>
            <w:shd w:val="clear" w:color="auto" w:fill="auto"/>
            <w:noWrap/>
            <w:vAlign w:val="bottom"/>
          </w:tcPr>
          <w:p w14:paraId="2283AB87"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r>
      <w:tr w:rsidR="00E07C4E" w:rsidRPr="00721663" w14:paraId="3CAFDC20" w14:textId="77777777" w:rsidTr="00551604">
        <w:trPr>
          <w:trHeight w:val="255"/>
        </w:trPr>
        <w:tc>
          <w:tcPr>
            <w:tcW w:w="5118" w:type="dxa"/>
            <w:shd w:val="clear" w:color="auto" w:fill="auto"/>
            <w:noWrap/>
            <w:vAlign w:val="bottom"/>
          </w:tcPr>
          <w:p w14:paraId="40ABEF37" w14:textId="77777777" w:rsidR="00E07C4E" w:rsidRPr="00721663" w:rsidRDefault="00E07C4E" w:rsidP="00551604">
            <w:pPr>
              <w:spacing w:line="240" w:lineRule="auto"/>
              <w:ind w:left="-93"/>
              <w:rPr>
                <w:sz w:val="22"/>
                <w:szCs w:val="22"/>
                <w:lang w:val="bg-BG"/>
              </w:rPr>
            </w:pPr>
          </w:p>
        </w:tc>
        <w:tc>
          <w:tcPr>
            <w:tcW w:w="284" w:type="dxa"/>
            <w:shd w:val="clear" w:color="auto" w:fill="auto"/>
            <w:noWrap/>
            <w:vAlign w:val="bottom"/>
          </w:tcPr>
          <w:p w14:paraId="1F04F5FC" w14:textId="77777777" w:rsidR="00E07C4E" w:rsidRPr="00721663" w:rsidRDefault="00E07C4E" w:rsidP="00551604">
            <w:pPr>
              <w:spacing w:line="240" w:lineRule="auto"/>
              <w:rPr>
                <w:sz w:val="22"/>
                <w:szCs w:val="22"/>
                <w:lang w:val="bg-BG"/>
              </w:rPr>
            </w:pPr>
          </w:p>
        </w:tc>
        <w:tc>
          <w:tcPr>
            <w:tcW w:w="1559" w:type="dxa"/>
            <w:shd w:val="clear" w:color="auto" w:fill="auto"/>
            <w:noWrap/>
            <w:vAlign w:val="bottom"/>
          </w:tcPr>
          <w:p w14:paraId="1C5D98B2" w14:textId="77777777" w:rsidR="00E07C4E" w:rsidRPr="00721663" w:rsidRDefault="00E07C4E" w:rsidP="00551604">
            <w:pPr>
              <w:spacing w:line="240" w:lineRule="auto"/>
              <w:ind w:left="601"/>
              <w:jc w:val="right"/>
              <w:rPr>
                <w:rFonts w:ascii="Arial" w:hAnsi="Arial" w:cs="Arial"/>
                <w:sz w:val="18"/>
                <w:szCs w:val="18"/>
                <w:lang w:val="bg-BG"/>
              </w:rPr>
            </w:pPr>
          </w:p>
        </w:tc>
        <w:tc>
          <w:tcPr>
            <w:tcW w:w="284" w:type="dxa"/>
          </w:tcPr>
          <w:p w14:paraId="4DB79777" w14:textId="77777777" w:rsidR="00E07C4E" w:rsidRPr="00721663" w:rsidRDefault="00E07C4E" w:rsidP="00551604">
            <w:pPr>
              <w:spacing w:line="240" w:lineRule="auto"/>
              <w:ind w:left="601"/>
              <w:jc w:val="right"/>
              <w:rPr>
                <w:rFonts w:ascii="Arial" w:hAnsi="Arial" w:cs="Arial"/>
                <w:sz w:val="18"/>
                <w:szCs w:val="18"/>
                <w:lang w:val="bg-BG"/>
              </w:rPr>
            </w:pPr>
          </w:p>
        </w:tc>
        <w:tc>
          <w:tcPr>
            <w:tcW w:w="1701" w:type="dxa"/>
            <w:shd w:val="clear" w:color="auto" w:fill="auto"/>
            <w:noWrap/>
            <w:vAlign w:val="bottom"/>
          </w:tcPr>
          <w:p w14:paraId="173A8FEB" w14:textId="77777777" w:rsidR="00E07C4E" w:rsidRPr="00721663" w:rsidRDefault="00E07C4E" w:rsidP="00551604">
            <w:pPr>
              <w:spacing w:line="240" w:lineRule="auto"/>
              <w:ind w:left="601"/>
              <w:jc w:val="right"/>
              <w:rPr>
                <w:rFonts w:ascii="Arial" w:hAnsi="Arial" w:cs="Arial"/>
                <w:sz w:val="18"/>
                <w:szCs w:val="18"/>
                <w:lang w:val="bg-BG"/>
              </w:rPr>
            </w:pPr>
          </w:p>
        </w:tc>
      </w:tr>
      <w:tr w:rsidR="00E07C4E" w:rsidRPr="00721663" w14:paraId="1C1FBEE3" w14:textId="77777777" w:rsidTr="00551604">
        <w:trPr>
          <w:trHeight w:hRule="exact" w:val="284"/>
        </w:trPr>
        <w:tc>
          <w:tcPr>
            <w:tcW w:w="5118" w:type="dxa"/>
            <w:shd w:val="clear" w:color="auto" w:fill="auto"/>
            <w:noWrap/>
            <w:vAlign w:val="center"/>
          </w:tcPr>
          <w:p w14:paraId="419C827B" w14:textId="77777777" w:rsidR="00E07C4E" w:rsidRPr="00721663" w:rsidRDefault="00E07C4E" w:rsidP="00551604">
            <w:pPr>
              <w:spacing w:line="240" w:lineRule="auto"/>
              <w:ind w:left="-93"/>
              <w:jc w:val="left"/>
              <w:rPr>
                <w:rFonts w:ascii="Arial" w:hAnsi="Arial" w:cs="Arial"/>
                <w:color w:val="000000"/>
                <w:sz w:val="18"/>
                <w:szCs w:val="18"/>
                <w:lang w:val="bg-BG"/>
              </w:rPr>
            </w:pPr>
            <w:r w:rsidRPr="00721663">
              <w:rPr>
                <w:rFonts w:ascii="Arial" w:hAnsi="Arial" w:cs="Arial"/>
                <w:color w:val="000000"/>
                <w:sz w:val="18"/>
                <w:szCs w:val="18"/>
                <w:lang w:val="bg-BG"/>
              </w:rPr>
              <w:t>Имоти, машини и съоръжения</w:t>
            </w:r>
          </w:p>
        </w:tc>
        <w:tc>
          <w:tcPr>
            <w:tcW w:w="284" w:type="dxa"/>
            <w:shd w:val="clear" w:color="auto" w:fill="auto"/>
            <w:noWrap/>
            <w:vAlign w:val="bottom"/>
          </w:tcPr>
          <w:p w14:paraId="2C466DC5" w14:textId="77777777" w:rsidR="00E07C4E" w:rsidRPr="00721663" w:rsidRDefault="00E07C4E" w:rsidP="00551604">
            <w:pPr>
              <w:spacing w:line="240" w:lineRule="auto"/>
              <w:rPr>
                <w:sz w:val="22"/>
                <w:szCs w:val="22"/>
                <w:lang w:val="bg-BG"/>
              </w:rPr>
            </w:pPr>
          </w:p>
        </w:tc>
        <w:tc>
          <w:tcPr>
            <w:tcW w:w="1559" w:type="dxa"/>
            <w:shd w:val="clear" w:color="auto" w:fill="auto"/>
            <w:noWrap/>
            <w:vAlign w:val="center"/>
          </w:tcPr>
          <w:p w14:paraId="24EDE42D" w14:textId="77777777" w:rsidR="00E07C4E" w:rsidRPr="00721663" w:rsidRDefault="00E07C4E" w:rsidP="00551604">
            <w:pPr>
              <w:spacing w:line="240" w:lineRule="auto"/>
              <w:ind w:left="601"/>
              <w:jc w:val="right"/>
              <w:rPr>
                <w:rFonts w:ascii="Arial" w:hAnsi="Arial" w:cs="Arial"/>
                <w:color w:val="000000"/>
                <w:sz w:val="18"/>
                <w:szCs w:val="18"/>
                <w:lang w:val="bg-BG"/>
              </w:rPr>
            </w:pPr>
            <w:r w:rsidRPr="00721663">
              <w:rPr>
                <w:rFonts w:ascii="Arial" w:hAnsi="Arial" w:cs="Arial"/>
                <w:color w:val="000000"/>
                <w:sz w:val="18"/>
                <w:szCs w:val="18"/>
                <w:lang w:val="bg-BG"/>
              </w:rPr>
              <w:t>20</w:t>
            </w:r>
          </w:p>
        </w:tc>
        <w:tc>
          <w:tcPr>
            <w:tcW w:w="284" w:type="dxa"/>
            <w:vAlign w:val="center"/>
          </w:tcPr>
          <w:p w14:paraId="5557625F" w14:textId="77777777" w:rsidR="00E07C4E" w:rsidRPr="00721663" w:rsidRDefault="00E07C4E" w:rsidP="00551604">
            <w:pPr>
              <w:spacing w:line="240" w:lineRule="auto"/>
              <w:ind w:left="601"/>
              <w:jc w:val="right"/>
              <w:rPr>
                <w:rFonts w:ascii="Arial" w:hAnsi="Arial" w:cs="Arial"/>
                <w:sz w:val="18"/>
                <w:szCs w:val="18"/>
                <w:lang w:val="bg-BG"/>
              </w:rPr>
            </w:pPr>
          </w:p>
        </w:tc>
        <w:tc>
          <w:tcPr>
            <w:tcW w:w="1701" w:type="dxa"/>
            <w:shd w:val="clear" w:color="auto" w:fill="auto"/>
            <w:noWrap/>
            <w:vAlign w:val="center"/>
          </w:tcPr>
          <w:p w14:paraId="1465B00E" w14:textId="77777777" w:rsidR="00E07C4E" w:rsidRPr="00721663" w:rsidRDefault="00E07C4E" w:rsidP="00551604">
            <w:pPr>
              <w:spacing w:line="240" w:lineRule="auto"/>
              <w:ind w:left="601"/>
              <w:jc w:val="right"/>
              <w:rPr>
                <w:rFonts w:ascii="Arial" w:hAnsi="Arial" w:cs="Arial"/>
                <w:color w:val="000000"/>
                <w:sz w:val="18"/>
                <w:szCs w:val="18"/>
                <w:lang w:val="bg-BG"/>
              </w:rPr>
            </w:pPr>
            <w:r w:rsidRPr="00721663">
              <w:rPr>
                <w:rFonts w:ascii="Arial" w:hAnsi="Arial" w:cs="Arial"/>
                <w:color w:val="000000"/>
                <w:sz w:val="18"/>
                <w:szCs w:val="18"/>
                <w:lang w:val="bg-BG"/>
              </w:rPr>
              <w:t>20</w:t>
            </w:r>
          </w:p>
        </w:tc>
      </w:tr>
      <w:tr w:rsidR="00E07C4E" w:rsidRPr="00721663" w14:paraId="5274B719" w14:textId="77777777" w:rsidTr="00551604">
        <w:trPr>
          <w:trHeight w:hRule="exact" w:val="284"/>
        </w:trPr>
        <w:tc>
          <w:tcPr>
            <w:tcW w:w="5118" w:type="dxa"/>
            <w:shd w:val="clear" w:color="auto" w:fill="auto"/>
            <w:noWrap/>
            <w:vAlign w:val="center"/>
          </w:tcPr>
          <w:p w14:paraId="08EACDFB" w14:textId="77777777" w:rsidR="00E07C4E" w:rsidRPr="00721663" w:rsidRDefault="00E07C4E" w:rsidP="00551604">
            <w:pPr>
              <w:spacing w:line="240" w:lineRule="auto"/>
              <w:ind w:left="-93"/>
              <w:jc w:val="left"/>
              <w:rPr>
                <w:rFonts w:ascii="Arial" w:hAnsi="Arial" w:cs="Arial"/>
                <w:sz w:val="18"/>
                <w:szCs w:val="18"/>
                <w:lang w:val="bg-BG"/>
              </w:rPr>
            </w:pPr>
            <w:r w:rsidRPr="00721663">
              <w:rPr>
                <w:rFonts w:ascii="Arial" w:hAnsi="Arial" w:cs="Arial"/>
                <w:sz w:val="18"/>
                <w:szCs w:val="18"/>
                <w:lang w:val="bg-BG"/>
              </w:rPr>
              <w:t>Разходи за бъдещи периоди</w:t>
            </w:r>
          </w:p>
        </w:tc>
        <w:tc>
          <w:tcPr>
            <w:tcW w:w="284" w:type="dxa"/>
            <w:shd w:val="clear" w:color="auto" w:fill="auto"/>
            <w:noWrap/>
            <w:vAlign w:val="bottom"/>
          </w:tcPr>
          <w:p w14:paraId="32ECBC8C" w14:textId="77777777" w:rsidR="00E07C4E" w:rsidRPr="00721663" w:rsidRDefault="00E07C4E" w:rsidP="00551604">
            <w:pPr>
              <w:spacing w:line="240" w:lineRule="auto"/>
              <w:rPr>
                <w:sz w:val="22"/>
                <w:szCs w:val="22"/>
                <w:lang w:val="bg-BG"/>
              </w:rPr>
            </w:pPr>
          </w:p>
        </w:tc>
        <w:tc>
          <w:tcPr>
            <w:tcW w:w="1559" w:type="dxa"/>
            <w:shd w:val="clear" w:color="auto" w:fill="auto"/>
            <w:noWrap/>
            <w:vAlign w:val="center"/>
          </w:tcPr>
          <w:p w14:paraId="3F0A20B3" w14:textId="77777777" w:rsidR="00E07C4E" w:rsidRPr="00721663" w:rsidRDefault="00E07C4E" w:rsidP="00551604">
            <w:pPr>
              <w:spacing w:line="240" w:lineRule="auto"/>
              <w:ind w:left="601"/>
              <w:jc w:val="right"/>
              <w:rPr>
                <w:rFonts w:ascii="Arial" w:hAnsi="Arial" w:cs="Arial"/>
                <w:sz w:val="18"/>
                <w:szCs w:val="18"/>
                <w:lang w:val="bg-BG"/>
              </w:rPr>
            </w:pPr>
            <w:r w:rsidRPr="00721663">
              <w:rPr>
                <w:rFonts w:ascii="Arial" w:hAnsi="Arial" w:cs="Arial"/>
                <w:sz w:val="18"/>
                <w:szCs w:val="18"/>
                <w:lang w:val="bg-BG"/>
              </w:rPr>
              <w:t>21</w:t>
            </w:r>
          </w:p>
        </w:tc>
        <w:tc>
          <w:tcPr>
            <w:tcW w:w="284" w:type="dxa"/>
            <w:vAlign w:val="center"/>
          </w:tcPr>
          <w:p w14:paraId="029544B4" w14:textId="77777777" w:rsidR="00E07C4E" w:rsidRPr="00721663" w:rsidRDefault="00E07C4E" w:rsidP="00551604">
            <w:pPr>
              <w:spacing w:line="240" w:lineRule="auto"/>
              <w:ind w:left="601"/>
              <w:jc w:val="right"/>
              <w:rPr>
                <w:rFonts w:ascii="Arial" w:hAnsi="Arial" w:cs="Arial"/>
                <w:sz w:val="18"/>
                <w:szCs w:val="18"/>
                <w:lang w:val="bg-BG"/>
              </w:rPr>
            </w:pPr>
          </w:p>
        </w:tc>
        <w:tc>
          <w:tcPr>
            <w:tcW w:w="1701" w:type="dxa"/>
            <w:shd w:val="clear" w:color="auto" w:fill="auto"/>
            <w:noWrap/>
            <w:vAlign w:val="center"/>
          </w:tcPr>
          <w:p w14:paraId="3379606B" w14:textId="77777777" w:rsidR="00E07C4E" w:rsidRPr="00721663" w:rsidRDefault="00E07C4E" w:rsidP="00551604">
            <w:pPr>
              <w:spacing w:line="240" w:lineRule="auto"/>
              <w:ind w:left="601"/>
              <w:jc w:val="right"/>
              <w:rPr>
                <w:rFonts w:ascii="Arial" w:hAnsi="Arial" w:cs="Arial"/>
                <w:sz w:val="18"/>
                <w:szCs w:val="18"/>
                <w:lang w:val="bg-BG"/>
              </w:rPr>
            </w:pPr>
            <w:r w:rsidRPr="00721663">
              <w:rPr>
                <w:rFonts w:ascii="Arial" w:hAnsi="Arial" w:cs="Arial"/>
                <w:sz w:val="18"/>
                <w:szCs w:val="18"/>
                <w:lang w:val="bg-BG"/>
              </w:rPr>
              <w:t>21</w:t>
            </w:r>
          </w:p>
        </w:tc>
      </w:tr>
      <w:tr w:rsidR="00E07C4E" w:rsidRPr="00721663" w14:paraId="1510B03B" w14:textId="77777777" w:rsidTr="00551604">
        <w:trPr>
          <w:trHeight w:hRule="exact" w:val="284"/>
        </w:trPr>
        <w:tc>
          <w:tcPr>
            <w:tcW w:w="5118" w:type="dxa"/>
            <w:shd w:val="clear" w:color="auto" w:fill="auto"/>
            <w:noWrap/>
            <w:vAlign w:val="center"/>
          </w:tcPr>
          <w:p w14:paraId="62A11CD6" w14:textId="77777777" w:rsidR="00E07C4E" w:rsidRPr="00721663" w:rsidRDefault="00E07C4E" w:rsidP="00551604">
            <w:pPr>
              <w:spacing w:line="240" w:lineRule="auto"/>
              <w:ind w:left="-93"/>
              <w:jc w:val="left"/>
              <w:rPr>
                <w:rFonts w:ascii="Arial" w:hAnsi="Arial" w:cs="Arial"/>
                <w:sz w:val="18"/>
                <w:szCs w:val="18"/>
                <w:lang w:val="bg-BG"/>
              </w:rPr>
            </w:pPr>
            <w:r w:rsidRPr="00721663">
              <w:rPr>
                <w:rFonts w:ascii="Arial" w:hAnsi="Arial" w:cs="Arial"/>
                <w:sz w:val="18"/>
                <w:szCs w:val="18"/>
                <w:lang w:val="bg-BG"/>
              </w:rPr>
              <w:t>Парични средства и парични еквиваленти</w:t>
            </w:r>
          </w:p>
        </w:tc>
        <w:tc>
          <w:tcPr>
            <w:tcW w:w="284" w:type="dxa"/>
            <w:shd w:val="clear" w:color="auto" w:fill="auto"/>
            <w:noWrap/>
            <w:vAlign w:val="bottom"/>
          </w:tcPr>
          <w:p w14:paraId="59DC2704" w14:textId="77777777" w:rsidR="00E07C4E" w:rsidRPr="00721663" w:rsidRDefault="00E07C4E" w:rsidP="00551604">
            <w:pPr>
              <w:spacing w:line="240" w:lineRule="auto"/>
              <w:rPr>
                <w:sz w:val="22"/>
                <w:szCs w:val="22"/>
                <w:lang w:val="bg-BG"/>
              </w:rPr>
            </w:pPr>
          </w:p>
        </w:tc>
        <w:tc>
          <w:tcPr>
            <w:tcW w:w="1559" w:type="dxa"/>
            <w:tcBorders>
              <w:bottom w:val="single" w:sz="4" w:space="0" w:color="auto"/>
            </w:tcBorders>
            <w:shd w:val="clear" w:color="auto" w:fill="auto"/>
            <w:noWrap/>
            <w:vAlign w:val="center"/>
          </w:tcPr>
          <w:p w14:paraId="6DD1A628" w14:textId="77777777" w:rsidR="00E07C4E" w:rsidRPr="00721663" w:rsidRDefault="00E07C4E" w:rsidP="00551604">
            <w:pPr>
              <w:spacing w:line="240" w:lineRule="auto"/>
              <w:ind w:left="601"/>
              <w:jc w:val="right"/>
              <w:rPr>
                <w:rFonts w:ascii="Arial" w:hAnsi="Arial" w:cs="Arial"/>
                <w:sz w:val="18"/>
                <w:szCs w:val="18"/>
                <w:lang w:val="bg-BG"/>
              </w:rPr>
            </w:pPr>
            <w:r w:rsidRPr="00721663">
              <w:rPr>
                <w:rFonts w:ascii="Arial" w:hAnsi="Arial" w:cs="Arial"/>
                <w:sz w:val="18"/>
                <w:szCs w:val="18"/>
                <w:lang w:val="bg-BG"/>
              </w:rPr>
              <w:t>9</w:t>
            </w:r>
          </w:p>
        </w:tc>
        <w:tc>
          <w:tcPr>
            <w:tcW w:w="284" w:type="dxa"/>
            <w:vAlign w:val="center"/>
          </w:tcPr>
          <w:p w14:paraId="1EE04757" w14:textId="77777777" w:rsidR="00E07C4E" w:rsidRPr="00721663" w:rsidRDefault="00E07C4E" w:rsidP="00551604">
            <w:pPr>
              <w:spacing w:line="240" w:lineRule="auto"/>
              <w:ind w:left="601"/>
              <w:jc w:val="right"/>
              <w:rPr>
                <w:rFonts w:ascii="Arial" w:hAnsi="Arial" w:cs="Arial"/>
                <w:sz w:val="18"/>
                <w:szCs w:val="18"/>
                <w:lang w:val="bg-BG"/>
              </w:rPr>
            </w:pPr>
          </w:p>
        </w:tc>
        <w:tc>
          <w:tcPr>
            <w:tcW w:w="1701" w:type="dxa"/>
            <w:tcBorders>
              <w:bottom w:val="single" w:sz="4" w:space="0" w:color="auto"/>
            </w:tcBorders>
            <w:shd w:val="clear" w:color="auto" w:fill="auto"/>
            <w:noWrap/>
            <w:vAlign w:val="center"/>
          </w:tcPr>
          <w:p w14:paraId="1D1DA35C" w14:textId="77777777" w:rsidR="00E07C4E" w:rsidRPr="00721663" w:rsidRDefault="00E07C4E" w:rsidP="00551604">
            <w:pPr>
              <w:spacing w:line="240" w:lineRule="auto"/>
              <w:ind w:left="601"/>
              <w:jc w:val="right"/>
              <w:rPr>
                <w:rFonts w:ascii="Arial" w:hAnsi="Arial" w:cs="Arial"/>
                <w:sz w:val="18"/>
                <w:szCs w:val="18"/>
                <w:lang w:val="bg-BG"/>
              </w:rPr>
            </w:pPr>
            <w:r w:rsidRPr="00721663">
              <w:rPr>
                <w:rFonts w:ascii="Arial" w:hAnsi="Arial" w:cs="Arial"/>
                <w:sz w:val="18"/>
                <w:szCs w:val="18"/>
                <w:lang w:val="bg-BG"/>
              </w:rPr>
              <w:t>9</w:t>
            </w:r>
          </w:p>
        </w:tc>
      </w:tr>
      <w:tr w:rsidR="00E07C4E" w:rsidRPr="00721663" w14:paraId="7C24B222" w14:textId="77777777" w:rsidTr="00551604">
        <w:trPr>
          <w:trHeight w:hRule="exact" w:val="284"/>
        </w:trPr>
        <w:tc>
          <w:tcPr>
            <w:tcW w:w="5118" w:type="dxa"/>
            <w:shd w:val="clear" w:color="auto" w:fill="auto"/>
            <w:noWrap/>
            <w:vAlign w:val="center"/>
          </w:tcPr>
          <w:p w14:paraId="3C457690" w14:textId="77777777" w:rsidR="00E07C4E" w:rsidRPr="00721663" w:rsidRDefault="00E07C4E" w:rsidP="00551604">
            <w:pPr>
              <w:spacing w:line="240" w:lineRule="auto"/>
              <w:ind w:left="-93"/>
              <w:jc w:val="left"/>
              <w:rPr>
                <w:rFonts w:ascii="Arial" w:hAnsi="Arial" w:cs="Arial"/>
                <w:b/>
                <w:sz w:val="18"/>
                <w:szCs w:val="18"/>
                <w:lang w:val="bg-BG"/>
              </w:rPr>
            </w:pPr>
          </w:p>
        </w:tc>
        <w:tc>
          <w:tcPr>
            <w:tcW w:w="284" w:type="dxa"/>
            <w:shd w:val="clear" w:color="auto" w:fill="auto"/>
            <w:noWrap/>
            <w:vAlign w:val="bottom"/>
          </w:tcPr>
          <w:p w14:paraId="4FE255D1" w14:textId="77777777" w:rsidR="00E07C4E" w:rsidRPr="00721663" w:rsidRDefault="00E07C4E" w:rsidP="00551604">
            <w:pPr>
              <w:spacing w:line="240" w:lineRule="auto"/>
              <w:rPr>
                <w:b/>
                <w:sz w:val="22"/>
                <w:szCs w:val="22"/>
                <w:lang w:val="bg-BG"/>
              </w:rPr>
            </w:pPr>
          </w:p>
        </w:tc>
        <w:tc>
          <w:tcPr>
            <w:tcW w:w="1559" w:type="dxa"/>
            <w:tcBorders>
              <w:top w:val="single" w:sz="4" w:space="0" w:color="auto"/>
              <w:bottom w:val="single" w:sz="4" w:space="0" w:color="auto"/>
            </w:tcBorders>
            <w:shd w:val="clear" w:color="auto" w:fill="auto"/>
            <w:noWrap/>
            <w:vAlign w:val="center"/>
          </w:tcPr>
          <w:p w14:paraId="39031528" w14:textId="77777777" w:rsidR="00E07C4E" w:rsidRPr="00721663" w:rsidRDefault="00E07C4E" w:rsidP="00551604">
            <w:pPr>
              <w:spacing w:line="240" w:lineRule="auto"/>
              <w:ind w:left="601"/>
              <w:jc w:val="right"/>
              <w:rPr>
                <w:rFonts w:ascii="Arial" w:hAnsi="Arial" w:cs="Arial"/>
                <w:b/>
                <w:sz w:val="18"/>
                <w:szCs w:val="18"/>
                <w:lang w:val="bg-BG"/>
              </w:rPr>
            </w:pPr>
            <w:r w:rsidRPr="00721663">
              <w:rPr>
                <w:rFonts w:ascii="Arial" w:hAnsi="Arial" w:cs="Arial"/>
                <w:b/>
                <w:sz w:val="18"/>
                <w:szCs w:val="18"/>
                <w:lang w:val="bg-BG"/>
              </w:rPr>
              <w:t>50</w:t>
            </w:r>
          </w:p>
        </w:tc>
        <w:tc>
          <w:tcPr>
            <w:tcW w:w="284" w:type="dxa"/>
            <w:vAlign w:val="center"/>
          </w:tcPr>
          <w:p w14:paraId="464F7E64" w14:textId="77777777" w:rsidR="00E07C4E" w:rsidRPr="00721663" w:rsidRDefault="00E07C4E" w:rsidP="00551604">
            <w:pPr>
              <w:spacing w:line="240" w:lineRule="auto"/>
              <w:ind w:left="601"/>
              <w:jc w:val="right"/>
              <w:rPr>
                <w:rFonts w:ascii="Arial" w:hAnsi="Arial" w:cs="Arial"/>
                <w:sz w:val="18"/>
                <w:szCs w:val="18"/>
                <w:lang w:val="bg-BG"/>
              </w:rPr>
            </w:pPr>
          </w:p>
        </w:tc>
        <w:tc>
          <w:tcPr>
            <w:tcW w:w="1701" w:type="dxa"/>
            <w:tcBorders>
              <w:top w:val="single" w:sz="4" w:space="0" w:color="auto"/>
              <w:bottom w:val="single" w:sz="4" w:space="0" w:color="auto"/>
            </w:tcBorders>
            <w:shd w:val="clear" w:color="auto" w:fill="auto"/>
            <w:noWrap/>
            <w:vAlign w:val="center"/>
          </w:tcPr>
          <w:p w14:paraId="72B09A84" w14:textId="77777777" w:rsidR="00E07C4E" w:rsidRPr="00721663" w:rsidRDefault="00E07C4E" w:rsidP="00551604">
            <w:pPr>
              <w:spacing w:line="240" w:lineRule="auto"/>
              <w:ind w:left="601"/>
              <w:jc w:val="right"/>
              <w:rPr>
                <w:rFonts w:ascii="Arial" w:hAnsi="Arial" w:cs="Arial"/>
                <w:b/>
                <w:sz w:val="18"/>
                <w:szCs w:val="18"/>
                <w:lang w:val="bg-BG"/>
              </w:rPr>
            </w:pPr>
            <w:r w:rsidRPr="00721663">
              <w:rPr>
                <w:rFonts w:ascii="Arial" w:hAnsi="Arial" w:cs="Arial"/>
                <w:b/>
                <w:sz w:val="18"/>
                <w:szCs w:val="18"/>
                <w:lang w:val="bg-BG"/>
              </w:rPr>
              <w:t>50</w:t>
            </w:r>
          </w:p>
        </w:tc>
      </w:tr>
      <w:tr w:rsidR="00E07C4E" w:rsidRPr="00721663" w14:paraId="501E0935" w14:textId="77777777" w:rsidTr="00551604">
        <w:trPr>
          <w:trHeight w:hRule="exact" w:val="170"/>
        </w:trPr>
        <w:tc>
          <w:tcPr>
            <w:tcW w:w="5118" w:type="dxa"/>
            <w:shd w:val="clear" w:color="auto" w:fill="auto"/>
            <w:noWrap/>
            <w:vAlign w:val="center"/>
          </w:tcPr>
          <w:p w14:paraId="26D2D00B" w14:textId="77777777" w:rsidR="00E07C4E" w:rsidRPr="00721663" w:rsidRDefault="00E07C4E" w:rsidP="00551604">
            <w:pPr>
              <w:spacing w:line="240" w:lineRule="auto"/>
              <w:ind w:left="-93"/>
              <w:jc w:val="left"/>
              <w:rPr>
                <w:rFonts w:ascii="Arial" w:hAnsi="Arial" w:cs="Arial"/>
                <w:sz w:val="18"/>
                <w:szCs w:val="18"/>
                <w:lang w:val="bg-BG"/>
              </w:rPr>
            </w:pPr>
          </w:p>
        </w:tc>
        <w:tc>
          <w:tcPr>
            <w:tcW w:w="284" w:type="dxa"/>
            <w:shd w:val="clear" w:color="auto" w:fill="auto"/>
            <w:noWrap/>
            <w:vAlign w:val="bottom"/>
          </w:tcPr>
          <w:p w14:paraId="0083FC0F" w14:textId="77777777" w:rsidR="00E07C4E" w:rsidRPr="00721663" w:rsidRDefault="00E07C4E" w:rsidP="00551604">
            <w:pPr>
              <w:spacing w:line="240" w:lineRule="auto"/>
              <w:rPr>
                <w:b/>
                <w:sz w:val="22"/>
                <w:szCs w:val="22"/>
                <w:lang w:val="bg-BG"/>
              </w:rPr>
            </w:pPr>
          </w:p>
        </w:tc>
        <w:tc>
          <w:tcPr>
            <w:tcW w:w="1559" w:type="dxa"/>
            <w:tcBorders>
              <w:top w:val="single" w:sz="4" w:space="0" w:color="auto"/>
            </w:tcBorders>
            <w:shd w:val="clear" w:color="auto" w:fill="auto"/>
            <w:noWrap/>
            <w:vAlign w:val="center"/>
          </w:tcPr>
          <w:p w14:paraId="6269788E" w14:textId="77777777" w:rsidR="00E07C4E" w:rsidRPr="00721663" w:rsidRDefault="00E07C4E" w:rsidP="00551604">
            <w:pPr>
              <w:spacing w:line="240" w:lineRule="auto"/>
              <w:ind w:left="601"/>
              <w:jc w:val="right"/>
              <w:rPr>
                <w:rFonts w:ascii="Arial" w:hAnsi="Arial" w:cs="Arial"/>
                <w:sz w:val="18"/>
                <w:szCs w:val="18"/>
                <w:lang w:val="bg-BG"/>
              </w:rPr>
            </w:pPr>
          </w:p>
        </w:tc>
        <w:tc>
          <w:tcPr>
            <w:tcW w:w="284" w:type="dxa"/>
            <w:vAlign w:val="center"/>
          </w:tcPr>
          <w:p w14:paraId="0342C6C4" w14:textId="77777777" w:rsidR="00E07C4E" w:rsidRPr="00721663" w:rsidRDefault="00E07C4E" w:rsidP="00551604">
            <w:pPr>
              <w:spacing w:line="240" w:lineRule="auto"/>
              <w:ind w:left="601"/>
              <w:jc w:val="right"/>
              <w:rPr>
                <w:rFonts w:ascii="Arial" w:hAnsi="Arial" w:cs="Arial"/>
                <w:sz w:val="18"/>
                <w:szCs w:val="18"/>
                <w:lang w:val="bg-BG"/>
              </w:rPr>
            </w:pPr>
          </w:p>
        </w:tc>
        <w:tc>
          <w:tcPr>
            <w:tcW w:w="1701" w:type="dxa"/>
            <w:tcBorders>
              <w:top w:val="single" w:sz="4" w:space="0" w:color="auto"/>
            </w:tcBorders>
            <w:shd w:val="clear" w:color="auto" w:fill="auto"/>
            <w:noWrap/>
            <w:vAlign w:val="center"/>
          </w:tcPr>
          <w:p w14:paraId="33D010B7" w14:textId="77777777" w:rsidR="00E07C4E" w:rsidRPr="00721663" w:rsidRDefault="00E07C4E" w:rsidP="00551604">
            <w:pPr>
              <w:spacing w:line="240" w:lineRule="auto"/>
              <w:ind w:left="601"/>
              <w:jc w:val="right"/>
              <w:rPr>
                <w:rFonts w:ascii="Arial" w:hAnsi="Arial" w:cs="Arial"/>
                <w:sz w:val="18"/>
                <w:szCs w:val="18"/>
                <w:lang w:val="bg-BG"/>
              </w:rPr>
            </w:pPr>
          </w:p>
        </w:tc>
      </w:tr>
      <w:tr w:rsidR="00E07C4E" w:rsidRPr="00721663" w14:paraId="10F2B781" w14:textId="77777777" w:rsidTr="00551604">
        <w:trPr>
          <w:trHeight w:hRule="exact" w:val="284"/>
        </w:trPr>
        <w:tc>
          <w:tcPr>
            <w:tcW w:w="5118" w:type="dxa"/>
            <w:shd w:val="clear" w:color="auto" w:fill="auto"/>
            <w:noWrap/>
            <w:vAlign w:val="center"/>
          </w:tcPr>
          <w:p w14:paraId="2B542719" w14:textId="77777777" w:rsidR="00E07C4E" w:rsidRPr="00721663" w:rsidRDefault="00E07C4E" w:rsidP="00551604">
            <w:pPr>
              <w:spacing w:line="240" w:lineRule="auto"/>
              <w:ind w:left="-93"/>
              <w:jc w:val="left"/>
              <w:rPr>
                <w:rFonts w:ascii="Arial" w:hAnsi="Arial" w:cs="Arial"/>
                <w:sz w:val="18"/>
                <w:szCs w:val="18"/>
                <w:lang w:val="bg-BG"/>
              </w:rPr>
            </w:pPr>
            <w:r w:rsidRPr="00721663">
              <w:rPr>
                <w:rFonts w:ascii="Arial" w:hAnsi="Arial" w:cs="Arial"/>
                <w:sz w:val="18"/>
                <w:szCs w:val="18"/>
                <w:lang w:val="bg-BG"/>
              </w:rPr>
              <w:t>Търговски и други задължения</w:t>
            </w:r>
          </w:p>
        </w:tc>
        <w:tc>
          <w:tcPr>
            <w:tcW w:w="284" w:type="dxa"/>
            <w:shd w:val="clear" w:color="auto" w:fill="auto"/>
            <w:noWrap/>
            <w:vAlign w:val="bottom"/>
          </w:tcPr>
          <w:p w14:paraId="566CB2B0" w14:textId="77777777" w:rsidR="00E07C4E" w:rsidRPr="00721663" w:rsidRDefault="00E07C4E" w:rsidP="00551604">
            <w:pPr>
              <w:spacing w:line="240" w:lineRule="auto"/>
              <w:rPr>
                <w:b/>
                <w:sz w:val="22"/>
                <w:szCs w:val="22"/>
                <w:lang w:val="bg-BG"/>
              </w:rPr>
            </w:pPr>
          </w:p>
        </w:tc>
        <w:tc>
          <w:tcPr>
            <w:tcW w:w="1559" w:type="dxa"/>
            <w:shd w:val="clear" w:color="auto" w:fill="auto"/>
            <w:noWrap/>
            <w:vAlign w:val="center"/>
          </w:tcPr>
          <w:p w14:paraId="230FE427" w14:textId="77777777" w:rsidR="00E07C4E" w:rsidRPr="00721663" w:rsidRDefault="00E07C4E" w:rsidP="00551604">
            <w:pPr>
              <w:spacing w:line="240" w:lineRule="auto"/>
              <w:ind w:left="601"/>
              <w:jc w:val="right"/>
              <w:rPr>
                <w:rFonts w:ascii="Arial" w:hAnsi="Arial" w:cs="Arial"/>
                <w:sz w:val="18"/>
                <w:szCs w:val="18"/>
                <w:lang w:val="bg-BG"/>
              </w:rPr>
            </w:pPr>
            <w:r w:rsidRPr="00721663">
              <w:rPr>
                <w:rFonts w:ascii="Arial" w:hAnsi="Arial" w:cs="Arial"/>
                <w:sz w:val="18"/>
                <w:szCs w:val="18"/>
                <w:lang w:val="bg-BG"/>
              </w:rPr>
              <w:t>(40)</w:t>
            </w:r>
          </w:p>
        </w:tc>
        <w:tc>
          <w:tcPr>
            <w:tcW w:w="284" w:type="dxa"/>
            <w:vAlign w:val="center"/>
          </w:tcPr>
          <w:p w14:paraId="33B07A52" w14:textId="77777777" w:rsidR="00E07C4E" w:rsidRPr="00721663" w:rsidRDefault="00E07C4E" w:rsidP="00551604">
            <w:pPr>
              <w:spacing w:line="240" w:lineRule="auto"/>
              <w:ind w:left="601"/>
              <w:jc w:val="right"/>
              <w:rPr>
                <w:rFonts w:ascii="Arial" w:hAnsi="Arial" w:cs="Arial"/>
                <w:sz w:val="18"/>
                <w:szCs w:val="18"/>
                <w:lang w:val="bg-BG"/>
              </w:rPr>
            </w:pPr>
          </w:p>
        </w:tc>
        <w:tc>
          <w:tcPr>
            <w:tcW w:w="1701" w:type="dxa"/>
            <w:shd w:val="clear" w:color="auto" w:fill="auto"/>
            <w:noWrap/>
            <w:vAlign w:val="center"/>
          </w:tcPr>
          <w:p w14:paraId="14516094" w14:textId="77777777" w:rsidR="00E07C4E" w:rsidRPr="00721663" w:rsidRDefault="00E07C4E" w:rsidP="00551604">
            <w:pPr>
              <w:spacing w:line="240" w:lineRule="auto"/>
              <w:ind w:left="601"/>
              <w:jc w:val="right"/>
              <w:rPr>
                <w:rFonts w:ascii="Arial" w:hAnsi="Arial" w:cs="Arial"/>
                <w:sz w:val="18"/>
                <w:szCs w:val="18"/>
                <w:lang w:val="bg-BG"/>
              </w:rPr>
            </w:pPr>
            <w:r w:rsidRPr="00721663">
              <w:rPr>
                <w:rFonts w:ascii="Arial" w:hAnsi="Arial" w:cs="Arial"/>
                <w:sz w:val="18"/>
                <w:szCs w:val="18"/>
                <w:lang w:val="bg-BG"/>
              </w:rPr>
              <w:t>(40)</w:t>
            </w:r>
          </w:p>
        </w:tc>
      </w:tr>
      <w:tr w:rsidR="00E07C4E" w:rsidRPr="00721663" w14:paraId="5D36B338" w14:textId="77777777" w:rsidTr="00551604">
        <w:trPr>
          <w:trHeight w:hRule="exact" w:val="284"/>
        </w:trPr>
        <w:tc>
          <w:tcPr>
            <w:tcW w:w="5118" w:type="dxa"/>
            <w:shd w:val="clear" w:color="auto" w:fill="auto"/>
            <w:noWrap/>
            <w:vAlign w:val="center"/>
          </w:tcPr>
          <w:p w14:paraId="4A768A02" w14:textId="77777777" w:rsidR="00E07C4E" w:rsidRPr="00721663" w:rsidRDefault="00E07C4E" w:rsidP="00551604">
            <w:pPr>
              <w:spacing w:line="240" w:lineRule="auto"/>
              <w:ind w:left="-93"/>
              <w:jc w:val="left"/>
              <w:rPr>
                <w:rFonts w:ascii="Arial" w:hAnsi="Arial" w:cs="Arial"/>
                <w:sz w:val="18"/>
                <w:szCs w:val="18"/>
                <w:lang w:val="bg-BG"/>
              </w:rPr>
            </w:pPr>
          </w:p>
        </w:tc>
        <w:tc>
          <w:tcPr>
            <w:tcW w:w="284" w:type="dxa"/>
            <w:shd w:val="clear" w:color="auto" w:fill="auto"/>
            <w:noWrap/>
            <w:vAlign w:val="bottom"/>
          </w:tcPr>
          <w:p w14:paraId="409946C5" w14:textId="77777777" w:rsidR="00E07C4E" w:rsidRPr="00721663" w:rsidRDefault="00E07C4E" w:rsidP="00551604">
            <w:pPr>
              <w:spacing w:line="240" w:lineRule="auto"/>
              <w:rPr>
                <w:b/>
                <w:sz w:val="22"/>
                <w:szCs w:val="22"/>
                <w:lang w:val="bg-BG"/>
              </w:rPr>
            </w:pPr>
          </w:p>
        </w:tc>
        <w:tc>
          <w:tcPr>
            <w:tcW w:w="1559" w:type="dxa"/>
            <w:tcBorders>
              <w:top w:val="single" w:sz="4" w:space="0" w:color="auto"/>
              <w:bottom w:val="single" w:sz="4" w:space="0" w:color="auto"/>
            </w:tcBorders>
            <w:shd w:val="clear" w:color="auto" w:fill="auto"/>
            <w:noWrap/>
            <w:vAlign w:val="center"/>
          </w:tcPr>
          <w:p w14:paraId="533CB773" w14:textId="77777777" w:rsidR="00E07C4E" w:rsidRPr="00721663" w:rsidRDefault="00E07C4E" w:rsidP="00551604">
            <w:pPr>
              <w:spacing w:line="240" w:lineRule="auto"/>
              <w:ind w:left="601"/>
              <w:jc w:val="right"/>
              <w:rPr>
                <w:rFonts w:ascii="Arial" w:hAnsi="Arial" w:cs="Arial"/>
                <w:b/>
                <w:sz w:val="18"/>
                <w:szCs w:val="18"/>
                <w:lang w:val="bg-BG"/>
              </w:rPr>
            </w:pPr>
            <w:r w:rsidRPr="00721663">
              <w:rPr>
                <w:rFonts w:ascii="Arial" w:hAnsi="Arial" w:cs="Arial"/>
                <w:b/>
                <w:sz w:val="18"/>
                <w:szCs w:val="18"/>
                <w:lang w:val="bg-BG"/>
              </w:rPr>
              <w:t xml:space="preserve">(40) </w:t>
            </w:r>
          </w:p>
        </w:tc>
        <w:tc>
          <w:tcPr>
            <w:tcW w:w="284" w:type="dxa"/>
            <w:vAlign w:val="center"/>
          </w:tcPr>
          <w:p w14:paraId="5B56A658" w14:textId="77777777" w:rsidR="00E07C4E" w:rsidRPr="00721663" w:rsidRDefault="00E07C4E" w:rsidP="00551604">
            <w:pPr>
              <w:spacing w:line="240" w:lineRule="auto"/>
              <w:ind w:left="601"/>
              <w:jc w:val="right"/>
              <w:rPr>
                <w:rFonts w:ascii="Arial" w:hAnsi="Arial" w:cs="Arial"/>
                <w:sz w:val="18"/>
                <w:szCs w:val="18"/>
                <w:lang w:val="bg-BG"/>
              </w:rPr>
            </w:pPr>
          </w:p>
        </w:tc>
        <w:tc>
          <w:tcPr>
            <w:tcW w:w="1701" w:type="dxa"/>
            <w:tcBorders>
              <w:top w:val="single" w:sz="4" w:space="0" w:color="auto"/>
              <w:bottom w:val="single" w:sz="4" w:space="0" w:color="auto"/>
            </w:tcBorders>
            <w:shd w:val="clear" w:color="auto" w:fill="auto"/>
            <w:noWrap/>
            <w:vAlign w:val="center"/>
          </w:tcPr>
          <w:p w14:paraId="26386991" w14:textId="77777777" w:rsidR="00E07C4E" w:rsidRPr="00721663" w:rsidRDefault="00E07C4E" w:rsidP="00551604">
            <w:pPr>
              <w:spacing w:line="240" w:lineRule="auto"/>
              <w:ind w:left="601"/>
              <w:jc w:val="right"/>
              <w:rPr>
                <w:rFonts w:ascii="Arial" w:hAnsi="Arial" w:cs="Arial"/>
                <w:b/>
                <w:sz w:val="18"/>
                <w:szCs w:val="18"/>
                <w:lang w:val="bg-BG"/>
              </w:rPr>
            </w:pPr>
            <w:r w:rsidRPr="00721663">
              <w:rPr>
                <w:rFonts w:ascii="Arial" w:hAnsi="Arial" w:cs="Arial"/>
                <w:b/>
                <w:sz w:val="18"/>
                <w:szCs w:val="18"/>
                <w:lang w:val="bg-BG"/>
              </w:rPr>
              <w:t>(40)</w:t>
            </w:r>
          </w:p>
        </w:tc>
      </w:tr>
      <w:tr w:rsidR="00E07C4E" w:rsidRPr="00721663" w14:paraId="6BAE3908" w14:textId="77777777" w:rsidTr="00551604">
        <w:trPr>
          <w:trHeight w:hRule="exact" w:val="284"/>
        </w:trPr>
        <w:tc>
          <w:tcPr>
            <w:tcW w:w="5118" w:type="dxa"/>
            <w:shd w:val="clear" w:color="auto" w:fill="auto"/>
            <w:noWrap/>
            <w:vAlign w:val="center"/>
          </w:tcPr>
          <w:p w14:paraId="1686597E" w14:textId="77777777" w:rsidR="00E07C4E" w:rsidRPr="00721663" w:rsidRDefault="00E07C4E" w:rsidP="00551604">
            <w:pPr>
              <w:spacing w:line="240" w:lineRule="auto"/>
              <w:ind w:left="-93"/>
              <w:jc w:val="left"/>
              <w:rPr>
                <w:rFonts w:ascii="Arial" w:hAnsi="Arial" w:cs="Arial"/>
                <w:b/>
                <w:sz w:val="18"/>
                <w:szCs w:val="18"/>
                <w:lang w:val="bg-BG"/>
              </w:rPr>
            </w:pPr>
            <w:r w:rsidRPr="00721663">
              <w:rPr>
                <w:rFonts w:ascii="Arial" w:hAnsi="Arial" w:cs="Arial"/>
                <w:b/>
                <w:sz w:val="18"/>
                <w:szCs w:val="18"/>
                <w:lang w:val="bg-BG"/>
              </w:rPr>
              <w:t>Нетни активи</w:t>
            </w:r>
          </w:p>
        </w:tc>
        <w:tc>
          <w:tcPr>
            <w:tcW w:w="284" w:type="dxa"/>
            <w:shd w:val="clear" w:color="auto" w:fill="auto"/>
            <w:noWrap/>
            <w:vAlign w:val="bottom"/>
          </w:tcPr>
          <w:p w14:paraId="3B23EAB3" w14:textId="77777777" w:rsidR="00E07C4E" w:rsidRPr="00721663" w:rsidRDefault="00E07C4E" w:rsidP="00551604">
            <w:pPr>
              <w:spacing w:line="240" w:lineRule="auto"/>
              <w:rPr>
                <w:b/>
                <w:sz w:val="22"/>
                <w:szCs w:val="22"/>
                <w:lang w:val="bg-BG"/>
              </w:rPr>
            </w:pPr>
          </w:p>
        </w:tc>
        <w:tc>
          <w:tcPr>
            <w:tcW w:w="1559" w:type="dxa"/>
            <w:tcBorders>
              <w:bottom w:val="double" w:sz="4" w:space="0" w:color="auto"/>
            </w:tcBorders>
            <w:shd w:val="clear" w:color="auto" w:fill="auto"/>
            <w:noWrap/>
            <w:vAlign w:val="center"/>
          </w:tcPr>
          <w:p w14:paraId="6BEFAA25" w14:textId="77777777" w:rsidR="00E07C4E" w:rsidRPr="00721663" w:rsidRDefault="00E07C4E" w:rsidP="00551604">
            <w:pPr>
              <w:spacing w:line="240" w:lineRule="auto"/>
              <w:ind w:left="601"/>
              <w:jc w:val="right"/>
              <w:rPr>
                <w:rFonts w:ascii="Arial" w:hAnsi="Arial" w:cs="Arial"/>
                <w:b/>
                <w:sz w:val="18"/>
                <w:szCs w:val="18"/>
                <w:lang w:val="bg-BG"/>
              </w:rPr>
            </w:pPr>
            <w:r w:rsidRPr="00721663">
              <w:rPr>
                <w:rFonts w:ascii="Arial" w:hAnsi="Arial" w:cs="Arial"/>
                <w:b/>
                <w:sz w:val="18"/>
                <w:szCs w:val="18"/>
                <w:lang w:val="bg-BG"/>
              </w:rPr>
              <w:t>10</w:t>
            </w:r>
          </w:p>
        </w:tc>
        <w:tc>
          <w:tcPr>
            <w:tcW w:w="284" w:type="dxa"/>
            <w:vAlign w:val="center"/>
          </w:tcPr>
          <w:p w14:paraId="645F3477" w14:textId="77777777" w:rsidR="00E07C4E" w:rsidRPr="00721663" w:rsidRDefault="00E07C4E" w:rsidP="00551604">
            <w:pPr>
              <w:spacing w:line="240" w:lineRule="auto"/>
              <w:ind w:left="601"/>
              <w:jc w:val="right"/>
              <w:rPr>
                <w:rFonts w:ascii="Arial" w:hAnsi="Arial" w:cs="Arial"/>
                <w:b/>
                <w:sz w:val="18"/>
                <w:szCs w:val="18"/>
                <w:lang w:val="bg-BG"/>
              </w:rPr>
            </w:pPr>
          </w:p>
        </w:tc>
        <w:tc>
          <w:tcPr>
            <w:tcW w:w="1701" w:type="dxa"/>
            <w:tcBorders>
              <w:bottom w:val="double" w:sz="4" w:space="0" w:color="auto"/>
            </w:tcBorders>
            <w:shd w:val="clear" w:color="auto" w:fill="auto"/>
            <w:noWrap/>
            <w:vAlign w:val="center"/>
          </w:tcPr>
          <w:p w14:paraId="336CB025" w14:textId="77777777" w:rsidR="00E07C4E" w:rsidRPr="00721663" w:rsidRDefault="00E07C4E" w:rsidP="00551604">
            <w:pPr>
              <w:spacing w:line="240" w:lineRule="auto"/>
              <w:ind w:left="601"/>
              <w:jc w:val="right"/>
              <w:rPr>
                <w:rFonts w:ascii="Arial" w:hAnsi="Arial" w:cs="Arial"/>
                <w:b/>
                <w:sz w:val="18"/>
                <w:szCs w:val="18"/>
                <w:lang w:val="bg-BG"/>
              </w:rPr>
            </w:pPr>
            <w:r w:rsidRPr="00721663">
              <w:rPr>
                <w:rFonts w:ascii="Arial" w:hAnsi="Arial" w:cs="Arial"/>
                <w:b/>
                <w:sz w:val="18"/>
                <w:szCs w:val="18"/>
                <w:lang w:val="bg-BG"/>
              </w:rPr>
              <w:t>10</w:t>
            </w:r>
          </w:p>
        </w:tc>
      </w:tr>
      <w:tr w:rsidR="00E07C4E" w:rsidRPr="00721663" w14:paraId="48A09949" w14:textId="77777777" w:rsidTr="00551604">
        <w:trPr>
          <w:trHeight w:hRule="exact" w:val="170"/>
        </w:trPr>
        <w:tc>
          <w:tcPr>
            <w:tcW w:w="5118" w:type="dxa"/>
            <w:shd w:val="clear" w:color="auto" w:fill="auto"/>
            <w:noWrap/>
            <w:vAlign w:val="center"/>
          </w:tcPr>
          <w:p w14:paraId="15CECD96" w14:textId="77777777" w:rsidR="00E07C4E" w:rsidRPr="00721663" w:rsidRDefault="00E07C4E" w:rsidP="00551604">
            <w:pPr>
              <w:spacing w:line="240" w:lineRule="auto"/>
              <w:ind w:left="-93"/>
              <w:jc w:val="left"/>
              <w:rPr>
                <w:rFonts w:ascii="Arial" w:hAnsi="Arial" w:cs="Arial"/>
                <w:sz w:val="18"/>
                <w:szCs w:val="18"/>
                <w:lang w:val="bg-BG"/>
              </w:rPr>
            </w:pPr>
          </w:p>
        </w:tc>
        <w:tc>
          <w:tcPr>
            <w:tcW w:w="284" w:type="dxa"/>
            <w:shd w:val="clear" w:color="auto" w:fill="auto"/>
            <w:noWrap/>
            <w:vAlign w:val="bottom"/>
          </w:tcPr>
          <w:p w14:paraId="39B1B9B3" w14:textId="77777777" w:rsidR="00E07C4E" w:rsidRPr="00721663" w:rsidRDefault="00E07C4E" w:rsidP="00551604">
            <w:pPr>
              <w:spacing w:line="240" w:lineRule="auto"/>
              <w:rPr>
                <w:b/>
                <w:sz w:val="22"/>
                <w:szCs w:val="22"/>
                <w:lang w:val="bg-BG"/>
              </w:rPr>
            </w:pPr>
          </w:p>
        </w:tc>
        <w:tc>
          <w:tcPr>
            <w:tcW w:w="1559" w:type="dxa"/>
            <w:tcBorders>
              <w:top w:val="double" w:sz="4" w:space="0" w:color="auto"/>
            </w:tcBorders>
            <w:shd w:val="clear" w:color="auto" w:fill="auto"/>
            <w:noWrap/>
            <w:vAlign w:val="center"/>
          </w:tcPr>
          <w:p w14:paraId="722DE96E" w14:textId="77777777" w:rsidR="00E07C4E" w:rsidRPr="00721663" w:rsidRDefault="00E07C4E" w:rsidP="00551604">
            <w:pPr>
              <w:spacing w:line="240" w:lineRule="auto"/>
              <w:ind w:left="601"/>
              <w:jc w:val="right"/>
              <w:rPr>
                <w:rFonts w:ascii="Arial" w:hAnsi="Arial" w:cs="Arial"/>
                <w:sz w:val="18"/>
                <w:szCs w:val="18"/>
                <w:lang w:val="bg-BG"/>
              </w:rPr>
            </w:pPr>
          </w:p>
        </w:tc>
        <w:tc>
          <w:tcPr>
            <w:tcW w:w="284" w:type="dxa"/>
            <w:vAlign w:val="center"/>
          </w:tcPr>
          <w:p w14:paraId="66612642" w14:textId="77777777" w:rsidR="00E07C4E" w:rsidRPr="00721663" w:rsidRDefault="00E07C4E" w:rsidP="00551604">
            <w:pPr>
              <w:spacing w:line="240" w:lineRule="auto"/>
              <w:ind w:left="601"/>
              <w:jc w:val="right"/>
              <w:rPr>
                <w:rFonts w:ascii="Arial" w:hAnsi="Arial" w:cs="Arial"/>
                <w:sz w:val="18"/>
                <w:szCs w:val="18"/>
                <w:lang w:val="bg-BG"/>
              </w:rPr>
            </w:pPr>
          </w:p>
        </w:tc>
        <w:tc>
          <w:tcPr>
            <w:tcW w:w="1701" w:type="dxa"/>
            <w:tcBorders>
              <w:top w:val="double" w:sz="4" w:space="0" w:color="auto"/>
            </w:tcBorders>
            <w:shd w:val="clear" w:color="auto" w:fill="auto"/>
            <w:noWrap/>
            <w:vAlign w:val="center"/>
          </w:tcPr>
          <w:p w14:paraId="38059136" w14:textId="77777777" w:rsidR="00E07C4E" w:rsidRPr="00721663" w:rsidRDefault="00E07C4E" w:rsidP="00551604">
            <w:pPr>
              <w:spacing w:line="240" w:lineRule="auto"/>
              <w:ind w:left="601"/>
              <w:jc w:val="right"/>
              <w:rPr>
                <w:rFonts w:ascii="Arial" w:hAnsi="Arial" w:cs="Arial"/>
                <w:sz w:val="18"/>
                <w:szCs w:val="18"/>
                <w:lang w:val="bg-BG"/>
              </w:rPr>
            </w:pPr>
          </w:p>
        </w:tc>
      </w:tr>
      <w:tr w:rsidR="00E07C4E" w:rsidRPr="00721663" w14:paraId="267886C2" w14:textId="77777777" w:rsidTr="00551604">
        <w:trPr>
          <w:trHeight w:hRule="exact" w:val="284"/>
        </w:trPr>
        <w:tc>
          <w:tcPr>
            <w:tcW w:w="5118" w:type="dxa"/>
            <w:shd w:val="clear" w:color="auto" w:fill="auto"/>
            <w:noWrap/>
            <w:vAlign w:val="center"/>
          </w:tcPr>
          <w:p w14:paraId="54256919" w14:textId="77777777" w:rsidR="00E07C4E" w:rsidRPr="00721663" w:rsidRDefault="00E07C4E" w:rsidP="00551604">
            <w:pPr>
              <w:spacing w:line="240" w:lineRule="auto"/>
              <w:ind w:left="-93"/>
              <w:jc w:val="left"/>
              <w:rPr>
                <w:rFonts w:ascii="Arial" w:hAnsi="Arial" w:cs="Arial"/>
                <w:sz w:val="18"/>
                <w:szCs w:val="18"/>
                <w:lang w:val="bg-BG"/>
              </w:rPr>
            </w:pPr>
            <w:r w:rsidRPr="00721663">
              <w:rPr>
                <w:rFonts w:ascii="Arial" w:hAnsi="Arial" w:cs="Arial"/>
                <w:sz w:val="18"/>
                <w:szCs w:val="18"/>
                <w:lang w:val="bg-BG"/>
              </w:rPr>
              <w:t>Неконтролно участие</w:t>
            </w:r>
          </w:p>
        </w:tc>
        <w:tc>
          <w:tcPr>
            <w:tcW w:w="284" w:type="dxa"/>
            <w:shd w:val="clear" w:color="auto" w:fill="auto"/>
            <w:noWrap/>
            <w:vAlign w:val="bottom"/>
          </w:tcPr>
          <w:p w14:paraId="3A3DCD48" w14:textId="77777777" w:rsidR="00E07C4E" w:rsidRPr="00721663" w:rsidRDefault="00E07C4E" w:rsidP="00551604">
            <w:pPr>
              <w:spacing w:line="240" w:lineRule="auto"/>
              <w:rPr>
                <w:b/>
                <w:sz w:val="22"/>
                <w:szCs w:val="22"/>
                <w:lang w:val="bg-BG"/>
              </w:rPr>
            </w:pPr>
          </w:p>
        </w:tc>
        <w:tc>
          <w:tcPr>
            <w:tcW w:w="1559" w:type="dxa"/>
            <w:shd w:val="clear" w:color="auto" w:fill="auto"/>
            <w:noWrap/>
            <w:vAlign w:val="center"/>
          </w:tcPr>
          <w:p w14:paraId="6FF91DE4" w14:textId="77777777" w:rsidR="00E07C4E" w:rsidRPr="00721663" w:rsidRDefault="00E07C4E" w:rsidP="00551604">
            <w:pPr>
              <w:spacing w:line="240" w:lineRule="auto"/>
              <w:ind w:left="601"/>
              <w:jc w:val="right"/>
              <w:rPr>
                <w:rFonts w:ascii="Arial" w:hAnsi="Arial" w:cs="Arial"/>
                <w:sz w:val="18"/>
                <w:szCs w:val="18"/>
                <w:lang w:val="bg-BG"/>
              </w:rPr>
            </w:pPr>
            <w:r w:rsidRPr="00721663">
              <w:rPr>
                <w:rFonts w:ascii="Arial" w:hAnsi="Arial" w:cs="Arial"/>
                <w:sz w:val="18"/>
                <w:szCs w:val="18"/>
                <w:lang w:val="bg-BG"/>
              </w:rPr>
              <w:t>-</w:t>
            </w:r>
          </w:p>
        </w:tc>
        <w:tc>
          <w:tcPr>
            <w:tcW w:w="284" w:type="dxa"/>
            <w:vAlign w:val="center"/>
          </w:tcPr>
          <w:p w14:paraId="42FCB2C2" w14:textId="77777777" w:rsidR="00E07C4E" w:rsidRPr="00721663" w:rsidRDefault="00E07C4E" w:rsidP="00551604">
            <w:pPr>
              <w:spacing w:line="240" w:lineRule="auto"/>
              <w:ind w:left="601"/>
              <w:jc w:val="right"/>
              <w:rPr>
                <w:rFonts w:ascii="Arial" w:hAnsi="Arial" w:cs="Arial"/>
                <w:sz w:val="18"/>
                <w:szCs w:val="18"/>
                <w:lang w:val="bg-BG"/>
              </w:rPr>
            </w:pPr>
          </w:p>
        </w:tc>
        <w:tc>
          <w:tcPr>
            <w:tcW w:w="1701" w:type="dxa"/>
            <w:shd w:val="clear" w:color="auto" w:fill="auto"/>
            <w:noWrap/>
            <w:vAlign w:val="center"/>
          </w:tcPr>
          <w:p w14:paraId="73628AEC" w14:textId="77777777" w:rsidR="00E07C4E" w:rsidRPr="00721663" w:rsidRDefault="00E07C4E" w:rsidP="00551604">
            <w:pPr>
              <w:spacing w:line="240" w:lineRule="auto"/>
              <w:ind w:left="601"/>
              <w:jc w:val="right"/>
              <w:rPr>
                <w:rFonts w:ascii="Arial" w:hAnsi="Arial" w:cs="Arial"/>
                <w:sz w:val="18"/>
                <w:szCs w:val="18"/>
                <w:lang w:val="bg-BG"/>
              </w:rPr>
            </w:pPr>
          </w:p>
        </w:tc>
      </w:tr>
      <w:tr w:rsidR="00E07C4E" w:rsidRPr="00721663" w14:paraId="6505BAB2" w14:textId="77777777" w:rsidTr="00551604">
        <w:trPr>
          <w:trHeight w:hRule="exact" w:val="284"/>
        </w:trPr>
        <w:tc>
          <w:tcPr>
            <w:tcW w:w="5118" w:type="dxa"/>
            <w:shd w:val="clear" w:color="auto" w:fill="auto"/>
            <w:noWrap/>
            <w:vAlign w:val="center"/>
          </w:tcPr>
          <w:p w14:paraId="78D6803D" w14:textId="77777777" w:rsidR="00E07C4E" w:rsidRPr="00721663" w:rsidRDefault="00E07C4E" w:rsidP="00551604">
            <w:pPr>
              <w:spacing w:line="240" w:lineRule="auto"/>
              <w:ind w:left="-93"/>
              <w:jc w:val="left"/>
              <w:rPr>
                <w:rFonts w:ascii="Arial" w:hAnsi="Arial" w:cs="Arial"/>
                <w:sz w:val="18"/>
                <w:szCs w:val="18"/>
                <w:lang w:val="bg-BG"/>
              </w:rPr>
            </w:pPr>
            <w:r w:rsidRPr="00721663">
              <w:rPr>
                <w:rFonts w:ascii="Arial" w:hAnsi="Arial" w:cs="Arial"/>
                <w:sz w:val="18"/>
                <w:szCs w:val="18"/>
                <w:lang w:val="bg-BG"/>
              </w:rPr>
              <w:t>Общо придобити нетни активи</w:t>
            </w:r>
          </w:p>
        </w:tc>
        <w:tc>
          <w:tcPr>
            <w:tcW w:w="284" w:type="dxa"/>
            <w:shd w:val="clear" w:color="auto" w:fill="auto"/>
            <w:noWrap/>
            <w:vAlign w:val="bottom"/>
          </w:tcPr>
          <w:p w14:paraId="5802941A" w14:textId="77777777" w:rsidR="00E07C4E" w:rsidRPr="00721663" w:rsidRDefault="00E07C4E" w:rsidP="00551604">
            <w:pPr>
              <w:spacing w:line="240" w:lineRule="auto"/>
              <w:rPr>
                <w:b/>
                <w:sz w:val="22"/>
                <w:szCs w:val="22"/>
                <w:lang w:val="bg-BG"/>
              </w:rPr>
            </w:pPr>
          </w:p>
        </w:tc>
        <w:tc>
          <w:tcPr>
            <w:tcW w:w="1559" w:type="dxa"/>
            <w:shd w:val="clear" w:color="auto" w:fill="auto"/>
            <w:noWrap/>
            <w:vAlign w:val="center"/>
          </w:tcPr>
          <w:p w14:paraId="75F891AB" w14:textId="77777777" w:rsidR="00E07C4E" w:rsidRPr="00721663" w:rsidRDefault="00E07C4E" w:rsidP="00551604">
            <w:pPr>
              <w:spacing w:line="240" w:lineRule="auto"/>
              <w:ind w:left="601"/>
              <w:jc w:val="right"/>
              <w:rPr>
                <w:rFonts w:ascii="Arial" w:hAnsi="Arial" w:cs="Arial"/>
                <w:sz w:val="18"/>
                <w:szCs w:val="18"/>
                <w:lang w:val="bg-BG"/>
              </w:rPr>
            </w:pPr>
            <w:r w:rsidRPr="00721663">
              <w:rPr>
                <w:rFonts w:ascii="Arial" w:hAnsi="Arial" w:cs="Arial"/>
                <w:sz w:val="18"/>
                <w:szCs w:val="18"/>
                <w:lang w:val="bg-BG"/>
              </w:rPr>
              <w:t>10</w:t>
            </w:r>
          </w:p>
        </w:tc>
        <w:tc>
          <w:tcPr>
            <w:tcW w:w="284" w:type="dxa"/>
            <w:vAlign w:val="center"/>
          </w:tcPr>
          <w:p w14:paraId="5BF9405C" w14:textId="77777777" w:rsidR="00E07C4E" w:rsidRPr="00721663" w:rsidRDefault="00E07C4E" w:rsidP="00551604">
            <w:pPr>
              <w:spacing w:line="240" w:lineRule="auto"/>
              <w:ind w:left="601"/>
              <w:jc w:val="right"/>
              <w:rPr>
                <w:rFonts w:ascii="Arial" w:hAnsi="Arial" w:cs="Arial"/>
                <w:sz w:val="18"/>
                <w:szCs w:val="18"/>
                <w:lang w:val="bg-BG"/>
              </w:rPr>
            </w:pPr>
          </w:p>
        </w:tc>
        <w:tc>
          <w:tcPr>
            <w:tcW w:w="1701" w:type="dxa"/>
            <w:shd w:val="clear" w:color="auto" w:fill="auto"/>
            <w:noWrap/>
            <w:vAlign w:val="center"/>
          </w:tcPr>
          <w:p w14:paraId="0426F15A" w14:textId="77777777" w:rsidR="00E07C4E" w:rsidRPr="00721663" w:rsidRDefault="00E07C4E" w:rsidP="00551604">
            <w:pPr>
              <w:spacing w:line="240" w:lineRule="auto"/>
              <w:ind w:left="601"/>
              <w:jc w:val="right"/>
              <w:rPr>
                <w:rFonts w:ascii="Arial" w:hAnsi="Arial" w:cs="Arial"/>
                <w:sz w:val="18"/>
                <w:szCs w:val="18"/>
                <w:lang w:val="bg-BG"/>
              </w:rPr>
            </w:pPr>
          </w:p>
        </w:tc>
      </w:tr>
      <w:tr w:rsidR="00E07C4E" w:rsidRPr="00721663" w14:paraId="2D457C72" w14:textId="77777777" w:rsidTr="00551604">
        <w:trPr>
          <w:trHeight w:hRule="exact" w:val="170"/>
        </w:trPr>
        <w:tc>
          <w:tcPr>
            <w:tcW w:w="5118" w:type="dxa"/>
            <w:shd w:val="clear" w:color="auto" w:fill="auto"/>
            <w:noWrap/>
            <w:vAlign w:val="center"/>
          </w:tcPr>
          <w:p w14:paraId="27D836ED" w14:textId="77777777" w:rsidR="00E07C4E" w:rsidRPr="00721663" w:rsidRDefault="00E07C4E" w:rsidP="00551604">
            <w:pPr>
              <w:spacing w:line="240" w:lineRule="auto"/>
              <w:ind w:left="-93"/>
              <w:jc w:val="left"/>
              <w:rPr>
                <w:rFonts w:ascii="Arial" w:hAnsi="Arial" w:cs="Arial"/>
                <w:sz w:val="18"/>
                <w:szCs w:val="18"/>
                <w:lang w:val="bg-BG"/>
              </w:rPr>
            </w:pPr>
          </w:p>
        </w:tc>
        <w:tc>
          <w:tcPr>
            <w:tcW w:w="284" w:type="dxa"/>
            <w:shd w:val="clear" w:color="auto" w:fill="auto"/>
            <w:noWrap/>
            <w:vAlign w:val="bottom"/>
          </w:tcPr>
          <w:p w14:paraId="2CBFEA08" w14:textId="77777777" w:rsidR="00E07C4E" w:rsidRPr="00721663" w:rsidRDefault="00E07C4E" w:rsidP="00551604">
            <w:pPr>
              <w:spacing w:line="240" w:lineRule="auto"/>
              <w:rPr>
                <w:b/>
                <w:sz w:val="22"/>
                <w:szCs w:val="22"/>
                <w:lang w:val="bg-BG"/>
              </w:rPr>
            </w:pPr>
          </w:p>
        </w:tc>
        <w:tc>
          <w:tcPr>
            <w:tcW w:w="1559" w:type="dxa"/>
            <w:shd w:val="clear" w:color="auto" w:fill="auto"/>
            <w:noWrap/>
            <w:vAlign w:val="center"/>
          </w:tcPr>
          <w:p w14:paraId="5981F6C4" w14:textId="77777777" w:rsidR="00E07C4E" w:rsidRPr="00721663" w:rsidRDefault="00E07C4E" w:rsidP="00551604">
            <w:pPr>
              <w:spacing w:line="240" w:lineRule="auto"/>
              <w:ind w:left="601"/>
              <w:jc w:val="right"/>
              <w:rPr>
                <w:rFonts w:ascii="Arial" w:hAnsi="Arial" w:cs="Arial"/>
                <w:sz w:val="18"/>
                <w:szCs w:val="18"/>
                <w:lang w:val="bg-BG"/>
              </w:rPr>
            </w:pPr>
          </w:p>
        </w:tc>
        <w:tc>
          <w:tcPr>
            <w:tcW w:w="284" w:type="dxa"/>
            <w:vAlign w:val="center"/>
          </w:tcPr>
          <w:p w14:paraId="69E4B071" w14:textId="77777777" w:rsidR="00E07C4E" w:rsidRPr="00721663" w:rsidRDefault="00E07C4E" w:rsidP="00551604">
            <w:pPr>
              <w:spacing w:line="240" w:lineRule="auto"/>
              <w:ind w:left="601"/>
              <w:jc w:val="right"/>
              <w:rPr>
                <w:rFonts w:ascii="Arial" w:hAnsi="Arial" w:cs="Arial"/>
                <w:sz w:val="18"/>
                <w:szCs w:val="18"/>
                <w:lang w:val="bg-BG"/>
              </w:rPr>
            </w:pPr>
          </w:p>
        </w:tc>
        <w:tc>
          <w:tcPr>
            <w:tcW w:w="1701" w:type="dxa"/>
            <w:shd w:val="clear" w:color="auto" w:fill="auto"/>
            <w:noWrap/>
            <w:vAlign w:val="center"/>
          </w:tcPr>
          <w:p w14:paraId="0551C6D5" w14:textId="77777777" w:rsidR="00E07C4E" w:rsidRPr="00721663" w:rsidRDefault="00E07C4E" w:rsidP="00551604">
            <w:pPr>
              <w:spacing w:line="240" w:lineRule="auto"/>
              <w:ind w:left="601"/>
              <w:jc w:val="right"/>
              <w:rPr>
                <w:rFonts w:ascii="Arial" w:hAnsi="Arial" w:cs="Arial"/>
                <w:sz w:val="18"/>
                <w:szCs w:val="18"/>
                <w:lang w:val="bg-BG"/>
              </w:rPr>
            </w:pPr>
          </w:p>
        </w:tc>
      </w:tr>
      <w:tr w:rsidR="00E07C4E" w:rsidRPr="00721663" w14:paraId="011657E3" w14:textId="77777777" w:rsidTr="00551604">
        <w:trPr>
          <w:trHeight w:hRule="exact" w:val="284"/>
        </w:trPr>
        <w:tc>
          <w:tcPr>
            <w:tcW w:w="5118" w:type="dxa"/>
            <w:shd w:val="clear" w:color="auto" w:fill="auto"/>
            <w:noWrap/>
            <w:vAlign w:val="center"/>
          </w:tcPr>
          <w:p w14:paraId="5DC3FB8D" w14:textId="77777777" w:rsidR="00E07C4E" w:rsidRPr="00721663" w:rsidRDefault="00E07C4E" w:rsidP="00551604">
            <w:pPr>
              <w:spacing w:line="240" w:lineRule="auto"/>
              <w:ind w:left="-93"/>
              <w:jc w:val="left"/>
              <w:rPr>
                <w:rFonts w:ascii="Arial" w:hAnsi="Arial" w:cs="Arial"/>
                <w:sz w:val="18"/>
                <w:szCs w:val="18"/>
                <w:lang w:val="bg-BG"/>
              </w:rPr>
            </w:pPr>
            <w:r w:rsidRPr="00721663">
              <w:rPr>
                <w:rFonts w:ascii="Arial" w:hAnsi="Arial" w:cs="Arial"/>
                <w:sz w:val="18"/>
                <w:szCs w:val="18"/>
                <w:lang w:val="bg-BG"/>
              </w:rPr>
              <w:t>Репутация, възникваща при придобиване</w:t>
            </w:r>
          </w:p>
        </w:tc>
        <w:tc>
          <w:tcPr>
            <w:tcW w:w="284" w:type="dxa"/>
            <w:shd w:val="clear" w:color="auto" w:fill="auto"/>
            <w:noWrap/>
            <w:vAlign w:val="bottom"/>
          </w:tcPr>
          <w:p w14:paraId="42963DC5" w14:textId="77777777" w:rsidR="00E07C4E" w:rsidRPr="00721663" w:rsidRDefault="00E07C4E" w:rsidP="00551604">
            <w:pPr>
              <w:spacing w:line="240" w:lineRule="auto"/>
              <w:rPr>
                <w:b/>
                <w:sz w:val="22"/>
                <w:szCs w:val="22"/>
                <w:lang w:val="bg-BG"/>
              </w:rPr>
            </w:pPr>
          </w:p>
        </w:tc>
        <w:tc>
          <w:tcPr>
            <w:tcW w:w="1559" w:type="dxa"/>
            <w:tcBorders>
              <w:top w:val="single" w:sz="4" w:space="0" w:color="auto"/>
            </w:tcBorders>
            <w:shd w:val="clear" w:color="auto" w:fill="auto"/>
            <w:noWrap/>
            <w:vAlign w:val="center"/>
          </w:tcPr>
          <w:p w14:paraId="18CC7779" w14:textId="77777777" w:rsidR="00E07C4E" w:rsidRPr="00721663" w:rsidRDefault="00E07C4E" w:rsidP="00551604">
            <w:pPr>
              <w:spacing w:line="240" w:lineRule="auto"/>
              <w:ind w:left="601"/>
              <w:jc w:val="right"/>
              <w:rPr>
                <w:rFonts w:ascii="Arial" w:hAnsi="Arial" w:cs="Arial"/>
                <w:sz w:val="18"/>
                <w:szCs w:val="18"/>
                <w:lang w:val="bg-BG"/>
              </w:rPr>
            </w:pPr>
            <w:r w:rsidRPr="00721663">
              <w:rPr>
                <w:rFonts w:ascii="Arial" w:hAnsi="Arial" w:cs="Arial"/>
                <w:sz w:val="18"/>
                <w:szCs w:val="18"/>
                <w:lang w:val="bg-BG"/>
              </w:rPr>
              <w:t>69</w:t>
            </w:r>
          </w:p>
        </w:tc>
        <w:tc>
          <w:tcPr>
            <w:tcW w:w="284" w:type="dxa"/>
            <w:vAlign w:val="center"/>
          </w:tcPr>
          <w:p w14:paraId="77102CAD" w14:textId="77777777" w:rsidR="00E07C4E" w:rsidRPr="00721663" w:rsidRDefault="00E07C4E" w:rsidP="00551604">
            <w:pPr>
              <w:spacing w:line="240" w:lineRule="auto"/>
              <w:ind w:left="601"/>
              <w:jc w:val="right"/>
              <w:rPr>
                <w:rFonts w:ascii="Arial" w:hAnsi="Arial" w:cs="Arial"/>
                <w:sz w:val="18"/>
                <w:szCs w:val="18"/>
                <w:lang w:val="bg-BG"/>
              </w:rPr>
            </w:pPr>
          </w:p>
        </w:tc>
        <w:tc>
          <w:tcPr>
            <w:tcW w:w="1701" w:type="dxa"/>
            <w:shd w:val="clear" w:color="auto" w:fill="auto"/>
            <w:noWrap/>
            <w:vAlign w:val="center"/>
          </w:tcPr>
          <w:p w14:paraId="428EF33E" w14:textId="77777777" w:rsidR="00E07C4E" w:rsidRPr="00721663" w:rsidRDefault="00E07C4E" w:rsidP="00551604">
            <w:pPr>
              <w:spacing w:line="240" w:lineRule="auto"/>
              <w:ind w:left="601"/>
              <w:jc w:val="right"/>
              <w:rPr>
                <w:rFonts w:ascii="Arial" w:hAnsi="Arial" w:cs="Arial"/>
                <w:sz w:val="18"/>
                <w:szCs w:val="18"/>
                <w:lang w:val="bg-BG"/>
              </w:rPr>
            </w:pPr>
          </w:p>
        </w:tc>
      </w:tr>
      <w:tr w:rsidR="00E07C4E" w:rsidRPr="00721663" w14:paraId="5918DB31" w14:textId="77777777" w:rsidTr="00551604">
        <w:trPr>
          <w:trHeight w:hRule="exact" w:val="399"/>
        </w:trPr>
        <w:tc>
          <w:tcPr>
            <w:tcW w:w="5118" w:type="dxa"/>
            <w:shd w:val="clear" w:color="auto" w:fill="auto"/>
            <w:noWrap/>
            <w:vAlign w:val="center"/>
          </w:tcPr>
          <w:p w14:paraId="51364215" w14:textId="77777777" w:rsidR="00E07C4E" w:rsidRPr="00721663" w:rsidRDefault="00E07C4E" w:rsidP="00551604">
            <w:pPr>
              <w:spacing w:line="240" w:lineRule="auto"/>
              <w:ind w:left="-93"/>
              <w:jc w:val="left"/>
              <w:rPr>
                <w:rFonts w:ascii="Arial" w:hAnsi="Arial" w:cs="Arial"/>
                <w:b/>
                <w:sz w:val="18"/>
                <w:szCs w:val="18"/>
                <w:lang w:val="bg-BG"/>
              </w:rPr>
            </w:pPr>
            <w:r w:rsidRPr="00721663">
              <w:rPr>
                <w:rFonts w:ascii="Arial" w:hAnsi="Arial" w:cs="Arial"/>
                <w:b/>
                <w:sz w:val="18"/>
                <w:szCs w:val="18"/>
                <w:lang w:val="bg-BG"/>
              </w:rPr>
              <w:t>Репутация, призната в отчета за финансовото състояние</w:t>
            </w:r>
          </w:p>
        </w:tc>
        <w:tc>
          <w:tcPr>
            <w:tcW w:w="284" w:type="dxa"/>
            <w:shd w:val="clear" w:color="auto" w:fill="auto"/>
            <w:noWrap/>
            <w:vAlign w:val="bottom"/>
          </w:tcPr>
          <w:p w14:paraId="2991F653" w14:textId="77777777" w:rsidR="00E07C4E" w:rsidRPr="00721663" w:rsidRDefault="00E07C4E" w:rsidP="00551604">
            <w:pPr>
              <w:spacing w:line="240" w:lineRule="auto"/>
              <w:rPr>
                <w:sz w:val="22"/>
                <w:szCs w:val="22"/>
                <w:lang w:val="bg-BG"/>
              </w:rPr>
            </w:pPr>
          </w:p>
        </w:tc>
        <w:tc>
          <w:tcPr>
            <w:tcW w:w="1559" w:type="dxa"/>
            <w:tcBorders>
              <w:top w:val="single" w:sz="6" w:space="0" w:color="auto"/>
              <w:bottom w:val="single" w:sz="4" w:space="0" w:color="auto"/>
            </w:tcBorders>
            <w:shd w:val="clear" w:color="auto" w:fill="auto"/>
            <w:noWrap/>
            <w:vAlign w:val="center"/>
          </w:tcPr>
          <w:p w14:paraId="5FA39329" w14:textId="77777777" w:rsidR="00E07C4E" w:rsidRPr="00721663" w:rsidRDefault="00E07C4E" w:rsidP="00551604">
            <w:pPr>
              <w:spacing w:line="240" w:lineRule="auto"/>
              <w:jc w:val="right"/>
              <w:rPr>
                <w:rFonts w:ascii="Arial" w:hAnsi="Arial" w:cs="Arial"/>
                <w:b/>
                <w:sz w:val="18"/>
                <w:szCs w:val="18"/>
                <w:lang w:val="bg-BG"/>
              </w:rPr>
            </w:pPr>
            <w:r w:rsidRPr="00721663">
              <w:rPr>
                <w:rFonts w:ascii="Arial" w:hAnsi="Arial" w:cs="Arial"/>
                <w:b/>
                <w:sz w:val="18"/>
                <w:szCs w:val="18"/>
                <w:lang w:val="bg-BG"/>
              </w:rPr>
              <w:t>69</w:t>
            </w:r>
          </w:p>
        </w:tc>
        <w:tc>
          <w:tcPr>
            <w:tcW w:w="284" w:type="dxa"/>
            <w:vAlign w:val="center"/>
          </w:tcPr>
          <w:p w14:paraId="215170E6" w14:textId="77777777" w:rsidR="00E07C4E" w:rsidRPr="00721663" w:rsidRDefault="00E07C4E" w:rsidP="00551604">
            <w:pPr>
              <w:spacing w:line="240" w:lineRule="auto"/>
              <w:jc w:val="right"/>
              <w:rPr>
                <w:rFonts w:ascii="Arial" w:hAnsi="Arial" w:cs="Arial"/>
                <w:sz w:val="18"/>
                <w:szCs w:val="18"/>
                <w:lang w:val="bg-BG"/>
              </w:rPr>
            </w:pPr>
          </w:p>
        </w:tc>
        <w:tc>
          <w:tcPr>
            <w:tcW w:w="1701" w:type="dxa"/>
            <w:shd w:val="clear" w:color="auto" w:fill="auto"/>
            <w:noWrap/>
            <w:vAlign w:val="center"/>
          </w:tcPr>
          <w:p w14:paraId="4C64FBB3" w14:textId="77777777" w:rsidR="00E07C4E" w:rsidRPr="00721663" w:rsidRDefault="00E07C4E" w:rsidP="00551604">
            <w:pPr>
              <w:spacing w:line="240" w:lineRule="auto"/>
              <w:jc w:val="right"/>
              <w:rPr>
                <w:rFonts w:ascii="Arial" w:hAnsi="Arial" w:cs="Arial"/>
                <w:sz w:val="18"/>
                <w:szCs w:val="18"/>
                <w:lang w:val="bg-BG"/>
              </w:rPr>
            </w:pPr>
          </w:p>
        </w:tc>
      </w:tr>
      <w:tr w:rsidR="00E07C4E" w:rsidRPr="00721663" w14:paraId="60803689" w14:textId="77777777" w:rsidTr="00551604">
        <w:trPr>
          <w:trHeight w:hRule="exact" w:val="284"/>
        </w:trPr>
        <w:tc>
          <w:tcPr>
            <w:tcW w:w="5118" w:type="dxa"/>
            <w:shd w:val="clear" w:color="auto" w:fill="auto"/>
            <w:noWrap/>
            <w:vAlign w:val="center"/>
          </w:tcPr>
          <w:p w14:paraId="299DC67C" w14:textId="77777777" w:rsidR="00E07C4E" w:rsidRPr="00721663" w:rsidRDefault="00E07C4E" w:rsidP="00551604">
            <w:pPr>
              <w:spacing w:line="240" w:lineRule="auto"/>
              <w:ind w:left="-93"/>
              <w:jc w:val="left"/>
              <w:rPr>
                <w:rFonts w:ascii="Arial" w:hAnsi="Arial" w:cs="Arial"/>
                <w:b/>
                <w:sz w:val="18"/>
                <w:szCs w:val="18"/>
                <w:lang w:val="bg-BG"/>
              </w:rPr>
            </w:pPr>
            <w:r w:rsidRPr="00721663">
              <w:rPr>
                <w:rFonts w:ascii="Arial" w:hAnsi="Arial" w:cs="Arial"/>
                <w:b/>
                <w:sz w:val="18"/>
                <w:szCs w:val="18"/>
                <w:lang w:val="bg-BG"/>
              </w:rPr>
              <w:t>Платено възнаграждение</w:t>
            </w:r>
          </w:p>
        </w:tc>
        <w:tc>
          <w:tcPr>
            <w:tcW w:w="284" w:type="dxa"/>
            <w:shd w:val="clear" w:color="auto" w:fill="auto"/>
            <w:noWrap/>
            <w:vAlign w:val="bottom"/>
          </w:tcPr>
          <w:p w14:paraId="24D45B2A" w14:textId="77777777" w:rsidR="00E07C4E" w:rsidRPr="00721663" w:rsidRDefault="00E07C4E" w:rsidP="00551604">
            <w:pPr>
              <w:spacing w:line="240" w:lineRule="auto"/>
              <w:rPr>
                <w:sz w:val="22"/>
                <w:szCs w:val="22"/>
                <w:lang w:val="bg-BG"/>
              </w:rPr>
            </w:pPr>
          </w:p>
        </w:tc>
        <w:tc>
          <w:tcPr>
            <w:tcW w:w="1559" w:type="dxa"/>
            <w:tcBorders>
              <w:top w:val="single" w:sz="4" w:space="0" w:color="auto"/>
              <w:bottom w:val="double" w:sz="4" w:space="0" w:color="auto"/>
            </w:tcBorders>
            <w:shd w:val="clear" w:color="auto" w:fill="auto"/>
            <w:noWrap/>
            <w:vAlign w:val="center"/>
          </w:tcPr>
          <w:p w14:paraId="01BA251E" w14:textId="77777777" w:rsidR="00E07C4E" w:rsidRPr="00721663" w:rsidRDefault="00E07C4E" w:rsidP="00551604">
            <w:pPr>
              <w:spacing w:line="240" w:lineRule="auto"/>
              <w:jc w:val="right"/>
              <w:rPr>
                <w:rFonts w:ascii="Arial" w:hAnsi="Arial" w:cs="Arial"/>
                <w:b/>
                <w:sz w:val="18"/>
                <w:szCs w:val="18"/>
                <w:lang w:val="bg-BG"/>
              </w:rPr>
            </w:pPr>
            <w:r w:rsidRPr="00721663">
              <w:rPr>
                <w:rFonts w:ascii="Arial" w:hAnsi="Arial" w:cs="Arial"/>
                <w:b/>
                <w:sz w:val="18"/>
                <w:szCs w:val="18"/>
                <w:lang w:val="bg-BG"/>
              </w:rPr>
              <w:t>79</w:t>
            </w:r>
          </w:p>
        </w:tc>
        <w:tc>
          <w:tcPr>
            <w:tcW w:w="284" w:type="dxa"/>
            <w:vAlign w:val="center"/>
          </w:tcPr>
          <w:p w14:paraId="5D2E8E9E" w14:textId="77777777" w:rsidR="00E07C4E" w:rsidRPr="00721663" w:rsidRDefault="00E07C4E" w:rsidP="00551604">
            <w:pPr>
              <w:spacing w:line="240" w:lineRule="auto"/>
              <w:jc w:val="right"/>
              <w:rPr>
                <w:rFonts w:ascii="Arial" w:hAnsi="Arial" w:cs="Arial"/>
                <w:sz w:val="18"/>
                <w:szCs w:val="18"/>
                <w:lang w:val="bg-BG"/>
              </w:rPr>
            </w:pPr>
          </w:p>
        </w:tc>
        <w:tc>
          <w:tcPr>
            <w:tcW w:w="1701" w:type="dxa"/>
            <w:shd w:val="clear" w:color="auto" w:fill="auto"/>
            <w:noWrap/>
            <w:vAlign w:val="center"/>
          </w:tcPr>
          <w:p w14:paraId="5E222F5F" w14:textId="77777777" w:rsidR="00E07C4E" w:rsidRPr="00721663" w:rsidRDefault="00E07C4E" w:rsidP="00551604">
            <w:pPr>
              <w:spacing w:line="240" w:lineRule="auto"/>
              <w:jc w:val="right"/>
              <w:rPr>
                <w:rFonts w:ascii="Arial" w:hAnsi="Arial" w:cs="Arial"/>
                <w:sz w:val="18"/>
                <w:szCs w:val="18"/>
                <w:lang w:val="bg-BG"/>
              </w:rPr>
            </w:pPr>
          </w:p>
        </w:tc>
      </w:tr>
    </w:tbl>
    <w:p w14:paraId="31B91C9B" w14:textId="77777777" w:rsidR="00E07C4E" w:rsidRPr="00721663" w:rsidRDefault="00E07C4E" w:rsidP="00E07C4E">
      <w:pPr>
        <w:pStyle w:val="BodyTextIndent2"/>
        <w:spacing w:line="240" w:lineRule="auto"/>
        <w:ind w:firstLine="0"/>
        <w:rPr>
          <w:rFonts w:ascii="Arial" w:hAnsi="Arial" w:cs="Arial"/>
          <w:b/>
          <w:lang w:val="bg-BG"/>
        </w:rPr>
      </w:pPr>
    </w:p>
    <w:p w14:paraId="258B434C" w14:textId="77777777" w:rsidR="00E07C4E" w:rsidRPr="00721663" w:rsidRDefault="00E07C4E" w:rsidP="00E07C4E">
      <w:pPr>
        <w:pStyle w:val="BodyTextIndent2"/>
        <w:spacing w:after="120"/>
        <w:ind w:firstLine="0"/>
        <w:rPr>
          <w:rFonts w:ascii="Arial" w:hAnsi="Arial" w:cs="Arial"/>
          <w:b/>
          <w:sz w:val="18"/>
          <w:szCs w:val="18"/>
          <w:lang w:val="bg-BG"/>
        </w:rPr>
      </w:pPr>
      <w:r w:rsidRPr="00721663">
        <w:rPr>
          <w:rFonts w:ascii="Arial" w:hAnsi="Arial" w:cs="Arial"/>
          <w:b/>
          <w:sz w:val="18"/>
          <w:szCs w:val="18"/>
          <w:lang w:val="bg-BG"/>
        </w:rPr>
        <w:t>Придобиване на ВГЕ-2 ЕООД</w:t>
      </w:r>
    </w:p>
    <w:p w14:paraId="6AA17E0B" w14:textId="77777777" w:rsidR="00E07C4E" w:rsidRPr="00721663" w:rsidRDefault="00E07C4E" w:rsidP="00E07C4E">
      <w:pPr>
        <w:pStyle w:val="BodyTextIndent2"/>
        <w:spacing w:after="120"/>
        <w:ind w:firstLine="0"/>
        <w:jc w:val="left"/>
        <w:rPr>
          <w:rFonts w:ascii="Arial" w:hAnsi="Arial" w:cs="Arial"/>
          <w:sz w:val="18"/>
          <w:szCs w:val="18"/>
          <w:lang w:val="bg-BG"/>
        </w:rPr>
      </w:pPr>
      <w:r w:rsidRPr="00721663">
        <w:rPr>
          <w:rFonts w:ascii="Arial" w:hAnsi="Arial" w:cs="Arial"/>
          <w:sz w:val="18"/>
          <w:szCs w:val="18"/>
          <w:lang w:val="bg-BG"/>
        </w:rPr>
        <w:t>ВГЕ-2 ЕООД е придобито на 5 август 2011 г., когато предишните му собственици сключват рамково споразумение за покупко-продажба с ВГЕ-1 ЕООД. Финалният договор е подписан на 11 август 2011 г.</w:t>
      </w:r>
    </w:p>
    <w:tbl>
      <w:tblPr>
        <w:tblW w:w="8946" w:type="dxa"/>
        <w:tblInd w:w="93" w:type="dxa"/>
        <w:tblLook w:val="0000" w:firstRow="0" w:lastRow="0" w:firstColumn="0" w:lastColumn="0" w:noHBand="0" w:noVBand="0"/>
      </w:tblPr>
      <w:tblGrid>
        <w:gridCol w:w="5118"/>
        <w:gridCol w:w="284"/>
        <w:gridCol w:w="1559"/>
        <w:gridCol w:w="284"/>
        <w:gridCol w:w="1701"/>
      </w:tblGrid>
      <w:tr w:rsidR="00E07C4E" w:rsidRPr="00721663" w14:paraId="60BA894B" w14:textId="77777777" w:rsidTr="00551604">
        <w:trPr>
          <w:trHeight w:val="255"/>
        </w:trPr>
        <w:tc>
          <w:tcPr>
            <w:tcW w:w="5118" w:type="dxa"/>
            <w:shd w:val="clear" w:color="auto" w:fill="auto"/>
            <w:noWrap/>
          </w:tcPr>
          <w:p w14:paraId="506D581E" w14:textId="77777777" w:rsidR="00E07C4E" w:rsidRPr="00721663" w:rsidRDefault="00E07C4E" w:rsidP="00551604">
            <w:pPr>
              <w:spacing w:before="60" w:after="40" w:line="240" w:lineRule="auto"/>
              <w:rPr>
                <w:sz w:val="22"/>
                <w:szCs w:val="22"/>
                <w:lang w:val="bg-BG"/>
              </w:rPr>
            </w:pPr>
          </w:p>
        </w:tc>
        <w:tc>
          <w:tcPr>
            <w:tcW w:w="284" w:type="dxa"/>
            <w:shd w:val="clear" w:color="auto" w:fill="auto"/>
            <w:noWrap/>
            <w:vAlign w:val="bottom"/>
          </w:tcPr>
          <w:p w14:paraId="0DDA54DD" w14:textId="77777777" w:rsidR="00E07C4E" w:rsidRPr="00721663" w:rsidRDefault="00E07C4E" w:rsidP="00551604">
            <w:pPr>
              <w:spacing w:before="60" w:after="40" w:line="240" w:lineRule="auto"/>
              <w:rPr>
                <w:sz w:val="22"/>
                <w:szCs w:val="22"/>
                <w:lang w:val="bg-BG"/>
              </w:rPr>
            </w:pPr>
          </w:p>
        </w:tc>
        <w:tc>
          <w:tcPr>
            <w:tcW w:w="1559" w:type="dxa"/>
            <w:tcBorders>
              <w:bottom w:val="single" w:sz="6" w:space="0" w:color="auto"/>
            </w:tcBorders>
            <w:shd w:val="clear" w:color="auto" w:fill="auto"/>
            <w:noWrap/>
            <w:vAlign w:val="bottom"/>
          </w:tcPr>
          <w:p w14:paraId="0BF64D39" w14:textId="77777777" w:rsidR="00E07C4E" w:rsidRPr="00721663" w:rsidRDefault="00E07C4E" w:rsidP="00551604">
            <w:pPr>
              <w:spacing w:line="240" w:lineRule="auto"/>
              <w:jc w:val="right"/>
              <w:rPr>
                <w:rFonts w:ascii="Arial" w:hAnsi="Arial" w:cs="Arial"/>
                <w:b/>
                <w:sz w:val="18"/>
                <w:szCs w:val="18"/>
                <w:lang w:val="bg-BG"/>
              </w:rPr>
            </w:pPr>
            <w:r w:rsidRPr="00721663">
              <w:rPr>
                <w:rFonts w:ascii="Arial" w:hAnsi="Arial" w:cs="Arial"/>
                <w:b/>
                <w:sz w:val="18"/>
                <w:szCs w:val="18"/>
                <w:lang w:val="bg-BG"/>
              </w:rPr>
              <w:t>Справедлива стойност</w:t>
            </w:r>
          </w:p>
        </w:tc>
        <w:tc>
          <w:tcPr>
            <w:tcW w:w="284" w:type="dxa"/>
          </w:tcPr>
          <w:p w14:paraId="02FD3A42" w14:textId="77777777" w:rsidR="00E07C4E" w:rsidRPr="00721663" w:rsidRDefault="00E07C4E" w:rsidP="00551604">
            <w:pPr>
              <w:spacing w:line="240" w:lineRule="auto"/>
              <w:jc w:val="right"/>
              <w:rPr>
                <w:rFonts w:ascii="Arial" w:hAnsi="Arial" w:cs="Arial"/>
                <w:b/>
                <w:sz w:val="18"/>
                <w:szCs w:val="18"/>
                <w:lang w:val="bg-BG"/>
              </w:rPr>
            </w:pPr>
          </w:p>
        </w:tc>
        <w:tc>
          <w:tcPr>
            <w:tcW w:w="1701" w:type="dxa"/>
            <w:tcBorders>
              <w:bottom w:val="single" w:sz="6" w:space="0" w:color="auto"/>
            </w:tcBorders>
            <w:shd w:val="clear" w:color="auto" w:fill="auto"/>
            <w:noWrap/>
            <w:vAlign w:val="bottom"/>
          </w:tcPr>
          <w:p w14:paraId="47B0B272" w14:textId="77777777" w:rsidR="00E07C4E" w:rsidRPr="00721663" w:rsidRDefault="00E07C4E" w:rsidP="00551604">
            <w:pPr>
              <w:spacing w:line="240" w:lineRule="auto"/>
              <w:jc w:val="right"/>
              <w:rPr>
                <w:rFonts w:ascii="Arial" w:hAnsi="Arial" w:cs="Arial"/>
                <w:b/>
                <w:sz w:val="18"/>
                <w:szCs w:val="18"/>
                <w:lang w:val="bg-BG"/>
              </w:rPr>
            </w:pPr>
            <w:r w:rsidRPr="00721663">
              <w:rPr>
                <w:rFonts w:ascii="Arial" w:hAnsi="Arial" w:cs="Arial"/>
                <w:b/>
                <w:sz w:val="18"/>
                <w:szCs w:val="18"/>
                <w:lang w:val="bg-BG"/>
              </w:rPr>
              <w:t>Балансова стойност</w:t>
            </w:r>
          </w:p>
        </w:tc>
      </w:tr>
      <w:tr w:rsidR="00E07C4E" w:rsidRPr="00721663" w14:paraId="0146E538" w14:textId="77777777" w:rsidTr="00551604">
        <w:trPr>
          <w:trHeight w:val="255"/>
        </w:trPr>
        <w:tc>
          <w:tcPr>
            <w:tcW w:w="5118" w:type="dxa"/>
            <w:shd w:val="clear" w:color="auto" w:fill="auto"/>
            <w:noWrap/>
          </w:tcPr>
          <w:p w14:paraId="6F31F6D5" w14:textId="77777777" w:rsidR="00E07C4E" w:rsidRPr="00721663" w:rsidRDefault="00E07C4E" w:rsidP="00551604">
            <w:pPr>
              <w:spacing w:line="240" w:lineRule="auto"/>
              <w:rPr>
                <w:sz w:val="22"/>
                <w:szCs w:val="22"/>
                <w:lang w:val="bg-BG"/>
              </w:rPr>
            </w:pPr>
          </w:p>
        </w:tc>
        <w:tc>
          <w:tcPr>
            <w:tcW w:w="284" w:type="dxa"/>
            <w:shd w:val="clear" w:color="auto" w:fill="auto"/>
            <w:noWrap/>
            <w:vAlign w:val="bottom"/>
          </w:tcPr>
          <w:p w14:paraId="6AD73B7E" w14:textId="77777777" w:rsidR="00E07C4E" w:rsidRPr="00721663" w:rsidRDefault="00E07C4E" w:rsidP="00551604">
            <w:pPr>
              <w:spacing w:line="240" w:lineRule="auto"/>
              <w:rPr>
                <w:sz w:val="22"/>
                <w:szCs w:val="22"/>
                <w:lang w:val="bg-BG"/>
              </w:rPr>
            </w:pPr>
          </w:p>
        </w:tc>
        <w:tc>
          <w:tcPr>
            <w:tcW w:w="1559" w:type="dxa"/>
            <w:tcBorders>
              <w:top w:val="single" w:sz="6" w:space="0" w:color="auto"/>
            </w:tcBorders>
            <w:shd w:val="clear" w:color="auto" w:fill="auto"/>
            <w:noWrap/>
            <w:vAlign w:val="bottom"/>
          </w:tcPr>
          <w:p w14:paraId="5E124330"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284" w:type="dxa"/>
          </w:tcPr>
          <w:p w14:paraId="7DA8705C"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701" w:type="dxa"/>
            <w:tcBorders>
              <w:top w:val="single" w:sz="6" w:space="0" w:color="auto"/>
            </w:tcBorders>
            <w:shd w:val="clear" w:color="auto" w:fill="auto"/>
            <w:noWrap/>
            <w:vAlign w:val="bottom"/>
          </w:tcPr>
          <w:p w14:paraId="41EB7727"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r>
      <w:tr w:rsidR="00E07C4E" w:rsidRPr="00721663" w14:paraId="290C9F8F" w14:textId="77777777" w:rsidTr="00551604">
        <w:trPr>
          <w:trHeight w:val="255"/>
        </w:trPr>
        <w:tc>
          <w:tcPr>
            <w:tcW w:w="5118" w:type="dxa"/>
            <w:shd w:val="clear" w:color="auto" w:fill="auto"/>
            <w:noWrap/>
            <w:vAlign w:val="bottom"/>
          </w:tcPr>
          <w:p w14:paraId="17D444DA" w14:textId="77777777" w:rsidR="00E07C4E" w:rsidRPr="00721663" w:rsidRDefault="00E07C4E" w:rsidP="00551604">
            <w:pPr>
              <w:spacing w:line="240" w:lineRule="auto"/>
              <w:ind w:left="-93"/>
              <w:rPr>
                <w:sz w:val="22"/>
                <w:szCs w:val="22"/>
                <w:lang w:val="bg-BG"/>
              </w:rPr>
            </w:pPr>
          </w:p>
        </w:tc>
        <w:tc>
          <w:tcPr>
            <w:tcW w:w="284" w:type="dxa"/>
            <w:shd w:val="clear" w:color="auto" w:fill="auto"/>
            <w:noWrap/>
            <w:vAlign w:val="bottom"/>
          </w:tcPr>
          <w:p w14:paraId="456218D1" w14:textId="77777777" w:rsidR="00E07C4E" w:rsidRPr="00721663" w:rsidRDefault="00E07C4E" w:rsidP="00551604">
            <w:pPr>
              <w:spacing w:line="240" w:lineRule="auto"/>
              <w:rPr>
                <w:sz w:val="22"/>
                <w:szCs w:val="22"/>
                <w:lang w:val="bg-BG"/>
              </w:rPr>
            </w:pPr>
          </w:p>
        </w:tc>
        <w:tc>
          <w:tcPr>
            <w:tcW w:w="1559" w:type="dxa"/>
            <w:shd w:val="clear" w:color="auto" w:fill="auto"/>
            <w:noWrap/>
            <w:vAlign w:val="bottom"/>
          </w:tcPr>
          <w:p w14:paraId="5F5EE30D" w14:textId="77777777" w:rsidR="00E07C4E" w:rsidRPr="00721663" w:rsidRDefault="00E07C4E" w:rsidP="00551604">
            <w:pPr>
              <w:spacing w:line="240" w:lineRule="auto"/>
              <w:ind w:left="601"/>
              <w:jc w:val="right"/>
              <w:rPr>
                <w:rFonts w:ascii="Arial" w:hAnsi="Arial" w:cs="Arial"/>
                <w:sz w:val="18"/>
                <w:szCs w:val="18"/>
                <w:lang w:val="bg-BG"/>
              </w:rPr>
            </w:pPr>
          </w:p>
        </w:tc>
        <w:tc>
          <w:tcPr>
            <w:tcW w:w="284" w:type="dxa"/>
          </w:tcPr>
          <w:p w14:paraId="56395911" w14:textId="77777777" w:rsidR="00E07C4E" w:rsidRPr="00721663" w:rsidRDefault="00E07C4E" w:rsidP="00551604">
            <w:pPr>
              <w:spacing w:line="240" w:lineRule="auto"/>
              <w:ind w:left="601"/>
              <w:jc w:val="right"/>
              <w:rPr>
                <w:rFonts w:ascii="Arial" w:hAnsi="Arial" w:cs="Arial"/>
                <w:sz w:val="18"/>
                <w:szCs w:val="18"/>
                <w:lang w:val="bg-BG"/>
              </w:rPr>
            </w:pPr>
          </w:p>
        </w:tc>
        <w:tc>
          <w:tcPr>
            <w:tcW w:w="1701" w:type="dxa"/>
            <w:shd w:val="clear" w:color="auto" w:fill="auto"/>
            <w:noWrap/>
            <w:vAlign w:val="bottom"/>
          </w:tcPr>
          <w:p w14:paraId="711AB7DD" w14:textId="77777777" w:rsidR="00E07C4E" w:rsidRPr="00721663" w:rsidRDefault="00E07C4E" w:rsidP="00551604">
            <w:pPr>
              <w:spacing w:line="240" w:lineRule="auto"/>
              <w:ind w:left="601"/>
              <w:jc w:val="right"/>
              <w:rPr>
                <w:rFonts w:ascii="Arial" w:hAnsi="Arial" w:cs="Arial"/>
                <w:sz w:val="18"/>
                <w:szCs w:val="18"/>
                <w:lang w:val="bg-BG"/>
              </w:rPr>
            </w:pPr>
          </w:p>
        </w:tc>
      </w:tr>
      <w:tr w:rsidR="00E07C4E" w:rsidRPr="00721663" w14:paraId="3645620A" w14:textId="77777777" w:rsidTr="00551604">
        <w:trPr>
          <w:trHeight w:hRule="exact" w:val="284"/>
        </w:trPr>
        <w:tc>
          <w:tcPr>
            <w:tcW w:w="5118" w:type="dxa"/>
            <w:shd w:val="clear" w:color="auto" w:fill="auto"/>
            <w:noWrap/>
            <w:vAlign w:val="center"/>
          </w:tcPr>
          <w:p w14:paraId="6451F79B" w14:textId="77777777" w:rsidR="00E07C4E" w:rsidRPr="00721663" w:rsidRDefault="00E07C4E" w:rsidP="00551604">
            <w:pPr>
              <w:spacing w:line="240" w:lineRule="auto"/>
              <w:ind w:left="-93"/>
              <w:jc w:val="left"/>
              <w:rPr>
                <w:rFonts w:ascii="Arial" w:hAnsi="Arial" w:cs="Arial"/>
                <w:color w:val="000000"/>
                <w:sz w:val="18"/>
                <w:szCs w:val="18"/>
                <w:lang w:val="bg-BG"/>
              </w:rPr>
            </w:pPr>
            <w:r w:rsidRPr="00721663">
              <w:rPr>
                <w:rFonts w:ascii="Arial" w:hAnsi="Arial" w:cs="Arial"/>
                <w:color w:val="000000"/>
                <w:sz w:val="18"/>
                <w:szCs w:val="18"/>
                <w:lang w:val="bg-BG"/>
              </w:rPr>
              <w:t>Имоти, машини и съоръжения</w:t>
            </w:r>
          </w:p>
        </w:tc>
        <w:tc>
          <w:tcPr>
            <w:tcW w:w="284" w:type="dxa"/>
            <w:shd w:val="clear" w:color="auto" w:fill="auto"/>
            <w:noWrap/>
            <w:vAlign w:val="bottom"/>
          </w:tcPr>
          <w:p w14:paraId="3794DA2A" w14:textId="77777777" w:rsidR="00E07C4E" w:rsidRPr="00721663" w:rsidRDefault="00E07C4E" w:rsidP="00551604">
            <w:pPr>
              <w:spacing w:line="240" w:lineRule="auto"/>
              <w:rPr>
                <w:sz w:val="22"/>
                <w:szCs w:val="22"/>
                <w:lang w:val="bg-BG"/>
              </w:rPr>
            </w:pPr>
          </w:p>
        </w:tc>
        <w:tc>
          <w:tcPr>
            <w:tcW w:w="1559" w:type="dxa"/>
            <w:shd w:val="clear" w:color="auto" w:fill="auto"/>
            <w:noWrap/>
            <w:vAlign w:val="center"/>
          </w:tcPr>
          <w:p w14:paraId="64824377" w14:textId="77777777" w:rsidR="00E07C4E" w:rsidRPr="00721663" w:rsidRDefault="00E07C4E" w:rsidP="00551604">
            <w:pPr>
              <w:spacing w:line="240" w:lineRule="auto"/>
              <w:ind w:left="601"/>
              <w:jc w:val="right"/>
              <w:rPr>
                <w:rFonts w:ascii="Arial" w:hAnsi="Arial" w:cs="Arial"/>
                <w:color w:val="000000"/>
                <w:sz w:val="18"/>
                <w:szCs w:val="18"/>
                <w:lang w:val="bg-BG"/>
              </w:rPr>
            </w:pPr>
            <w:r w:rsidRPr="00721663">
              <w:rPr>
                <w:rFonts w:ascii="Arial" w:hAnsi="Arial" w:cs="Arial"/>
                <w:color w:val="000000"/>
                <w:sz w:val="18"/>
                <w:szCs w:val="18"/>
                <w:lang w:val="bg-BG"/>
              </w:rPr>
              <w:t>47</w:t>
            </w:r>
          </w:p>
        </w:tc>
        <w:tc>
          <w:tcPr>
            <w:tcW w:w="284" w:type="dxa"/>
            <w:vAlign w:val="center"/>
          </w:tcPr>
          <w:p w14:paraId="74630DA2" w14:textId="77777777" w:rsidR="00E07C4E" w:rsidRPr="00721663" w:rsidRDefault="00E07C4E" w:rsidP="00551604">
            <w:pPr>
              <w:spacing w:line="240" w:lineRule="auto"/>
              <w:ind w:left="601"/>
              <w:jc w:val="right"/>
              <w:rPr>
                <w:rFonts w:ascii="Arial" w:hAnsi="Arial" w:cs="Arial"/>
                <w:sz w:val="18"/>
                <w:szCs w:val="18"/>
                <w:lang w:val="bg-BG"/>
              </w:rPr>
            </w:pPr>
          </w:p>
        </w:tc>
        <w:tc>
          <w:tcPr>
            <w:tcW w:w="1701" w:type="dxa"/>
            <w:shd w:val="clear" w:color="auto" w:fill="auto"/>
            <w:noWrap/>
            <w:vAlign w:val="center"/>
          </w:tcPr>
          <w:p w14:paraId="170F0527" w14:textId="77777777" w:rsidR="00E07C4E" w:rsidRPr="00721663" w:rsidRDefault="00E07C4E" w:rsidP="00551604">
            <w:pPr>
              <w:spacing w:line="240" w:lineRule="auto"/>
              <w:ind w:left="601"/>
              <w:jc w:val="right"/>
              <w:rPr>
                <w:rFonts w:ascii="Arial" w:hAnsi="Arial" w:cs="Arial"/>
                <w:color w:val="000000"/>
                <w:sz w:val="18"/>
                <w:szCs w:val="18"/>
                <w:lang w:val="bg-BG"/>
              </w:rPr>
            </w:pPr>
            <w:r w:rsidRPr="00721663">
              <w:rPr>
                <w:rFonts w:ascii="Arial" w:hAnsi="Arial" w:cs="Arial"/>
                <w:color w:val="000000"/>
                <w:sz w:val="18"/>
                <w:szCs w:val="18"/>
                <w:lang w:val="bg-BG"/>
              </w:rPr>
              <w:t>47</w:t>
            </w:r>
          </w:p>
        </w:tc>
      </w:tr>
      <w:tr w:rsidR="00E07C4E" w:rsidRPr="00721663" w14:paraId="0F6E2F7C" w14:textId="77777777" w:rsidTr="00551604">
        <w:trPr>
          <w:trHeight w:hRule="exact" w:val="284"/>
        </w:trPr>
        <w:tc>
          <w:tcPr>
            <w:tcW w:w="5118" w:type="dxa"/>
            <w:shd w:val="clear" w:color="auto" w:fill="auto"/>
            <w:noWrap/>
            <w:vAlign w:val="center"/>
          </w:tcPr>
          <w:p w14:paraId="1ECEEE4E" w14:textId="77777777" w:rsidR="00E07C4E" w:rsidRPr="00721663" w:rsidRDefault="00E07C4E" w:rsidP="00551604">
            <w:pPr>
              <w:spacing w:line="240" w:lineRule="auto"/>
              <w:ind w:left="-93"/>
              <w:jc w:val="left"/>
              <w:rPr>
                <w:rFonts w:ascii="Arial" w:hAnsi="Arial" w:cs="Arial"/>
                <w:b/>
                <w:sz w:val="18"/>
                <w:szCs w:val="18"/>
                <w:lang w:val="bg-BG"/>
              </w:rPr>
            </w:pPr>
          </w:p>
        </w:tc>
        <w:tc>
          <w:tcPr>
            <w:tcW w:w="284" w:type="dxa"/>
            <w:shd w:val="clear" w:color="auto" w:fill="auto"/>
            <w:noWrap/>
            <w:vAlign w:val="bottom"/>
          </w:tcPr>
          <w:p w14:paraId="0398E38E" w14:textId="77777777" w:rsidR="00E07C4E" w:rsidRPr="00721663" w:rsidRDefault="00E07C4E" w:rsidP="00551604">
            <w:pPr>
              <w:spacing w:line="240" w:lineRule="auto"/>
              <w:rPr>
                <w:b/>
                <w:sz w:val="22"/>
                <w:szCs w:val="22"/>
                <w:lang w:val="bg-BG"/>
              </w:rPr>
            </w:pPr>
          </w:p>
        </w:tc>
        <w:tc>
          <w:tcPr>
            <w:tcW w:w="1559" w:type="dxa"/>
            <w:tcBorders>
              <w:top w:val="single" w:sz="4" w:space="0" w:color="auto"/>
              <w:bottom w:val="single" w:sz="4" w:space="0" w:color="auto"/>
            </w:tcBorders>
            <w:shd w:val="clear" w:color="auto" w:fill="auto"/>
            <w:noWrap/>
            <w:vAlign w:val="center"/>
          </w:tcPr>
          <w:p w14:paraId="1B5E816D" w14:textId="77777777" w:rsidR="00E07C4E" w:rsidRPr="00721663" w:rsidRDefault="00E07C4E" w:rsidP="00551604">
            <w:pPr>
              <w:spacing w:line="240" w:lineRule="auto"/>
              <w:ind w:left="601"/>
              <w:jc w:val="right"/>
              <w:rPr>
                <w:rFonts w:ascii="Arial" w:hAnsi="Arial" w:cs="Arial"/>
                <w:b/>
                <w:sz w:val="18"/>
                <w:szCs w:val="18"/>
                <w:lang w:val="bg-BG"/>
              </w:rPr>
            </w:pPr>
            <w:r w:rsidRPr="00721663">
              <w:rPr>
                <w:rFonts w:ascii="Arial" w:hAnsi="Arial" w:cs="Arial"/>
                <w:b/>
                <w:sz w:val="18"/>
                <w:szCs w:val="18"/>
                <w:lang w:val="bg-BG"/>
              </w:rPr>
              <w:t>47</w:t>
            </w:r>
          </w:p>
        </w:tc>
        <w:tc>
          <w:tcPr>
            <w:tcW w:w="284" w:type="dxa"/>
            <w:vAlign w:val="center"/>
          </w:tcPr>
          <w:p w14:paraId="1397E6FA" w14:textId="77777777" w:rsidR="00E07C4E" w:rsidRPr="00721663" w:rsidRDefault="00E07C4E" w:rsidP="00551604">
            <w:pPr>
              <w:spacing w:line="240" w:lineRule="auto"/>
              <w:ind w:left="601"/>
              <w:jc w:val="right"/>
              <w:rPr>
                <w:rFonts w:ascii="Arial" w:hAnsi="Arial" w:cs="Arial"/>
                <w:sz w:val="18"/>
                <w:szCs w:val="18"/>
                <w:lang w:val="bg-BG"/>
              </w:rPr>
            </w:pPr>
          </w:p>
        </w:tc>
        <w:tc>
          <w:tcPr>
            <w:tcW w:w="1701" w:type="dxa"/>
            <w:tcBorders>
              <w:top w:val="single" w:sz="4" w:space="0" w:color="auto"/>
              <w:bottom w:val="single" w:sz="4" w:space="0" w:color="auto"/>
            </w:tcBorders>
            <w:shd w:val="clear" w:color="auto" w:fill="auto"/>
            <w:noWrap/>
            <w:vAlign w:val="center"/>
          </w:tcPr>
          <w:p w14:paraId="4584B706" w14:textId="77777777" w:rsidR="00E07C4E" w:rsidRPr="00721663" w:rsidRDefault="00E07C4E" w:rsidP="00551604">
            <w:pPr>
              <w:spacing w:line="240" w:lineRule="auto"/>
              <w:ind w:left="601"/>
              <w:jc w:val="right"/>
              <w:rPr>
                <w:rFonts w:ascii="Arial" w:hAnsi="Arial" w:cs="Arial"/>
                <w:b/>
                <w:sz w:val="18"/>
                <w:szCs w:val="18"/>
                <w:lang w:val="bg-BG"/>
              </w:rPr>
            </w:pPr>
            <w:r w:rsidRPr="00721663">
              <w:rPr>
                <w:rFonts w:ascii="Arial" w:hAnsi="Arial" w:cs="Arial"/>
                <w:b/>
                <w:sz w:val="18"/>
                <w:szCs w:val="18"/>
                <w:lang w:val="bg-BG"/>
              </w:rPr>
              <w:t>47</w:t>
            </w:r>
          </w:p>
        </w:tc>
      </w:tr>
      <w:tr w:rsidR="00E07C4E" w:rsidRPr="00721663" w14:paraId="58A843F2" w14:textId="77777777" w:rsidTr="00551604">
        <w:trPr>
          <w:trHeight w:hRule="exact" w:val="170"/>
        </w:trPr>
        <w:tc>
          <w:tcPr>
            <w:tcW w:w="5118" w:type="dxa"/>
            <w:shd w:val="clear" w:color="auto" w:fill="auto"/>
            <w:noWrap/>
            <w:vAlign w:val="center"/>
          </w:tcPr>
          <w:p w14:paraId="11205468" w14:textId="77777777" w:rsidR="00E07C4E" w:rsidRPr="00721663" w:rsidRDefault="00E07C4E" w:rsidP="00551604">
            <w:pPr>
              <w:spacing w:line="240" w:lineRule="auto"/>
              <w:ind w:left="-93"/>
              <w:jc w:val="left"/>
              <w:rPr>
                <w:rFonts w:ascii="Arial" w:hAnsi="Arial" w:cs="Arial"/>
                <w:sz w:val="18"/>
                <w:szCs w:val="18"/>
                <w:lang w:val="bg-BG"/>
              </w:rPr>
            </w:pPr>
          </w:p>
        </w:tc>
        <w:tc>
          <w:tcPr>
            <w:tcW w:w="284" w:type="dxa"/>
            <w:shd w:val="clear" w:color="auto" w:fill="auto"/>
            <w:noWrap/>
            <w:vAlign w:val="bottom"/>
          </w:tcPr>
          <w:p w14:paraId="2052E1A4" w14:textId="77777777" w:rsidR="00E07C4E" w:rsidRPr="00721663" w:rsidRDefault="00E07C4E" w:rsidP="00551604">
            <w:pPr>
              <w:spacing w:line="240" w:lineRule="auto"/>
              <w:rPr>
                <w:b/>
                <w:sz w:val="22"/>
                <w:szCs w:val="22"/>
                <w:lang w:val="bg-BG"/>
              </w:rPr>
            </w:pPr>
          </w:p>
        </w:tc>
        <w:tc>
          <w:tcPr>
            <w:tcW w:w="1559" w:type="dxa"/>
            <w:tcBorders>
              <w:top w:val="single" w:sz="4" w:space="0" w:color="auto"/>
            </w:tcBorders>
            <w:shd w:val="clear" w:color="auto" w:fill="auto"/>
            <w:noWrap/>
            <w:vAlign w:val="center"/>
          </w:tcPr>
          <w:p w14:paraId="26A70B79" w14:textId="77777777" w:rsidR="00E07C4E" w:rsidRPr="00721663" w:rsidRDefault="00E07C4E" w:rsidP="00551604">
            <w:pPr>
              <w:spacing w:line="240" w:lineRule="auto"/>
              <w:ind w:left="601"/>
              <w:jc w:val="right"/>
              <w:rPr>
                <w:rFonts w:ascii="Arial" w:hAnsi="Arial" w:cs="Arial"/>
                <w:sz w:val="18"/>
                <w:szCs w:val="18"/>
                <w:lang w:val="bg-BG"/>
              </w:rPr>
            </w:pPr>
          </w:p>
        </w:tc>
        <w:tc>
          <w:tcPr>
            <w:tcW w:w="284" w:type="dxa"/>
            <w:vAlign w:val="center"/>
          </w:tcPr>
          <w:p w14:paraId="716FF1F4" w14:textId="77777777" w:rsidR="00E07C4E" w:rsidRPr="00721663" w:rsidRDefault="00E07C4E" w:rsidP="00551604">
            <w:pPr>
              <w:spacing w:line="240" w:lineRule="auto"/>
              <w:ind w:left="601"/>
              <w:jc w:val="right"/>
              <w:rPr>
                <w:rFonts w:ascii="Arial" w:hAnsi="Arial" w:cs="Arial"/>
                <w:sz w:val="18"/>
                <w:szCs w:val="18"/>
                <w:lang w:val="bg-BG"/>
              </w:rPr>
            </w:pPr>
          </w:p>
        </w:tc>
        <w:tc>
          <w:tcPr>
            <w:tcW w:w="1701" w:type="dxa"/>
            <w:tcBorders>
              <w:top w:val="single" w:sz="4" w:space="0" w:color="auto"/>
            </w:tcBorders>
            <w:shd w:val="clear" w:color="auto" w:fill="auto"/>
            <w:noWrap/>
            <w:vAlign w:val="center"/>
          </w:tcPr>
          <w:p w14:paraId="6EA2050A" w14:textId="77777777" w:rsidR="00E07C4E" w:rsidRPr="00721663" w:rsidRDefault="00E07C4E" w:rsidP="00551604">
            <w:pPr>
              <w:spacing w:line="240" w:lineRule="auto"/>
              <w:ind w:left="601"/>
              <w:jc w:val="right"/>
              <w:rPr>
                <w:rFonts w:ascii="Arial" w:hAnsi="Arial" w:cs="Arial"/>
                <w:sz w:val="18"/>
                <w:szCs w:val="18"/>
                <w:lang w:val="bg-BG"/>
              </w:rPr>
            </w:pPr>
          </w:p>
        </w:tc>
      </w:tr>
      <w:tr w:rsidR="00E07C4E" w:rsidRPr="00721663" w14:paraId="3393F57C" w14:textId="77777777" w:rsidTr="00551604">
        <w:trPr>
          <w:trHeight w:hRule="exact" w:val="284"/>
        </w:trPr>
        <w:tc>
          <w:tcPr>
            <w:tcW w:w="5118" w:type="dxa"/>
            <w:shd w:val="clear" w:color="auto" w:fill="auto"/>
            <w:noWrap/>
            <w:vAlign w:val="center"/>
          </w:tcPr>
          <w:p w14:paraId="4A4389BC" w14:textId="77777777" w:rsidR="00E07C4E" w:rsidRPr="00721663" w:rsidRDefault="00E07C4E" w:rsidP="00551604">
            <w:pPr>
              <w:spacing w:line="240" w:lineRule="auto"/>
              <w:ind w:left="-93"/>
              <w:jc w:val="left"/>
              <w:rPr>
                <w:rFonts w:ascii="Arial" w:hAnsi="Arial" w:cs="Arial"/>
                <w:sz w:val="18"/>
                <w:szCs w:val="18"/>
                <w:lang w:val="bg-BG"/>
              </w:rPr>
            </w:pPr>
            <w:r w:rsidRPr="00721663">
              <w:rPr>
                <w:rFonts w:ascii="Arial" w:hAnsi="Arial" w:cs="Arial"/>
                <w:sz w:val="18"/>
                <w:szCs w:val="18"/>
                <w:lang w:val="bg-BG"/>
              </w:rPr>
              <w:t>Лихвоносни заеми</w:t>
            </w:r>
          </w:p>
        </w:tc>
        <w:tc>
          <w:tcPr>
            <w:tcW w:w="284" w:type="dxa"/>
            <w:shd w:val="clear" w:color="auto" w:fill="auto"/>
            <w:noWrap/>
            <w:vAlign w:val="bottom"/>
          </w:tcPr>
          <w:p w14:paraId="1C07BD94" w14:textId="77777777" w:rsidR="00E07C4E" w:rsidRPr="00721663" w:rsidRDefault="00E07C4E" w:rsidP="00551604">
            <w:pPr>
              <w:spacing w:line="240" w:lineRule="auto"/>
              <w:rPr>
                <w:b/>
                <w:sz w:val="22"/>
                <w:szCs w:val="22"/>
                <w:lang w:val="bg-BG"/>
              </w:rPr>
            </w:pPr>
          </w:p>
        </w:tc>
        <w:tc>
          <w:tcPr>
            <w:tcW w:w="1559" w:type="dxa"/>
            <w:shd w:val="clear" w:color="auto" w:fill="auto"/>
            <w:noWrap/>
            <w:vAlign w:val="center"/>
          </w:tcPr>
          <w:p w14:paraId="700086CB" w14:textId="77777777" w:rsidR="00E07C4E" w:rsidRPr="00721663" w:rsidRDefault="00E07C4E" w:rsidP="00551604">
            <w:pPr>
              <w:spacing w:line="240" w:lineRule="auto"/>
              <w:ind w:left="601"/>
              <w:jc w:val="right"/>
              <w:rPr>
                <w:rFonts w:ascii="Arial" w:hAnsi="Arial" w:cs="Arial"/>
                <w:sz w:val="18"/>
                <w:szCs w:val="18"/>
                <w:lang w:val="bg-BG"/>
              </w:rPr>
            </w:pPr>
            <w:r w:rsidRPr="00721663">
              <w:rPr>
                <w:rFonts w:ascii="Arial" w:hAnsi="Arial" w:cs="Arial"/>
                <w:sz w:val="18"/>
                <w:szCs w:val="18"/>
                <w:lang w:val="bg-BG"/>
              </w:rPr>
              <w:t>(49)</w:t>
            </w:r>
          </w:p>
        </w:tc>
        <w:tc>
          <w:tcPr>
            <w:tcW w:w="284" w:type="dxa"/>
            <w:vAlign w:val="center"/>
          </w:tcPr>
          <w:p w14:paraId="5F400425" w14:textId="77777777" w:rsidR="00E07C4E" w:rsidRPr="00721663" w:rsidRDefault="00E07C4E" w:rsidP="00551604">
            <w:pPr>
              <w:spacing w:line="240" w:lineRule="auto"/>
              <w:ind w:left="601"/>
              <w:jc w:val="right"/>
              <w:rPr>
                <w:rFonts w:ascii="Arial" w:hAnsi="Arial" w:cs="Arial"/>
                <w:sz w:val="18"/>
                <w:szCs w:val="18"/>
                <w:lang w:val="bg-BG"/>
              </w:rPr>
            </w:pPr>
          </w:p>
        </w:tc>
        <w:tc>
          <w:tcPr>
            <w:tcW w:w="1701" w:type="dxa"/>
            <w:shd w:val="clear" w:color="auto" w:fill="auto"/>
            <w:noWrap/>
            <w:vAlign w:val="center"/>
          </w:tcPr>
          <w:p w14:paraId="35EBD695" w14:textId="77777777" w:rsidR="00E07C4E" w:rsidRPr="00721663" w:rsidRDefault="00E07C4E" w:rsidP="00551604">
            <w:pPr>
              <w:spacing w:line="240" w:lineRule="auto"/>
              <w:ind w:left="601"/>
              <w:jc w:val="right"/>
              <w:rPr>
                <w:rFonts w:ascii="Arial" w:hAnsi="Arial" w:cs="Arial"/>
                <w:sz w:val="18"/>
                <w:szCs w:val="18"/>
                <w:lang w:val="bg-BG"/>
              </w:rPr>
            </w:pPr>
            <w:r w:rsidRPr="00721663">
              <w:rPr>
                <w:rFonts w:ascii="Arial" w:hAnsi="Arial" w:cs="Arial"/>
                <w:sz w:val="18"/>
                <w:szCs w:val="18"/>
                <w:lang w:val="bg-BG"/>
              </w:rPr>
              <w:t>(49)</w:t>
            </w:r>
          </w:p>
        </w:tc>
      </w:tr>
      <w:tr w:rsidR="00E07C4E" w:rsidRPr="00721663" w14:paraId="2C21E715" w14:textId="77777777" w:rsidTr="00551604">
        <w:trPr>
          <w:trHeight w:hRule="exact" w:val="284"/>
        </w:trPr>
        <w:tc>
          <w:tcPr>
            <w:tcW w:w="5118" w:type="dxa"/>
            <w:shd w:val="clear" w:color="auto" w:fill="auto"/>
            <w:noWrap/>
            <w:vAlign w:val="center"/>
          </w:tcPr>
          <w:p w14:paraId="4E3D6A57" w14:textId="77777777" w:rsidR="00E07C4E" w:rsidRPr="00721663" w:rsidRDefault="00E07C4E" w:rsidP="00551604">
            <w:pPr>
              <w:spacing w:line="240" w:lineRule="auto"/>
              <w:ind w:left="-93"/>
              <w:jc w:val="left"/>
              <w:rPr>
                <w:rFonts w:ascii="Arial" w:hAnsi="Arial" w:cs="Arial"/>
                <w:sz w:val="18"/>
                <w:szCs w:val="18"/>
                <w:lang w:val="bg-BG"/>
              </w:rPr>
            </w:pPr>
          </w:p>
        </w:tc>
        <w:tc>
          <w:tcPr>
            <w:tcW w:w="284" w:type="dxa"/>
            <w:shd w:val="clear" w:color="auto" w:fill="auto"/>
            <w:noWrap/>
            <w:vAlign w:val="bottom"/>
          </w:tcPr>
          <w:p w14:paraId="252572B5" w14:textId="77777777" w:rsidR="00E07C4E" w:rsidRPr="00721663" w:rsidRDefault="00E07C4E" w:rsidP="00551604">
            <w:pPr>
              <w:spacing w:line="240" w:lineRule="auto"/>
              <w:rPr>
                <w:b/>
                <w:sz w:val="22"/>
                <w:szCs w:val="22"/>
                <w:lang w:val="bg-BG"/>
              </w:rPr>
            </w:pPr>
          </w:p>
        </w:tc>
        <w:tc>
          <w:tcPr>
            <w:tcW w:w="1559" w:type="dxa"/>
            <w:tcBorders>
              <w:top w:val="single" w:sz="4" w:space="0" w:color="auto"/>
              <w:bottom w:val="single" w:sz="4" w:space="0" w:color="auto"/>
            </w:tcBorders>
            <w:shd w:val="clear" w:color="auto" w:fill="auto"/>
            <w:noWrap/>
            <w:vAlign w:val="center"/>
          </w:tcPr>
          <w:p w14:paraId="28AE6132" w14:textId="77777777" w:rsidR="00E07C4E" w:rsidRPr="00721663" w:rsidRDefault="00E07C4E" w:rsidP="00551604">
            <w:pPr>
              <w:spacing w:line="240" w:lineRule="auto"/>
              <w:ind w:left="601"/>
              <w:jc w:val="right"/>
              <w:rPr>
                <w:rFonts w:ascii="Arial" w:hAnsi="Arial" w:cs="Arial"/>
                <w:b/>
                <w:sz w:val="18"/>
                <w:szCs w:val="18"/>
                <w:lang w:val="bg-BG"/>
              </w:rPr>
            </w:pPr>
            <w:r w:rsidRPr="00721663">
              <w:rPr>
                <w:rFonts w:ascii="Arial" w:hAnsi="Arial" w:cs="Arial"/>
                <w:b/>
                <w:sz w:val="18"/>
                <w:szCs w:val="18"/>
                <w:lang w:val="bg-BG"/>
              </w:rPr>
              <w:t>(49)</w:t>
            </w:r>
          </w:p>
        </w:tc>
        <w:tc>
          <w:tcPr>
            <w:tcW w:w="284" w:type="dxa"/>
            <w:vAlign w:val="center"/>
          </w:tcPr>
          <w:p w14:paraId="44D39407" w14:textId="77777777" w:rsidR="00E07C4E" w:rsidRPr="00721663" w:rsidRDefault="00E07C4E" w:rsidP="00551604">
            <w:pPr>
              <w:spacing w:line="240" w:lineRule="auto"/>
              <w:ind w:left="601"/>
              <w:jc w:val="right"/>
              <w:rPr>
                <w:rFonts w:ascii="Arial" w:hAnsi="Arial" w:cs="Arial"/>
                <w:sz w:val="18"/>
                <w:szCs w:val="18"/>
                <w:lang w:val="bg-BG"/>
              </w:rPr>
            </w:pPr>
          </w:p>
        </w:tc>
        <w:tc>
          <w:tcPr>
            <w:tcW w:w="1701" w:type="dxa"/>
            <w:tcBorders>
              <w:top w:val="single" w:sz="4" w:space="0" w:color="auto"/>
              <w:bottom w:val="single" w:sz="4" w:space="0" w:color="auto"/>
            </w:tcBorders>
            <w:shd w:val="clear" w:color="auto" w:fill="auto"/>
            <w:noWrap/>
            <w:vAlign w:val="center"/>
          </w:tcPr>
          <w:p w14:paraId="03E2BAB8" w14:textId="77777777" w:rsidR="00E07C4E" w:rsidRPr="00721663" w:rsidRDefault="00E07C4E" w:rsidP="00551604">
            <w:pPr>
              <w:spacing w:line="240" w:lineRule="auto"/>
              <w:ind w:left="601"/>
              <w:jc w:val="right"/>
              <w:rPr>
                <w:rFonts w:ascii="Arial" w:hAnsi="Arial" w:cs="Arial"/>
                <w:b/>
                <w:sz w:val="18"/>
                <w:szCs w:val="18"/>
                <w:lang w:val="bg-BG"/>
              </w:rPr>
            </w:pPr>
            <w:r w:rsidRPr="00721663">
              <w:rPr>
                <w:rFonts w:ascii="Arial" w:hAnsi="Arial" w:cs="Arial"/>
                <w:b/>
                <w:sz w:val="18"/>
                <w:szCs w:val="18"/>
                <w:lang w:val="bg-BG"/>
              </w:rPr>
              <w:t>(49)</w:t>
            </w:r>
          </w:p>
        </w:tc>
      </w:tr>
      <w:tr w:rsidR="00E07C4E" w:rsidRPr="00721663" w14:paraId="6C75A6AE" w14:textId="77777777" w:rsidTr="00551604">
        <w:trPr>
          <w:trHeight w:hRule="exact" w:val="170"/>
        </w:trPr>
        <w:tc>
          <w:tcPr>
            <w:tcW w:w="5118" w:type="dxa"/>
            <w:shd w:val="clear" w:color="auto" w:fill="auto"/>
            <w:noWrap/>
            <w:vAlign w:val="center"/>
          </w:tcPr>
          <w:p w14:paraId="2BAAD9FC" w14:textId="77777777" w:rsidR="00E07C4E" w:rsidRPr="00721663" w:rsidRDefault="00E07C4E" w:rsidP="00551604">
            <w:pPr>
              <w:spacing w:line="240" w:lineRule="auto"/>
              <w:ind w:left="-93"/>
              <w:jc w:val="left"/>
              <w:rPr>
                <w:rFonts w:ascii="Arial" w:hAnsi="Arial" w:cs="Arial"/>
                <w:sz w:val="18"/>
                <w:szCs w:val="18"/>
                <w:lang w:val="bg-BG"/>
              </w:rPr>
            </w:pPr>
          </w:p>
        </w:tc>
        <w:tc>
          <w:tcPr>
            <w:tcW w:w="284" w:type="dxa"/>
            <w:shd w:val="clear" w:color="auto" w:fill="auto"/>
            <w:noWrap/>
            <w:vAlign w:val="bottom"/>
          </w:tcPr>
          <w:p w14:paraId="54796BB7" w14:textId="77777777" w:rsidR="00E07C4E" w:rsidRPr="00721663" w:rsidRDefault="00E07C4E" w:rsidP="00551604">
            <w:pPr>
              <w:spacing w:line="240" w:lineRule="auto"/>
              <w:rPr>
                <w:b/>
                <w:sz w:val="22"/>
                <w:szCs w:val="22"/>
                <w:lang w:val="bg-BG"/>
              </w:rPr>
            </w:pPr>
          </w:p>
        </w:tc>
        <w:tc>
          <w:tcPr>
            <w:tcW w:w="1559" w:type="dxa"/>
            <w:tcBorders>
              <w:top w:val="single" w:sz="4" w:space="0" w:color="auto"/>
            </w:tcBorders>
            <w:shd w:val="clear" w:color="auto" w:fill="auto"/>
            <w:noWrap/>
            <w:vAlign w:val="center"/>
          </w:tcPr>
          <w:p w14:paraId="51263D25" w14:textId="77777777" w:rsidR="00E07C4E" w:rsidRPr="00721663" w:rsidRDefault="00E07C4E" w:rsidP="00551604">
            <w:pPr>
              <w:spacing w:line="240" w:lineRule="auto"/>
              <w:ind w:left="601"/>
              <w:jc w:val="right"/>
              <w:rPr>
                <w:rFonts w:ascii="Arial" w:hAnsi="Arial" w:cs="Arial"/>
                <w:sz w:val="18"/>
                <w:szCs w:val="18"/>
                <w:lang w:val="bg-BG"/>
              </w:rPr>
            </w:pPr>
          </w:p>
        </w:tc>
        <w:tc>
          <w:tcPr>
            <w:tcW w:w="284" w:type="dxa"/>
            <w:vAlign w:val="center"/>
          </w:tcPr>
          <w:p w14:paraId="4304A356" w14:textId="77777777" w:rsidR="00E07C4E" w:rsidRPr="00721663" w:rsidRDefault="00E07C4E" w:rsidP="00551604">
            <w:pPr>
              <w:spacing w:line="240" w:lineRule="auto"/>
              <w:ind w:left="601"/>
              <w:jc w:val="right"/>
              <w:rPr>
                <w:rFonts w:ascii="Arial" w:hAnsi="Arial" w:cs="Arial"/>
                <w:sz w:val="18"/>
                <w:szCs w:val="18"/>
                <w:lang w:val="bg-BG"/>
              </w:rPr>
            </w:pPr>
          </w:p>
        </w:tc>
        <w:tc>
          <w:tcPr>
            <w:tcW w:w="1701" w:type="dxa"/>
            <w:tcBorders>
              <w:top w:val="single" w:sz="4" w:space="0" w:color="auto"/>
            </w:tcBorders>
            <w:shd w:val="clear" w:color="auto" w:fill="auto"/>
            <w:noWrap/>
            <w:vAlign w:val="center"/>
          </w:tcPr>
          <w:p w14:paraId="23FAED7D" w14:textId="77777777" w:rsidR="00E07C4E" w:rsidRPr="00721663" w:rsidRDefault="00E07C4E" w:rsidP="00551604">
            <w:pPr>
              <w:spacing w:line="240" w:lineRule="auto"/>
              <w:ind w:left="601"/>
              <w:jc w:val="right"/>
              <w:rPr>
                <w:rFonts w:ascii="Arial" w:hAnsi="Arial" w:cs="Arial"/>
                <w:sz w:val="18"/>
                <w:szCs w:val="18"/>
                <w:lang w:val="bg-BG"/>
              </w:rPr>
            </w:pPr>
          </w:p>
        </w:tc>
      </w:tr>
      <w:tr w:rsidR="00E07C4E" w:rsidRPr="00721663" w14:paraId="62E26477" w14:textId="77777777" w:rsidTr="00551604">
        <w:trPr>
          <w:trHeight w:hRule="exact" w:val="284"/>
        </w:trPr>
        <w:tc>
          <w:tcPr>
            <w:tcW w:w="5118" w:type="dxa"/>
            <w:shd w:val="clear" w:color="auto" w:fill="auto"/>
            <w:noWrap/>
            <w:vAlign w:val="center"/>
          </w:tcPr>
          <w:p w14:paraId="78884BFB" w14:textId="77777777" w:rsidR="00E07C4E" w:rsidRPr="00721663" w:rsidRDefault="00E07C4E" w:rsidP="00551604">
            <w:pPr>
              <w:spacing w:line="240" w:lineRule="auto"/>
              <w:ind w:left="-93"/>
              <w:jc w:val="left"/>
              <w:rPr>
                <w:rFonts w:ascii="Arial" w:hAnsi="Arial" w:cs="Arial"/>
                <w:b/>
                <w:sz w:val="18"/>
                <w:szCs w:val="18"/>
                <w:lang w:val="bg-BG"/>
              </w:rPr>
            </w:pPr>
            <w:r w:rsidRPr="00721663">
              <w:rPr>
                <w:rFonts w:ascii="Arial" w:hAnsi="Arial" w:cs="Arial"/>
                <w:b/>
                <w:sz w:val="18"/>
                <w:szCs w:val="18"/>
                <w:lang w:val="bg-BG"/>
              </w:rPr>
              <w:t>Нетни активи</w:t>
            </w:r>
          </w:p>
        </w:tc>
        <w:tc>
          <w:tcPr>
            <w:tcW w:w="284" w:type="dxa"/>
            <w:shd w:val="clear" w:color="auto" w:fill="auto"/>
            <w:noWrap/>
            <w:vAlign w:val="bottom"/>
          </w:tcPr>
          <w:p w14:paraId="1FD7D63E" w14:textId="77777777" w:rsidR="00E07C4E" w:rsidRPr="00721663" w:rsidRDefault="00E07C4E" w:rsidP="00551604">
            <w:pPr>
              <w:spacing w:line="240" w:lineRule="auto"/>
              <w:rPr>
                <w:b/>
                <w:sz w:val="22"/>
                <w:szCs w:val="22"/>
                <w:lang w:val="bg-BG"/>
              </w:rPr>
            </w:pPr>
          </w:p>
        </w:tc>
        <w:tc>
          <w:tcPr>
            <w:tcW w:w="1559" w:type="dxa"/>
            <w:tcBorders>
              <w:bottom w:val="double" w:sz="4" w:space="0" w:color="auto"/>
            </w:tcBorders>
            <w:shd w:val="clear" w:color="auto" w:fill="auto"/>
            <w:noWrap/>
            <w:vAlign w:val="center"/>
          </w:tcPr>
          <w:p w14:paraId="3642DE51" w14:textId="77777777" w:rsidR="00E07C4E" w:rsidRPr="00721663" w:rsidRDefault="00E07C4E" w:rsidP="00551604">
            <w:pPr>
              <w:spacing w:line="240" w:lineRule="auto"/>
              <w:ind w:left="601"/>
              <w:jc w:val="right"/>
              <w:rPr>
                <w:rFonts w:ascii="Arial" w:hAnsi="Arial" w:cs="Arial"/>
                <w:b/>
                <w:sz w:val="18"/>
                <w:szCs w:val="18"/>
                <w:lang w:val="bg-BG"/>
              </w:rPr>
            </w:pPr>
            <w:r w:rsidRPr="00721663">
              <w:rPr>
                <w:rFonts w:ascii="Arial" w:hAnsi="Arial" w:cs="Arial"/>
                <w:b/>
                <w:sz w:val="18"/>
                <w:szCs w:val="18"/>
                <w:lang w:val="bg-BG"/>
              </w:rPr>
              <w:t>(2)</w:t>
            </w:r>
          </w:p>
        </w:tc>
        <w:tc>
          <w:tcPr>
            <w:tcW w:w="284" w:type="dxa"/>
            <w:vAlign w:val="center"/>
          </w:tcPr>
          <w:p w14:paraId="3E57A271" w14:textId="77777777" w:rsidR="00E07C4E" w:rsidRPr="00721663" w:rsidRDefault="00E07C4E" w:rsidP="00551604">
            <w:pPr>
              <w:spacing w:line="240" w:lineRule="auto"/>
              <w:ind w:left="601"/>
              <w:jc w:val="right"/>
              <w:rPr>
                <w:rFonts w:ascii="Arial" w:hAnsi="Arial" w:cs="Arial"/>
                <w:b/>
                <w:sz w:val="18"/>
                <w:szCs w:val="18"/>
                <w:lang w:val="bg-BG"/>
              </w:rPr>
            </w:pPr>
          </w:p>
        </w:tc>
        <w:tc>
          <w:tcPr>
            <w:tcW w:w="1701" w:type="dxa"/>
            <w:tcBorders>
              <w:bottom w:val="double" w:sz="4" w:space="0" w:color="auto"/>
            </w:tcBorders>
            <w:shd w:val="clear" w:color="auto" w:fill="auto"/>
            <w:noWrap/>
            <w:vAlign w:val="center"/>
          </w:tcPr>
          <w:p w14:paraId="42FF9ACC" w14:textId="77777777" w:rsidR="00E07C4E" w:rsidRPr="00721663" w:rsidRDefault="00E07C4E" w:rsidP="00551604">
            <w:pPr>
              <w:spacing w:line="240" w:lineRule="auto"/>
              <w:ind w:left="601"/>
              <w:jc w:val="right"/>
              <w:rPr>
                <w:rFonts w:ascii="Arial" w:hAnsi="Arial" w:cs="Arial"/>
                <w:b/>
                <w:sz w:val="18"/>
                <w:szCs w:val="18"/>
                <w:lang w:val="bg-BG"/>
              </w:rPr>
            </w:pPr>
            <w:r w:rsidRPr="00721663">
              <w:rPr>
                <w:rFonts w:ascii="Arial" w:hAnsi="Arial" w:cs="Arial"/>
                <w:b/>
                <w:sz w:val="18"/>
                <w:szCs w:val="18"/>
                <w:lang w:val="bg-BG"/>
              </w:rPr>
              <w:t>(2)</w:t>
            </w:r>
          </w:p>
        </w:tc>
      </w:tr>
    </w:tbl>
    <w:p w14:paraId="223519B3" w14:textId="77777777" w:rsidR="00E07C4E" w:rsidRPr="00721663" w:rsidRDefault="00E07C4E" w:rsidP="00E07C4E">
      <w:pPr>
        <w:pStyle w:val="ordinarytext"/>
        <w:spacing w:after="0" w:line="240" w:lineRule="auto"/>
        <w:jc w:val="left"/>
        <w:rPr>
          <w:lang w:val="bg-BG"/>
        </w:rPr>
      </w:pPr>
    </w:p>
    <w:p w14:paraId="6DA22262" w14:textId="77777777" w:rsidR="00017A0C" w:rsidRDefault="00017A0C">
      <w:pPr>
        <w:spacing w:line="240" w:lineRule="auto"/>
        <w:jc w:val="left"/>
        <w:rPr>
          <w:rFonts w:ascii="Arial" w:hAnsi="Arial" w:cs="Arial"/>
          <w:color w:val="000000"/>
          <w:sz w:val="18"/>
          <w:lang w:val="bg-BG"/>
        </w:rPr>
      </w:pPr>
      <w:r>
        <w:rPr>
          <w:rFonts w:ascii="Arial" w:hAnsi="Arial"/>
          <w:lang w:val="bg-BG"/>
        </w:rPr>
        <w:br w:type="page"/>
      </w:r>
    </w:p>
    <w:p w14:paraId="35DFF27B" w14:textId="6B6622DD" w:rsidR="00017A0C" w:rsidRPr="00017A0C" w:rsidRDefault="00017A0C" w:rsidP="00017A0C">
      <w:pPr>
        <w:spacing w:after="120"/>
        <w:rPr>
          <w:rFonts w:ascii="Arial" w:hAnsi="Arial" w:cs="Arial"/>
          <w:b/>
          <w:lang w:val="bg-BG"/>
        </w:rPr>
      </w:pPr>
      <w:r w:rsidRPr="00017A0C">
        <w:rPr>
          <w:rFonts w:ascii="Arial" w:hAnsi="Arial" w:cs="Arial"/>
          <w:b/>
          <w:lang w:val="bg-BG"/>
        </w:rPr>
        <w:t>8. Бизнес комбинация (продължение)</w:t>
      </w:r>
    </w:p>
    <w:p w14:paraId="6A27B427" w14:textId="54557624" w:rsidR="00E07C4E" w:rsidRPr="00721663" w:rsidRDefault="00E07C4E" w:rsidP="00E07C4E">
      <w:pPr>
        <w:pStyle w:val="Notesbodytext"/>
        <w:spacing w:after="0" w:line="240" w:lineRule="atLeast"/>
        <w:rPr>
          <w:rFonts w:ascii="Arial" w:hAnsi="Arial"/>
          <w:lang w:val="bg-BG"/>
        </w:rPr>
      </w:pPr>
      <w:r w:rsidRPr="00721663">
        <w:rPr>
          <w:rFonts w:ascii="Arial" w:hAnsi="Arial"/>
          <w:lang w:val="bg-BG"/>
        </w:rPr>
        <w:t>Групата придобива 100% от дяловете на местно дружество – ВГЕ-2 ЕООД (ВГЕ-2) в бизнес комбинация, която включва условно възнаграждение.</w:t>
      </w:r>
      <w:r w:rsidRPr="00721663">
        <w:rPr>
          <w:lang w:val="bg-BG"/>
        </w:rPr>
        <w:t xml:space="preserve"> </w:t>
      </w:r>
      <w:r w:rsidRPr="00721663">
        <w:rPr>
          <w:rFonts w:ascii="Arial" w:hAnsi="Arial"/>
          <w:lang w:val="bg-BG"/>
        </w:rPr>
        <w:t>Съгласно договора за придобиване на дялове, покупната цена на акциите на ВГЕ-2 се състои от следните два компонента:</w:t>
      </w:r>
    </w:p>
    <w:p w14:paraId="10372AFD" w14:textId="77777777" w:rsidR="00E07C4E" w:rsidRPr="00721663" w:rsidRDefault="00E07C4E" w:rsidP="00462752">
      <w:pPr>
        <w:pStyle w:val="Notesbodytext"/>
        <w:numPr>
          <w:ilvl w:val="0"/>
          <w:numId w:val="26"/>
        </w:numPr>
        <w:spacing w:after="0" w:line="240" w:lineRule="atLeast"/>
        <w:rPr>
          <w:rFonts w:ascii="Arial" w:hAnsi="Arial"/>
          <w:lang w:val="bg-BG"/>
        </w:rPr>
      </w:pPr>
      <w:r w:rsidRPr="00721663">
        <w:rPr>
          <w:rFonts w:ascii="Arial" w:hAnsi="Arial"/>
          <w:lang w:val="bg-BG"/>
        </w:rPr>
        <w:t>110 хил. евро за всеки MB инсталирана мощност на ВяЕЦ и</w:t>
      </w:r>
    </w:p>
    <w:p w14:paraId="2F78F830" w14:textId="77777777" w:rsidR="00E07C4E" w:rsidRPr="00721663" w:rsidRDefault="00E07C4E" w:rsidP="00462752">
      <w:pPr>
        <w:pStyle w:val="Notesbodytext"/>
        <w:numPr>
          <w:ilvl w:val="0"/>
          <w:numId w:val="26"/>
        </w:numPr>
        <w:spacing w:after="0" w:line="240" w:lineRule="atLeast"/>
        <w:rPr>
          <w:rFonts w:ascii="Arial" w:hAnsi="Arial"/>
          <w:lang w:val="bg-BG"/>
        </w:rPr>
      </w:pPr>
      <w:r w:rsidRPr="00721663">
        <w:rPr>
          <w:rFonts w:ascii="Arial" w:hAnsi="Arial"/>
          <w:lang w:val="bg-BG"/>
        </w:rPr>
        <w:t>1.7 MB обща инсталирана мощност на ВяЕЦ.</w:t>
      </w:r>
    </w:p>
    <w:p w14:paraId="4ED61FD4" w14:textId="6BDACB7F" w:rsidR="00E07C4E" w:rsidRPr="00721663" w:rsidRDefault="00E07C4E" w:rsidP="00E07C4E">
      <w:pPr>
        <w:pStyle w:val="Notesbodytext"/>
        <w:spacing w:line="240" w:lineRule="atLeast"/>
        <w:rPr>
          <w:rFonts w:ascii="Arial" w:hAnsi="Arial"/>
          <w:lang w:val="bg-BG"/>
        </w:rPr>
      </w:pPr>
      <w:r w:rsidRPr="00721663">
        <w:rPr>
          <w:rFonts w:ascii="Arial" w:hAnsi="Arial"/>
          <w:lang w:val="bg-BG"/>
        </w:rPr>
        <w:t xml:space="preserve">Тъй като към </w:t>
      </w:r>
      <w:r w:rsidR="00144930">
        <w:rPr>
          <w:rFonts w:ascii="Arial" w:hAnsi="Arial"/>
          <w:lang w:val="bg-BG"/>
        </w:rPr>
        <w:t>30 юни 2017</w:t>
      </w:r>
      <w:r w:rsidRPr="00721663">
        <w:rPr>
          <w:rFonts w:ascii="Arial" w:hAnsi="Arial"/>
          <w:lang w:val="bg-BG"/>
        </w:rPr>
        <w:t xml:space="preserve"> г. и </w:t>
      </w:r>
      <w:r w:rsidR="00144930">
        <w:rPr>
          <w:rFonts w:ascii="Arial" w:hAnsi="Arial"/>
          <w:lang w:val="bg-BG"/>
        </w:rPr>
        <w:t>31 декември 2016</w:t>
      </w:r>
      <w:r w:rsidRPr="00721663">
        <w:rPr>
          <w:rFonts w:ascii="Arial" w:hAnsi="Arial"/>
          <w:lang w:val="bg-BG"/>
        </w:rPr>
        <w:t xml:space="preserve"> г. няма инсталирана мощност, </w:t>
      </w:r>
      <w:r w:rsidRPr="006F0D5E">
        <w:rPr>
          <w:rFonts w:ascii="Arial" w:hAnsi="Arial"/>
          <w:lang w:val="bg-BG"/>
        </w:rPr>
        <w:t>не са настъпили условия за плащане на условното възнаграждени</w:t>
      </w:r>
      <w:r w:rsidRPr="00721663">
        <w:rPr>
          <w:rFonts w:ascii="Arial" w:hAnsi="Arial"/>
          <w:lang w:val="bg-BG"/>
        </w:rPr>
        <w:t>е, в резултат на което инвестицията във ВГЕ-2 е отчетена без стойност</w:t>
      </w:r>
      <w:bookmarkEnd w:id="35"/>
      <w:r w:rsidRPr="00721663">
        <w:rPr>
          <w:rFonts w:ascii="Arial" w:hAnsi="Arial"/>
          <w:lang w:val="bg-BG"/>
        </w:rPr>
        <w:t xml:space="preserve"> </w:t>
      </w:r>
      <w:r w:rsidRPr="006F0D5E">
        <w:rPr>
          <w:rFonts w:ascii="Arial" w:hAnsi="Arial"/>
          <w:lang w:val="bg-BG"/>
        </w:rPr>
        <w:t>в индивидуалния финансов отчет на ВГЕ 1 ЕООД, а в консолидирания финансов отчет не е призната репутация.</w:t>
      </w:r>
    </w:p>
    <w:p w14:paraId="078FF26B" w14:textId="77777777" w:rsidR="00E07C4E" w:rsidRPr="00721663" w:rsidRDefault="00E07C4E" w:rsidP="00E07C4E">
      <w:pPr>
        <w:pStyle w:val="Heading1"/>
      </w:pPr>
      <w:bookmarkStart w:id="39" w:name="_Toc490647401"/>
      <w:r w:rsidRPr="00721663">
        <w:t xml:space="preserve">9. </w:t>
      </w:r>
      <w:bookmarkEnd w:id="36"/>
      <w:r w:rsidRPr="00721663">
        <w:t>Задължения по получени заеми</w:t>
      </w:r>
      <w:bookmarkEnd w:id="39"/>
    </w:p>
    <w:p w14:paraId="3853A3A6" w14:textId="77777777" w:rsidR="00E07C4E" w:rsidRPr="002D163E" w:rsidRDefault="00E07C4E" w:rsidP="002D163E">
      <w:pPr>
        <w:pStyle w:val="BodyTextIndent2"/>
        <w:spacing w:after="120"/>
        <w:ind w:firstLine="0"/>
        <w:rPr>
          <w:rFonts w:ascii="Arial" w:hAnsi="Arial" w:cs="Arial"/>
          <w:b/>
          <w:sz w:val="18"/>
          <w:szCs w:val="18"/>
          <w:lang w:val="bg-BG"/>
        </w:rPr>
      </w:pPr>
      <w:r w:rsidRPr="002D163E">
        <w:rPr>
          <w:rFonts w:ascii="Arial" w:hAnsi="Arial" w:cs="Arial"/>
          <w:b/>
          <w:sz w:val="18"/>
          <w:szCs w:val="18"/>
          <w:lang w:val="bg-BG"/>
        </w:rPr>
        <w:t>Задължения по получени заеми от свързани лица</w:t>
      </w:r>
    </w:p>
    <w:p w14:paraId="7BB9FAA8" w14:textId="77777777" w:rsidR="00E07C4E" w:rsidRPr="00721663" w:rsidRDefault="00E07C4E" w:rsidP="00E07C4E">
      <w:pPr>
        <w:tabs>
          <w:tab w:val="left" w:pos="8364"/>
        </w:tabs>
        <w:spacing w:after="120"/>
        <w:jc w:val="left"/>
        <w:rPr>
          <w:rFonts w:ascii="Arial" w:hAnsi="Arial" w:cs="Arial"/>
          <w:sz w:val="18"/>
          <w:szCs w:val="18"/>
          <w:lang w:val="bg-BG"/>
        </w:rPr>
      </w:pPr>
      <w:r w:rsidRPr="00721663">
        <w:rPr>
          <w:rFonts w:ascii="Arial" w:hAnsi="Arial" w:cs="Arial"/>
          <w:sz w:val="18"/>
          <w:szCs w:val="18"/>
          <w:lang w:val="bg-BG"/>
        </w:rPr>
        <w:t>На Групата е предоставен заем от компанията майка (Юнит Инвестмънтс Н.В.). Основните условията по този заем са обобщени по-долу:</w:t>
      </w:r>
    </w:p>
    <w:p w14:paraId="28D1F9B1" w14:textId="77777777" w:rsidR="00E07C4E" w:rsidRPr="00721663" w:rsidRDefault="00E07C4E" w:rsidP="00462752">
      <w:pPr>
        <w:numPr>
          <w:ilvl w:val="0"/>
          <w:numId w:val="19"/>
        </w:numPr>
        <w:tabs>
          <w:tab w:val="left" w:pos="8364"/>
        </w:tabs>
        <w:ind w:left="714" w:hanging="357"/>
        <w:jc w:val="left"/>
        <w:rPr>
          <w:rFonts w:ascii="Arial" w:hAnsi="Arial" w:cs="Arial"/>
          <w:color w:val="000000"/>
          <w:sz w:val="18"/>
          <w:szCs w:val="18"/>
          <w:lang w:val="bg-BG"/>
        </w:rPr>
      </w:pPr>
      <w:bookmarkStart w:id="40" w:name="_Toc131333692"/>
      <w:r w:rsidRPr="00721663">
        <w:rPr>
          <w:rFonts w:ascii="Arial" w:hAnsi="Arial" w:cs="Arial"/>
          <w:color w:val="000000"/>
          <w:sz w:val="18"/>
          <w:szCs w:val="18"/>
          <w:lang w:val="bg-BG"/>
        </w:rPr>
        <w:t xml:space="preserve">Първоначална стойност на заема – </w:t>
      </w:r>
      <w:r w:rsidRPr="00721663">
        <w:rPr>
          <w:rFonts w:ascii="Arial" w:hAnsi="Arial" w:cs="Arial"/>
          <w:sz w:val="18"/>
          <w:szCs w:val="18"/>
          <w:lang w:val="bg-BG"/>
        </w:rPr>
        <w:t>1,500 хил. евро, а съгласно анекс от 16 август 2010 г. лимитът е определен на 3,</w:t>
      </w:r>
      <w:r>
        <w:rPr>
          <w:rFonts w:ascii="Arial" w:hAnsi="Arial" w:cs="Arial"/>
          <w:sz w:val="18"/>
          <w:szCs w:val="18"/>
          <w:lang w:val="bg-BG"/>
        </w:rPr>
        <w:t>650</w:t>
      </w:r>
      <w:r w:rsidRPr="00721663">
        <w:rPr>
          <w:rFonts w:ascii="Arial" w:hAnsi="Arial" w:cs="Arial"/>
          <w:sz w:val="18"/>
          <w:szCs w:val="18"/>
          <w:lang w:val="bg-BG"/>
        </w:rPr>
        <w:t xml:space="preserve"> хил. евро и 450 хил. </w:t>
      </w:r>
      <w:r>
        <w:rPr>
          <w:rFonts w:ascii="Arial" w:hAnsi="Arial" w:cs="Arial"/>
          <w:sz w:val="18"/>
          <w:szCs w:val="18"/>
          <w:lang w:val="bg-BG"/>
        </w:rPr>
        <w:t>евро</w:t>
      </w:r>
      <w:r w:rsidRPr="00721663">
        <w:rPr>
          <w:rFonts w:ascii="Arial" w:hAnsi="Arial" w:cs="Arial"/>
          <w:sz w:val="18"/>
          <w:szCs w:val="18"/>
          <w:lang w:val="bg-BG"/>
        </w:rPr>
        <w:t>. Съгласно анекс от 16 декември 2010 г. лимитът е променен на 3,650 хил.евро</w:t>
      </w:r>
      <w:r>
        <w:rPr>
          <w:rFonts w:ascii="Arial" w:hAnsi="Arial" w:cs="Arial"/>
          <w:sz w:val="18"/>
          <w:szCs w:val="18"/>
          <w:lang w:val="bg-BG"/>
        </w:rPr>
        <w:t>.</w:t>
      </w:r>
    </w:p>
    <w:p w14:paraId="1A64BC1E" w14:textId="77777777" w:rsidR="00E07C4E" w:rsidRPr="00721663" w:rsidRDefault="00E07C4E" w:rsidP="00462752">
      <w:pPr>
        <w:numPr>
          <w:ilvl w:val="0"/>
          <w:numId w:val="19"/>
        </w:numPr>
        <w:tabs>
          <w:tab w:val="left" w:pos="8364"/>
        </w:tabs>
        <w:ind w:left="714" w:hanging="357"/>
        <w:jc w:val="left"/>
        <w:rPr>
          <w:rFonts w:ascii="Arial" w:hAnsi="Arial" w:cs="Arial"/>
          <w:bCs/>
          <w:sz w:val="18"/>
          <w:szCs w:val="18"/>
          <w:lang w:val="bg-BG"/>
        </w:rPr>
      </w:pPr>
      <w:r w:rsidRPr="00721663">
        <w:rPr>
          <w:rFonts w:ascii="Arial" w:hAnsi="Arial" w:cs="Arial"/>
          <w:color w:val="000000"/>
          <w:sz w:val="18"/>
          <w:szCs w:val="18"/>
          <w:lang w:val="bg-BG"/>
        </w:rPr>
        <w:t>Цел – финансиране покупка  на ветрогенератор</w:t>
      </w:r>
    </w:p>
    <w:p w14:paraId="259182F2" w14:textId="77777777" w:rsidR="00E07C4E" w:rsidRPr="00721663" w:rsidRDefault="00E07C4E" w:rsidP="00462752">
      <w:pPr>
        <w:numPr>
          <w:ilvl w:val="0"/>
          <w:numId w:val="19"/>
        </w:numPr>
        <w:tabs>
          <w:tab w:val="left" w:pos="8364"/>
        </w:tabs>
        <w:ind w:left="714" w:hanging="357"/>
        <w:jc w:val="left"/>
        <w:rPr>
          <w:rFonts w:ascii="Arial" w:hAnsi="Arial" w:cs="Arial"/>
          <w:bCs/>
          <w:sz w:val="18"/>
          <w:szCs w:val="18"/>
          <w:lang w:val="bg-BG"/>
        </w:rPr>
      </w:pPr>
      <w:r w:rsidRPr="00721663">
        <w:rPr>
          <w:rFonts w:ascii="Arial" w:hAnsi="Arial" w:cs="Arial"/>
          <w:color w:val="000000"/>
          <w:sz w:val="18"/>
          <w:szCs w:val="18"/>
          <w:lang w:val="bg-BG"/>
        </w:rPr>
        <w:t xml:space="preserve">Срок – </w:t>
      </w:r>
      <w:r w:rsidRPr="00721663">
        <w:rPr>
          <w:rFonts w:ascii="Arial" w:hAnsi="Arial" w:cs="Arial"/>
          <w:bCs/>
          <w:color w:val="000000"/>
          <w:sz w:val="18"/>
          <w:szCs w:val="18"/>
          <w:lang w:val="bg-BG"/>
        </w:rPr>
        <w:t>3 години след началната дата на договора , която е 2 август 2010 г.; предоговорен до 2 август 2017 г.</w:t>
      </w:r>
    </w:p>
    <w:p w14:paraId="5A5952A8" w14:textId="77777777" w:rsidR="00E07C4E" w:rsidRPr="00721663" w:rsidRDefault="00E07C4E" w:rsidP="00462752">
      <w:pPr>
        <w:numPr>
          <w:ilvl w:val="0"/>
          <w:numId w:val="19"/>
        </w:numPr>
        <w:tabs>
          <w:tab w:val="left" w:pos="8364"/>
        </w:tabs>
        <w:ind w:left="714" w:hanging="357"/>
        <w:jc w:val="left"/>
        <w:rPr>
          <w:rFonts w:ascii="Arial" w:hAnsi="Arial" w:cs="Arial"/>
          <w:sz w:val="18"/>
          <w:szCs w:val="18"/>
          <w:lang w:val="bg-BG"/>
        </w:rPr>
      </w:pPr>
      <w:r w:rsidRPr="00721663">
        <w:rPr>
          <w:rFonts w:ascii="Arial" w:hAnsi="Arial" w:cs="Arial"/>
          <w:color w:val="000000"/>
          <w:sz w:val="18"/>
          <w:szCs w:val="18"/>
          <w:lang w:val="bg-BG"/>
        </w:rPr>
        <w:t xml:space="preserve">Договорена лихва – 4% годишно над тримесечния </w:t>
      </w:r>
      <w:r w:rsidRPr="00721663">
        <w:rPr>
          <w:rFonts w:ascii="Arial" w:hAnsi="Arial" w:cs="Arial"/>
          <w:bCs/>
          <w:color w:val="000000"/>
          <w:sz w:val="18"/>
          <w:szCs w:val="18"/>
          <w:lang w:val="bg-BG"/>
        </w:rPr>
        <w:t>EURIBOR за съответния период за депозитите в евро; плащането (главница и лихва) ще се извършва на датата на падежа (лихви се начисляват за всеки тримесечен период)</w:t>
      </w:r>
      <w:r w:rsidRPr="00721663">
        <w:rPr>
          <w:rFonts w:ascii="Arial" w:hAnsi="Arial" w:cs="Arial"/>
          <w:color w:val="000000"/>
          <w:sz w:val="18"/>
          <w:szCs w:val="18"/>
          <w:lang w:val="bg-BG"/>
        </w:rPr>
        <w:t>.</w:t>
      </w:r>
    </w:p>
    <w:tbl>
      <w:tblPr>
        <w:tblW w:w="8802" w:type="dxa"/>
        <w:tblInd w:w="95" w:type="dxa"/>
        <w:tblLayout w:type="fixed"/>
        <w:tblLook w:val="0000" w:firstRow="0" w:lastRow="0" w:firstColumn="0" w:lastColumn="0" w:noHBand="0" w:noVBand="0"/>
      </w:tblPr>
      <w:tblGrid>
        <w:gridCol w:w="5419"/>
        <w:gridCol w:w="1398"/>
        <w:gridCol w:w="284"/>
        <w:gridCol w:w="1701"/>
      </w:tblGrid>
      <w:tr w:rsidR="00E07C4E" w:rsidRPr="00721663" w14:paraId="0988290C" w14:textId="77777777" w:rsidTr="00551604">
        <w:trPr>
          <w:trHeight w:val="412"/>
        </w:trPr>
        <w:tc>
          <w:tcPr>
            <w:tcW w:w="5419" w:type="dxa"/>
            <w:tcBorders>
              <w:top w:val="nil"/>
              <w:left w:val="nil"/>
              <w:bottom w:val="nil"/>
              <w:right w:val="nil"/>
            </w:tcBorders>
            <w:noWrap/>
            <w:vAlign w:val="bottom"/>
          </w:tcPr>
          <w:p w14:paraId="2FC4E195" w14:textId="77777777" w:rsidR="00E07C4E" w:rsidRPr="00721663" w:rsidRDefault="00E07C4E" w:rsidP="00551604">
            <w:pPr>
              <w:spacing w:line="240" w:lineRule="auto"/>
              <w:jc w:val="left"/>
              <w:rPr>
                <w:rFonts w:ascii="Arial" w:hAnsi="Arial" w:cs="Arial"/>
                <w:b/>
                <w:bCs/>
                <w:i/>
                <w:iCs/>
                <w:sz w:val="18"/>
                <w:szCs w:val="18"/>
                <w:lang w:val="bg-BG"/>
              </w:rPr>
            </w:pPr>
          </w:p>
        </w:tc>
        <w:tc>
          <w:tcPr>
            <w:tcW w:w="1398" w:type="dxa"/>
            <w:tcBorders>
              <w:top w:val="nil"/>
              <w:left w:val="nil"/>
              <w:bottom w:val="single" w:sz="4" w:space="0" w:color="auto"/>
              <w:right w:val="nil"/>
            </w:tcBorders>
            <w:vAlign w:val="bottom"/>
          </w:tcPr>
          <w:p w14:paraId="2F0ECFD8" w14:textId="19A3CAD1" w:rsidR="00E07C4E" w:rsidRPr="00721663" w:rsidRDefault="00144930" w:rsidP="00551604">
            <w:pPr>
              <w:jc w:val="right"/>
              <w:rPr>
                <w:rFonts w:ascii="Arial" w:hAnsi="Arial" w:cs="Arial"/>
                <w:b/>
                <w:bCs/>
                <w:sz w:val="18"/>
                <w:szCs w:val="18"/>
                <w:lang w:val="bg-BG"/>
              </w:rPr>
            </w:pPr>
            <w:r>
              <w:rPr>
                <w:rFonts w:ascii="Arial" w:hAnsi="Arial" w:cs="Arial"/>
                <w:b/>
                <w:bCs/>
                <w:sz w:val="18"/>
                <w:szCs w:val="18"/>
                <w:lang w:val="bg-BG"/>
              </w:rPr>
              <w:t>30 юни 2017</w:t>
            </w:r>
          </w:p>
        </w:tc>
        <w:tc>
          <w:tcPr>
            <w:tcW w:w="284" w:type="dxa"/>
            <w:tcBorders>
              <w:top w:val="nil"/>
              <w:left w:val="nil"/>
              <w:right w:val="nil"/>
            </w:tcBorders>
            <w:vAlign w:val="bottom"/>
          </w:tcPr>
          <w:p w14:paraId="66486C94" w14:textId="77777777" w:rsidR="00E07C4E" w:rsidRPr="00721663" w:rsidRDefault="00E07C4E" w:rsidP="00551604">
            <w:pPr>
              <w:jc w:val="right"/>
              <w:rPr>
                <w:rFonts w:ascii="Arial" w:hAnsi="Arial" w:cs="Arial"/>
                <w:b/>
                <w:bCs/>
                <w:sz w:val="18"/>
                <w:szCs w:val="18"/>
                <w:lang w:val="bg-BG"/>
              </w:rPr>
            </w:pPr>
          </w:p>
        </w:tc>
        <w:tc>
          <w:tcPr>
            <w:tcW w:w="1701" w:type="dxa"/>
            <w:tcBorders>
              <w:top w:val="nil"/>
              <w:left w:val="nil"/>
              <w:bottom w:val="single" w:sz="4" w:space="0" w:color="auto"/>
              <w:right w:val="nil"/>
            </w:tcBorders>
            <w:vAlign w:val="bottom"/>
          </w:tcPr>
          <w:p w14:paraId="037A652D" w14:textId="5F594B99" w:rsidR="00E07C4E" w:rsidRPr="00721663" w:rsidRDefault="00144930" w:rsidP="00551604">
            <w:pPr>
              <w:tabs>
                <w:tab w:val="left" w:pos="1343"/>
              </w:tabs>
              <w:ind w:right="34"/>
              <w:jc w:val="right"/>
              <w:rPr>
                <w:rFonts w:ascii="Arial" w:hAnsi="Arial" w:cs="Arial"/>
                <w:b/>
                <w:bCs/>
                <w:sz w:val="18"/>
                <w:szCs w:val="18"/>
                <w:lang w:val="bg-BG"/>
              </w:rPr>
            </w:pPr>
            <w:r>
              <w:rPr>
                <w:rFonts w:ascii="Arial" w:hAnsi="Arial" w:cs="Arial"/>
                <w:b/>
                <w:bCs/>
                <w:sz w:val="18"/>
                <w:szCs w:val="18"/>
                <w:lang w:val="bg-BG"/>
              </w:rPr>
              <w:t>31 декември 2016</w:t>
            </w:r>
          </w:p>
        </w:tc>
      </w:tr>
      <w:tr w:rsidR="00E07C4E" w:rsidRPr="00721663" w14:paraId="6188D794" w14:textId="77777777" w:rsidTr="00551604">
        <w:trPr>
          <w:trHeight w:val="255"/>
        </w:trPr>
        <w:tc>
          <w:tcPr>
            <w:tcW w:w="5419" w:type="dxa"/>
            <w:tcBorders>
              <w:top w:val="nil"/>
              <w:left w:val="nil"/>
              <w:bottom w:val="nil"/>
              <w:right w:val="nil"/>
            </w:tcBorders>
            <w:noWrap/>
            <w:vAlign w:val="bottom"/>
          </w:tcPr>
          <w:p w14:paraId="479B5F97" w14:textId="77777777" w:rsidR="00E07C4E" w:rsidRPr="00721663" w:rsidRDefault="00E07C4E" w:rsidP="00551604">
            <w:pPr>
              <w:spacing w:line="240" w:lineRule="auto"/>
              <w:jc w:val="left"/>
              <w:rPr>
                <w:rFonts w:ascii="Arial" w:hAnsi="Arial" w:cs="Arial"/>
                <w:b/>
                <w:i/>
                <w:sz w:val="18"/>
                <w:szCs w:val="18"/>
                <w:lang w:val="bg-BG"/>
              </w:rPr>
            </w:pPr>
            <w:r w:rsidRPr="00721663">
              <w:rPr>
                <w:rFonts w:ascii="Arial" w:hAnsi="Arial" w:cs="Arial"/>
                <w:b/>
                <w:i/>
                <w:sz w:val="18"/>
                <w:szCs w:val="18"/>
                <w:lang w:val="bg-BG"/>
              </w:rPr>
              <w:t>Главници по заеми, дължими на Юнит Инвестмънт Н.В.:</w:t>
            </w:r>
          </w:p>
        </w:tc>
        <w:tc>
          <w:tcPr>
            <w:tcW w:w="1398" w:type="dxa"/>
            <w:tcBorders>
              <w:top w:val="single" w:sz="4" w:space="0" w:color="auto"/>
              <w:left w:val="nil"/>
              <w:right w:val="nil"/>
            </w:tcBorders>
            <w:vAlign w:val="bottom"/>
          </w:tcPr>
          <w:p w14:paraId="2EAF0078" w14:textId="77777777" w:rsidR="00E07C4E" w:rsidRPr="00721663" w:rsidRDefault="00E07C4E" w:rsidP="00551604">
            <w:pPr>
              <w:spacing w:line="240" w:lineRule="auto"/>
              <w:jc w:val="right"/>
              <w:rPr>
                <w:rFonts w:ascii="Arial" w:hAnsi="Arial" w:cs="Arial"/>
                <w:sz w:val="18"/>
                <w:szCs w:val="18"/>
                <w:lang w:val="bg-BG"/>
              </w:rPr>
            </w:pPr>
            <w:r w:rsidRPr="00721663">
              <w:rPr>
                <w:rFonts w:ascii="Arial" w:hAnsi="Arial" w:cs="Arial"/>
                <w:b/>
                <w:bCs/>
                <w:sz w:val="18"/>
                <w:szCs w:val="18"/>
                <w:lang w:val="bg-BG"/>
              </w:rPr>
              <w:t>хил. лв.</w:t>
            </w:r>
          </w:p>
        </w:tc>
        <w:tc>
          <w:tcPr>
            <w:tcW w:w="284" w:type="dxa"/>
            <w:tcBorders>
              <w:left w:val="nil"/>
              <w:right w:val="nil"/>
            </w:tcBorders>
            <w:vAlign w:val="bottom"/>
          </w:tcPr>
          <w:p w14:paraId="0AB1C28E" w14:textId="77777777" w:rsidR="00E07C4E" w:rsidRPr="00721663" w:rsidRDefault="00E07C4E" w:rsidP="00551604">
            <w:pPr>
              <w:spacing w:line="240" w:lineRule="auto"/>
              <w:jc w:val="right"/>
              <w:rPr>
                <w:rFonts w:ascii="Arial" w:hAnsi="Arial" w:cs="Arial"/>
                <w:b/>
                <w:bCs/>
                <w:sz w:val="18"/>
                <w:szCs w:val="18"/>
                <w:lang w:val="bg-BG"/>
              </w:rPr>
            </w:pPr>
          </w:p>
        </w:tc>
        <w:tc>
          <w:tcPr>
            <w:tcW w:w="1701" w:type="dxa"/>
            <w:tcBorders>
              <w:top w:val="single" w:sz="4" w:space="0" w:color="auto"/>
              <w:left w:val="nil"/>
              <w:right w:val="nil"/>
            </w:tcBorders>
            <w:vAlign w:val="bottom"/>
          </w:tcPr>
          <w:p w14:paraId="60817596" w14:textId="77777777" w:rsidR="00E07C4E" w:rsidRPr="00721663" w:rsidRDefault="00E07C4E" w:rsidP="00551604">
            <w:pPr>
              <w:spacing w:line="240" w:lineRule="auto"/>
              <w:jc w:val="right"/>
              <w:rPr>
                <w:rFonts w:ascii="Arial" w:hAnsi="Arial" w:cs="Arial"/>
                <w:sz w:val="18"/>
                <w:szCs w:val="18"/>
                <w:lang w:val="bg-BG"/>
              </w:rPr>
            </w:pPr>
            <w:r w:rsidRPr="00721663">
              <w:rPr>
                <w:rFonts w:ascii="Arial" w:hAnsi="Arial" w:cs="Arial"/>
                <w:b/>
                <w:bCs/>
                <w:sz w:val="18"/>
                <w:szCs w:val="18"/>
                <w:lang w:val="bg-BG"/>
              </w:rPr>
              <w:t>хил. лв.</w:t>
            </w:r>
          </w:p>
        </w:tc>
      </w:tr>
      <w:tr w:rsidR="00E07C4E" w:rsidRPr="00721663" w14:paraId="3675B7E4" w14:textId="77777777" w:rsidTr="00551604">
        <w:trPr>
          <w:trHeight w:hRule="exact" w:val="170"/>
        </w:trPr>
        <w:tc>
          <w:tcPr>
            <w:tcW w:w="5419" w:type="dxa"/>
            <w:tcBorders>
              <w:top w:val="nil"/>
              <w:left w:val="nil"/>
              <w:bottom w:val="nil"/>
              <w:right w:val="nil"/>
            </w:tcBorders>
            <w:noWrap/>
            <w:vAlign w:val="center"/>
          </w:tcPr>
          <w:p w14:paraId="59C32BAB" w14:textId="77777777" w:rsidR="00E07C4E" w:rsidRPr="00721663" w:rsidRDefault="00E07C4E" w:rsidP="00551604">
            <w:pPr>
              <w:spacing w:line="240" w:lineRule="auto"/>
              <w:jc w:val="left"/>
              <w:rPr>
                <w:rFonts w:ascii="Arial" w:hAnsi="Arial" w:cs="Arial"/>
                <w:b/>
                <w:i/>
                <w:sz w:val="18"/>
                <w:szCs w:val="18"/>
                <w:lang w:val="bg-BG"/>
              </w:rPr>
            </w:pPr>
          </w:p>
        </w:tc>
        <w:tc>
          <w:tcPr>
            <w:tcW w:w="1398" w:type="dxa"/>
            <w:tcBorders>
              <w:left w:val="nil"/>
              <w:bottom w:val="nil"/>
              <w:right w:val="nil"/>
            </w:tcBorders>
            <w:vAlign w:val="center"/>
          </w:tcPr>
          <w:p w14:paraId="2F6F3655" w14:textId="77777777" w:rsidR="00E07C4E" w:rsidRPr="00721663" w:rsidRDefault="00E07C4E" w:rsidP="00551604">
            <w:pPr>
              <w:spacing w:line="240" w:lineRule="auto"/>
              <w:jc w:val="right"/>
              <w:rPr>
                <w:rFonts w:ascii="Arial" w:hAnsi="Arial" w:cs="Arial"/>
                <w:b/>
                <w:bCs/>
                <w:sz w:val="18"/>
                <w:szCs w:val="18"/>
                <w:lang w:val="bg-BG"/>
              </w:rPr>
            </w:pPr>
          </w:p>
        </w:tc>
        <w:tc>
          <w:tcPr>
            <w:tcW w:w="284" w:type="dxa"/>
            <w:tcBorders>
              <w:left w:val="nil"/>
              <w:bottom w:val="nil"/>
              <w:right w:val="nil"/>
            </w:tcBorders>
            <w:vAlign w:val="center"/>
          </w:tcPr>
          <w:p w14:paraId="58843458" w14:textId="77777777" w:rsidR="00E07C4E" w:rsidRPr="00721663" w:rsidRDefault="00E07C4E" w:rsidP="00551604">
            <w:pPr>
              <w:spacing w:line="240" w:lineRule="auto"/>
              <w:jc w:val="right"/>
              <w:rPr>
                <w:rFonts w:ascii="Arial" w:hAnsi="Arial" w:cs="Arial"/>
                <w:b/>
                <w:bCs/>
                <w:sz w:val="18"/>
                <w:szCs w:val="18"/>
                <w:lang w:val="bg-BG"/>
              </w:rPr>
            </w:pPr>
          </w:p>
        </w:tc>
        <w:tc>
          <w:tcPr>
            <w:tcW w:w="1701" w:type="dxa"/>
            <w:tcBorders>
              <w:left w:val="nil"/>
              <w:bottom w:val="nil"/>
              <w:right w:val="nil"/>
            </w:tcBorders>
            <w:vAlign w:val="center"/>
          </w:tcPr>
          <w:p w14:paraId="62D8E929" w14:textId="77777777" w:rsidR="00E07C4E" w:rsidRPr="00721663" w:rsidRDefault="00E07C4E" w:rsidP="00551604">
            <w:pPr>
              <w:spacing w:line="240" w:lineRule="auto"/>
              <w:jc w:val="right"/>
              <w:rPr>
                <w:rFonts w:ascii="Arial" w:hAnsi="Arial" w:cs="Arial"/>
                <w:b/>
                <w:bCs/>
                <w:sz w:val="18"/>
                <w:szCs w:val="18"/>
                <w:lang w:val="bg-BG"/>
              </w:rPr>
            </w:pPr>
          </w:p>
        </w:tc>
      </w:tr>
      <w:tr w:rsidR="00DA6E0E" w:rsidRPr="00721663" w14:paraId="45BEE7E2" w14:textId="77777777" w:rsidTr="00551604">
        <w:trPr>
          <w:trHeight w:hRule="exact" w:val="284"/>
        </w:trPr>
        <w:tc>
          <w:tcPr>
            <w:tcW w:w="5419" w:type="dxa"/>
            <w:tcBorders>
              <w:top w:val="nil"/>
              <w:left w:val="nil"/>
              <w:bottom w:val="nil"/>
              <w:right w:val="nil"/>
            </w:tcBorders>
            <w:noWrap/>
            <w:vAlign w:val="center"/>
          </w:tcPr>
          <w:p w14:paraId="5D1C722E" w14:textId="77777777" w:rsidR="00DA6E0E" w:rsidRPr="00721663" w:rsidRDefault="00DA6E0E" w:rsidP="00DA6E0E">
            <w:pPr>
              <w:spacing w:line="240" w:lineRule="auto"/>
              <w:jc w:val="left"/>
              <w:rPr>
                <w:rFonts w:ascii="Arial" w:hAnsi="Arial" w:cs="Arial"/>
                <w:sz w:val="18"/>
                <w:szCs w:val="18"/>
                <w:lang w:val="bg-BG"/>
              </w:rPr>
            </w:pPr>
            <w:r w:rsidRPr="00721663">
              <w:rPr>
                <w:rFonts w:ascii="Arial" w:hAnsi="Arial" w:cs="Arial"/>
                <w:sz w:val="18"/>
                <w:szCs w:val="18"/>
                <w:lang w:val="bg-BG"/>
              </w:rPr>
              <w:t>Заем в евро</w:t>
            </w:r>
          </w:p>
        </w:tc>
        <w:tc>
          <w:tcPr>
            <w:tcW w:w="1398" w:type="dxa"/>
            <w:tcBorders>
              <w:top w:val="nil"/>
              <w:left w:val="nil"/>
              <w:bottom w:val="nil"/>
              <w:right w:val="nil"/>
            </w:tcBorders>
            <w:vAlign w:val="center"/>
          </w:tcPr>
          <w:p w14:paraId="27552C13" w14:textId="5599FF3E" w:rsidR="00DA6E0E" w:rsidRPr="00721663" w:rsidRDefault="00DA6E0E" w:rsidP="00DA6E0E">
            <w:pPr>
              <w:spacing w:line="240" w:lineRule="auto"/>
              <w:jc w:val="right"/>
              <w:rPr>
                <w:rFonts w:ascii="Arial" w:hAnsi="Arial" w:cs="Arial"/>
                <w:sz w:val="18"/>
                <w:szCs w:val="18"/>
                <w:lang w:val="bg-BG"/>
              </w:rPr>
            </w:pPr>
            <w:r>
              <w:rPr>
                <w:rFonts w:ascii="Arial" w:hAnsi="Arial" w:cs="Arial"/>
                <w:sz w:val="18"/>
                <w:szCs w:val="18"/>
                <w:lang w:val="en-GB" w:eastAsia="bg-BG"/>
              </w:rPr>
              <w:t>4,146</w:t>
            </w:r>
          </w:p>
        </w:tc>
        <w:tc>
          <w:tcPr>
            <w:tcW w:w="284" w:type="dxa"/>
            <w:tcBorders>
              <w:top w:val="nil"/>
              <w:left w:val="nil"/>
              <w:bottom w:val="nil"/>
              <w:right w:val="nil"/>
            </w:tcBorders>
            <w:vAlign w:val="center"/>
          </w:tcPr>
          <w:p w14:paraId="098894D2" w14:textId="77777777" w:rsidR="00DA6E0E" w:rsidRPr="00721663" w:rsidRDefault="00DA6E0E" w:rsidP="00DA6E0E">
            <w:pPr>
              <w:spacing w:line="240" w:lineRule="auto"/>
              <w:jc w:val="right"/>
              <w:rPr>
                <w:rFonts w:ascii="Arial" w:hAnsi="Arial" w:cs="Arial"/>
                <w:sz w:val="18"/>
                <w:szCs w:val="18"/>
                <w:lang w:val="bg-BG"/>
              </w:rPr>
            </w:pPr>
          </w:p>
        </w:tc>
        <w:tc>
          <w:tcPr>
            <w:tcW w:w="1701" w:type="dxa"/>
            <w:tcBorders>
              <w:top w:val="nil"/>
              <w:left w:val="nil"/>
              <w:bottom w:val="nil"/>
              <w:right w:val="nil"/>
            </w:tcBorders>
            <w:vAlign w:val="center"/>
          </w:tcPr>
          <w:p w14:paraId="57C1ED71" w14:textId="673383B8" w:rsidR="00DA6E0E" w:rsidRPr="00721663" w:rsidRDefault="00DA6E0E" w:rsidP="00DA6E0E">
            <w:pPr>
              <w:spacing w:line="240" w:lineRule="auto"/>
              <w:jc w:val="right"/>
              <w:rPr>
                <w:rFonts w:ascii="Arial" w:hAnsi="Arial" w:cs="Arial"/>
                <w:sz w:val="18"/>
                <w:szCs w:val="18"/>
                <w:lang w:val="bg-BG"/>
              </w:rPr>
            </w:pPr>
            <w:r>
              <w:rPr>
                <w:rFonts w:ascii="Arial" w:hAnsi="Arial" w:cs="Arial"/>
                <w:sz w:val="18"/>
                <w:szCs w:val="18"/>
                <w:lang w:val="en-GB" w:eastAsia="bg-BG"/>
              </w:rPr>
              <w:t>4,146</w:t>
            </w:r>
          </w:p>
        </w:tc>
      </w:tr>
      <w:tr w:rsidR="00DA6E0E" w:rsidRPr="00721663" w14:paraId="29E36D9A" w14:textId="77777777" w:rsidTr="00551604">
        <w:trPr>
          <w:trHeight w:hRule="exact" w:val="284"/>
        </w:trPr>
        <w:tc>
          <w:tcPr>
            <w:tcW w:w="5419" w:type="dxa"/>
            <w:tcBorders>
              <w:top w:val="nil"/>
              <w:left w:val="nil"/>
              <w:bottom w:val="nil"/>
              <w:right w:val="nil"/>
            </w:tcBorders>
            <w:noWrap/>
            <w:vAlign w:val="center"/>
          </w:tcPr>
          <w:p w14:paraId="47D2AF27" w14:textId="77777777" w:rsidR="00DA6E0E" w:rsidRPr="00721663" w:rsidRDefault="00DA6E0E" w:rsidP="00DA6E0E">
            <w:pPr>
              <w:spacing w:line="240" w:lineRule="auto"/>
              <w:jc w:val="left"/>
              <w:rPr>
                <w:rFonts w:ascii="Arial" w:hAnsi="Arial" w:cs="Arial"/>
                <w:b/>
                <w:bCs/>
                <w:sz w:val="18"/>
                <w:szCs w:val="18"/>
                <w:lang w:val="bg-BG"/>
              </w:rPr>
            </w:pPr>
          </w:p>
        </w:tc>
        <w:tc>
          <w:tcPr>
            <w:tcW w:w="1398" w:type="dxa"/>
            <w:tcBorders>
              <w:top w:val="single" w:sz="4" w:space="0" w:color="auto"/>
              <w:left w:val="nil"/>
              <w:bottom w:val="nil"/>
              <w:right w:val="nil"/>
            </w:tcBorders>
            <w:vAlign w:val="center"/>
          </w:tcPr>
          <w:p w14:paraId="78965424" w14:textId="45E4784A" w:rsidR="00DA6E0E" w:rsidRPr="00721663" w:rsidRDefault="00DA6E0E" w:rsidP="00DA6E0E">
            <w:pPr>
              <w:spacing w:line="240" w:lineRule="auto"/>
              <w:jc w:val="right"/>
              <w:rPr>
                <w:rFonts w:ascii="Arial" w:hAnsi="Arial" w:cs="Arial"/>
                <w:b/>
                <w:bCs/>
                <w:sz w:val="18"/>
                <w:szCs w:val="18"/>
                <w:lang w:val="bg-BG"/>
              </w:rPr>
            </w:pPr>
            <w:r>
              <w:rPr>
                <w:rFonts w:ascii="Arial" w:hAnsi="Arial" w:cs="Arial"/>
                <w:b/>
                <w:bCs/>
                <w:sz w:val="18"/>
                <w:szCs w:val="18"/>
                <w:lang w:val="en-GB" w:eastAsia="bg-BG"/>
              </w:rPr>
              <w:t>4,146</w:t>
            </w:r>
          </w:p>
        </w:tc>
        <w:tc>
          <w:tcPr>
            <w:tcW w:w="284" w:type="dxa"/>
            <w:tcBorders>
              <w:left w:val="nil"/>
              <w:bottom w:val="nil"/>
              <w:right w:val="nil"/>
            </w:tcBorders>
            <w:vAlign w:val="center"/>
          </w:tcPr>
          <w:p w14:paraId="3A26D546" w14:textId="77777777" w:rsidR="00DA6E0E" w:rsidRPr="00721663" w:rsidRDefault="00DA6E0E" w:rsidP="00DA6E0E">
            <w:pPr>
              <w:spacing w:line="240" w:lineRule="auto"/>
              <w:jc w:val="right"/>
              <w:rPr>
                <w:rFonts w:ascii="Arial" w:hAnsi="Arial" w:cs="Arial"/>
                <w:b/>
                <w:bCs/>
                <w:sz w:val="18"/>
                <w:szCs w:val="18"/>
                <w:lang w:val="bg-BG"/>
              </w:rPr>
            </w:pPr>
          </w:p>
        </w:tc>
        <w:tc>
          <w:tcPr>
            <w:tcW w:w="1701" w:type="dxa"/>
            <w:tcBorders>
              <w:top w:val="single" w:sz="4" w:space="0" w:color="auto"/>
              <w:left w:val="nil"/>
              <w:bottom w:val="nil"/>
              <w:right w:val="nil"/>
            </w:tcBorders>
            <w:vAlign w:val="center"/>
          </w:tcPr>
          <w:p w14:paraId="7ED0C35B" w14:textId="13D425A2" w:rsidR="00DA6E0E" w:rsidRPr="00721663" w:rsidRDefault="00DA6E0E" w:rsidP="00DA6E0E">
            <w:pPr>
              <w:spacing w:line="240" w:lineRule="auto"/>
              <w:jc w:val="right"/>
              <w:rPr>
                <w:rFonts w:ascii="Arial" w:hAnsi="Arial" w:cs="Arial"/>
                <w:b/>
                <w:bCs/>
                <w:sz w:val="18"/>
                <w:szCs w:val="18"/>
                <w:lang w:val="bg-BG"/>
              </w:rPr>
            </w:pPr>
            <w:r>
              <w:rPr>
                <w:rFonts w:ascii="Arial" w:hAnsi="Arial" w:cs="Arial"/>
                <w:b/>
                <w:bCs/>
                <w:sz w:val="18"/>
                <w:szCs w:val="18"/>
                <w:lang w:val="en-GB" w:eastAsia="bg-BG"/>
              </w:rPr>
              <w:t>4,146</w:t>
            </w:r>
          </w:p>
        </w:tc>
      </w:tr>
      <w:tr w:rsidR="00DA6E0E" w:rsidRPr="00721663" w14:paraId="1106DC96" w14:textId="77777777" w:rsidTr="00551604">
        <w:trPr>
          <w:trHeight w:hRule="exact" w:val="284"/>
        </w:trPr>
        <w:tc>
          <w:tcPr>
            <w:tcW w:w="5419" w:type="dxa"/>
            <w:tcBorders>
              <w:top w:val="nil"/>
              <w:left w:val="nil"/>
              <w:bottom w:val="nil"/>
              <w:right w:val="nil"/>
            </w:tcBorders>
            <w:noWrap/>
            <w:vAlign w:val="center"/>
          </w:tcPr>
          <w:p w14:paraId="14F06405" w14:textId="77777777" w:rsidR="00DA6E0E" w:rsidRPr="00721663" w:rsidRDefault="00DA6E0E" w:rsidP="00DA6E0E">
            <w:pPr>
              <w:spacing w:line="240" w:lineRule="auto"/>
              <w:jc w:val="left"/>
              <w:rPr>
                <w:rFonts w:ascii="Arial" w:hAnsi="Arial" w:cs="Arial"/>
                <w:sz w:val="18"/>
                <w:szCs w:val="18"/>
                <w:lang w:val="bg-BG"/>
              </w:rPr>
            </w:pPr>
            <w:r w:rsidRPr="00721663">
              <w:rPr>
                <w:rFonts w:ascii="Arial" w:hAnsi="Arial" w:cs="Arial"/>
                <w:b/>
                <w:i/>
                <w:sz w:val="18"/>
                <w:szCs w:val="18"/>
                <w:lang w:val="bg-BG"/>
              </w:rPr>
              <w:t>Дължими лихви</w:t>
            </w:r>
          </w:p>
        </w:tc>
        <w:tc>
          <w:tcPr>
            <w:tcW w:w="1398" w:type="dxa"/>
            <w:tcBorders>
              <w:top w:val="nil"/>
              <w:left w:val="nil"/>
              <w:right w:val="nil"/>
            </w:tcBorders>
            <w:vAlign w:val="center"/>
          </w:tcPr>
          <w:p w14:paraId="6539DAB2" w14:textId="77777777" w:rsidR="00DA6E0E" w:rsidRPr="00721663" w:rsidRDefault="00DA6E0E" w:rsidP="00DA6E0E">
            <w:pPr>
              <w:spacing w:line="240" w:lineRule="auto"/>
              <w:jc w:val="right"/>
              <w:rPr>
                <w:rFonts w:ascii="Arial" w:hAnsi="Arial" w:cs="Arial"/>
                <w:sz w:val="18"/>
                <w:szCs w:val="18"/>
                <w:lang w:val="bg-BG"/>
              </w:rPr>
            </w:pPr>
          </w:p>
        </w:tc>
        <w:tc>
          <w:tcPr>
            <w:tcW w:w="284" w:type="dxa"/>
            <w:tcBorders>
              <w:top w:val="nil"/>
              <w:left w:val="nil"/>
              <w:right w:val="nil"/>
            </w:tcBorders>
            <w:vAlign w:val="center"/>
          </w:tcPr>
          <w:p w14:paraId="7787D86B" w14:textId="77777777" w:rsidR="00DA6E0E" w:rsidRPr="00721663" w:rsidRDefault="00DA6E0E" w:rsidP="00DA6E0E">
            <w:pPr>
              <w:spacing w:line="240" w:lineRule="auto"/>
              <w:jc w:val="right"/>
              <w:rPr>
                <w:rFonts w:ascii="Arial" w:hAnsi="Arial" w:cs="Arial"/>
                <w:sz w:val="18"/>
                <w:szCs w:val="18"/>
                <w:lang w:val="bg-BG"/>
              </w:rPr>
            </w:pPr>
          </w:p>
        </w:tc>
        <w:tc>
          <w:tcPr>
            <w:tcW w:w="1701" w:type="dxa"/>
            <w:tcBorders>
              <w:top w:val="nil"/>
              <w:left w:val="nil"/>
              <w:right w:val="nil"/>
            </w:tcBorders>
            <w:vAlign w:val="center"/>
          </w:tcPr>
          <w:p w14:paraId="31868772" w14:textId="77777777" w:rsidR="00DA6E0E" w:rsidRPr="00721663" w:rsidRDefault="00DA6E0E" w:rsidP="00DA6E0E">
            <w:pPr>
              <w:spacing w:line="240" w:lineRule="auto"/>
              <w:jc w:val="right"/>
              <w:rPr>
                <w:rFonts w:ascii="Arial" w:hAnsi="Arial" w:cs="Arial"/>
                <w:sz w:val="18"/>
                <w:szCs w:val="18"/>
                <w:lang w:val="bg-BG"/>
              </w:rPr>
            </w:pPr>
          </w:p>
        </w:tc>
      </w:tr>
      <w:tr w:rsidR="00DA6E0E" w:rsidRPr="00721663" w14:paraId="5B97E03B" w14:textId="77777777" w:rsidTr="00551604">
        <w:trPr>
          <w:trHeight w:hRule="exact" w:val="284"/>
        </w:trPr>
        <w:tc>
          <w:tcPr>
            <w:tcW w:w="5419" w:type="dxa"/>
            <w:tcBorders>
              <w:top w:val="nil"/>
              <w:left w:val="nil"/>
              <w:bottom w:val="nil"/>
              <w:right w:val="nil"/>
            </w:tcBorders>
            <w:noWrap/>
            <w:vAlign w:val="center"/>
          </w:tcPr>
          <w:p w14:paraId="4F49147F" w14:textId="77777777" w:rsidR="00DA6E0E" w:rsidRPr="00721663" w:rsidRDefault="00DA6E0E" w:rsidP="00DA6E0E">
            <w:pPr>
              <w:spacing w:line="240" w:lineRule="auto"/>
              <w:jc w:val="left"/>
              <w:rPr>
                <w:rFonts w:ascii="Arial" w:hAnsi="Arial" w:cs="Arial"/>
                <w:sz w:val="18"/>
                <w:szCs w:val="18"/>
                <w:lang w:val="bg-BG"/>
              </w:rPr>
            </w:pPr>
            <w:r w:rsidRPr="00721663">
              <w:rPr>
                <w:rFonts w:ascii="Arial" w:hAnsi="Arial" w:cs="Arial"/>
                <w:sz w:val="18"/>
                <w:szCs w:val="18"/>
                <w:lang w:val="bg-BG"/>
              </w:rPr>
              <w:t>Начално салдо</w:t>
            </w:r>
          </w:p>
        </w:tc>
        <w:tc>
          <w:tcPr>
            <w:tcW w:w="1398" w:type="dxa"/>
            <w:tcBorders>
              <w:top w:val="nil"/>
              <w:left w:val="nil"/>
              <w:right w:val="nil"/>
            </w:tcBorders>
            <w:vAlign w:val="center"/>
          </w:tcPr>
          <w:p w14:paraId="41A43A35" w14:textId="43C501D0" w:rsidR="00DA6E0E" w:rsidRPr="00721663" w:rsidRDefault="00DA6E0E" w:rsidP="00DA6E0E">
            <w:pPr>
              <w:spacing w:line="240" w:lineRule="auto"/>
              <w:jc w:val="right"/>
              <w:rPr>
                <w:rFonts w:ascii="Arial" w:hAnsi="Arial" w:cs="Arial"/>
                <w:sz w:val="18"/>
                <w:szCs w:val="18"/>
                <w:lang w:val="bg-BG"/>
              </w:rPr>
            </w:pPr>
            <w:r>
              <w:rPr>
                <w:rFonts w:ascii="Arial" w:hAnsi="Arial" w:cs="Arial"/>
                <w:sz w:val="18"/>
                <w:szCs w:val="18"/>
                <w:lang w:val="en-GB" w:eastAsia="bg-BG"/>
              </w:rPr>
              <w:t>716</w:t>
            </w:r>
          </w:p>
        </w:tc>
        <w:tc>
          <w:tcPr>
            <w:tcW w:w="284" w:type="dxa"/>
            <w:tcBorders>
              <w:top w:val="nil"/>
              <w:left w:val="nil"/>
              <w:right w:val="nil"/>
            </w:tcBorders>
            <w:vAlign w:val="center"/>
          </w:tcPr>
          <w:p w14:paraId="5459D693" w14:textId="77777777" w:rsidR="00DA6E0E" w:rsidRPr="00721663" w:rsidRDefault="00DA6E0E" w:rsidP="00DA6E0E">
            <w:pPr>
              <w:spacing w:line="240" w:lineRule="auto"/>
              <w:jc w:val="right"/>
              <w:rPr>
                <w:rFonts w:ascii="Arial" w:hAnsi="Arial" w:cs="Arial"/>
                <w:sz w:val="18"/>
                <w:szCs w:val="18"/>
                <w:lang w:val="bg-BG"/>
              </w:rPr>
            </w:pPr>
          </w:p>
        </w:tc>
        <w:tc>
          <w:tcPr>
            <w:tcW w:w="1701" w:type="dxa"/>
            <w:tcBorders>
              <w:top w:val="nil"/>
              <w:left w:val="nil"/>
              <w:right w:val="nil"/>
            </w:tcBorders>
            <w:vAlign w:val="center"/>
          </w:tcPr>
          <w:p w14:paraId="15899EA5" w14:textId="68EF7ED7" w:rsidR="00DA6E0E" w:rsidRPr="00721663" w:rsidRDefault="00DA6E0E" w:rsidP="00DA6E0E">
            <w:pPr>
              <w:spacing w:line="240" w:lineRule="auto"/>
              <w:jc w:val="right"/>
              <w:rPr>
                <w:rFonts w:ascii="Arial" w:hAnsi="Arial" w:cs="Arial"/>
                <w:sz w:val="18"/>
                <w:szCs w:val="18"/>
                <w:lang w:val="bg-BG"/>
              </w:rPr>
            </w:pPr>
            <w:r>
              <w:rPr>
                <w:rFonts w:ascii="Arial" w:hAnsi="Arial" w:cs="Arial"/>
                <w:sz w:val="18"/>
                <w:szCs w:val="18"/>
                <w:lang w:val="en-GB" w:eastAsia="bg-BG"/>
              </w:rPr>
              <w:t>564</w:t>
            </w:r>
          </w:p>
        </w:tc>
      </w:tr>
      <w:tr w:rsidR="00DA6E0E" w:rsidRPr="00721663" w14:paraId="6235F410" w14:textId="77777777" w:rsidTr="00551604">
        <w:trPr>
          <w:trHeight w:hRule="exact" w:val="284"/>
        </w:trPr>
        <w:tc>
          <w:tcPr>
            <w:tcW w:w="5419" w:type="dxa"/>
            <w:tcBorders>
              <w:top w:val="nil"/>
              <w:left w:val="nil"/>
              <w:bottom w:val="nil"/>
              <w:right w:val="nil"/>
            </w:tcBorders>
            <w:noWrap/>
            <w:vAlign w:val="center"/>
          </w:tcPr>
          <w:p w14:paraId="6C820B6D" w14:textId="77777777" w:rsidR="00DA6E0E" w:rsidRPr="00721663" w:rsidRDefault="00DA6E0E" w:rsidP="00DA6E0E">
            <w:pPr>
              <w:spacing w:line="240" w:lineRule="auto"/>
              <w:jc w:val="left"/>
              <w:rPr>
                <w:rFonts w:ascii="Arial" w:hAnsi="Arial" w:cs="Arial"/>
                <w:sz w:val="18"/>
                <w:szCs w:val="18"/>
                <w:lang w:val="bg-BG"/>
              </w:rPr>
            </w:pPr>
            <w:r w:rsidRPr="00721663">
              <w:rPr>
                <w:rFonts w:ascii="Arial" w:hAnsi="Arial" w:cs="Arial"/>
                <w:sz w:val="18"/>
                <w:szCs w:val="18"/>
                <w:lang w:val="bg-BG"/>
              </w:rPr>
              <w:t xml:space="preserve">Начислени лихви </w:t>
            </w:r>
          </w:p>
        </w:tc>
        <w:tc>
          <w:tcPr>
            <w:tcW w:w="1398" w:type="dxa"/>
            <w:tcBorders>
              <w:top w:val="nil"/>
              <w:left w:val="nil"/>
              <w:right w:val="nil"/>
            </w:tcBorders>
            <w:vAlign w:val="center"/>
          </w:tcPr>
          <w:p w14:paraId="53FD4630" w14:textId="61C1699A" w:rsidR="00DA6E0E" w:rsidRPr="00721663" w:rsidRDefault="00DA6E0E" w:rsidP="00DA6E0E">
            <w:pPr>
              <w:spacing w:line="240" w:lineRule="auto"/>
              <w:jc w:val="right"/>
              <w:rPr>
                <w:rFonts w:ascii="Arial" w:hAnsi="Arial" w:cs="Arial"/>
                <w:sz w:val="18"/>
                <w:szCs w:val="18"/>
                <w:lang w:val="bg-BG"/>
              </w:rPr>
            </w:pPr>
            <w:r>
              <w:rPr>
                <w:rFonts w:ascii="Arial" w:hAnsi="Arial" w:cs="Arial"/>
                <w:sz w:val="18"/>
                <w:szCs w:val="18"/>
                <w:lang w:val="en-GB" w:eastAsia="bg-BG"/>
              </w:rPr>
              <w:t>76</w:t>
            </w:r>
          </w:p>
        </w:tc>
        <w:tc>
          <w:tcPr>
            <w:tcW w:w="284" w:type="dxa"/>
            <w:tcBorders>
              <w:top w:val="nil"/>
              <w:left w:val="nil"/>
              <w:right w:val="nil"/>
            </w:tcBorders>
            <w:vAlign w:val="center"/>
          </w:tcPr>
          <w:p w14:paraId="367A875D" w14:textId="77777777" w:rsidR="00DA6E0E" w:rsidRPr="00721663" w:rsidRDefault="00DA6E0E" w:rsidP="00DA6E0E">
            <w:pPr>
              <w:spacing w:line="240" w:lineRule="auto"/>
              <w:jc w:val="right"/>
              <w:rPr>
                <w:rFonts w:ascii="Arial" w:hAnsi="Arial" w:cs="Arial"/>
                <w:sz w:val="18"/>
                <w:szCs w:val="18"/>
                <w:lang w:val="bg-BG"/>
              </w:rPr>
            </w:pPr>
          </w:p>
        </w:tc>
        <w:tc>
          <w:tcPr>
            <w:tcW w:w="1701" w:type="dxa"/>
            <w:tcBorders>
              <w:top w:val="nil"/>
              <w:left w:val="nil"/>
              <w:right w:val="nil"/>
            </w:tcBorders>
            <w:vAlign w:val="center"/>
          </w:tcPr>
          <w:p w14:paraId="15A7D228" w14:textId="2FDA6E47" w:rsidR="00DA6E0E" w:rsidRPr="00721663" w:rsidRDefault="00DA6E0E" w:rsidP="00DA6E0E">
            <w:pPr>
              <w:spacing w:line="240" w:lineRule="auto"/>
              <w:jc w:val="right"/>
              <w:rPr>
                <w:rFonts w:ascii="Arial" w:hAnsi="Arial" w:cs="Arial"/>
                <w:sz w:val="18"/>
                <w:szCs w:val="18"/>
                <w:lang w:val="bg-BG"/>
              </w:rPr>
            </w:pPr>
            <w:r>
              <w:rPr>
                <w:rFonts w:ascii="Arial" w:hAnsi="Arial" w:cs="Arial"/>
                <w:sz w:val="18"/>
                <w:szCs w:val="18"/>
                <w:lang w:val="en-GB" w:eastAsia="bg-BG"/>
              </w:rPr>
              <w:t>152</w:t>
            </w:r>
          </w:p>
        </w:tc>
      </w:tr>
      <w:tr w:rsidR="00DA6E0E" w:rsidRPr="00721663" w14:paraId="3F6C06C6" w14:textId="77777777" w:rsidTr="00551604">
        <w:trPr>
          <w:trHeight w:hRule="exact" w:val="284"/>
        </w:trPr>
        <w:tc>
          <w:tcPr>
            <w:tcW w:w="5419" w:type="dxa"/>
            <w:tcBorders>
              <w:top w:val="nil"/>
              <w:left w:val="nil"/>
              <w:bottom w:val="nil"/>
              <w:right w:val="nil"/>
            </w:tcBorders>
            <w:noWrap/>
            <w:vAlign w:val="center"/>
          </w:tcPr>
          <w:p w14:paraId="4AE0F81B" w14:textId="77777777" w:rsidR="00DA6E0E" w:rsidRPr="00721663" w:rsidRDefault="00DA6E0E" w:rsidP="00DA6E0E">
            <w:pPr>
              <w:spacing w:line="240" w:lineRule="auto"/>
              <w:jc w:val="left"/>
              <w:rPr>
                <w:rFonts w:ascii="Arial" w:hAnsi="Arial" w:cs="Arial"/>
                <w:b/>
                <w:bCs/>
                <w:sz w:val="18"/>
                <w:szCs w:val="18"/>
                <w:lang w:val="bg-BG"/>
              </w:rPr>
            </w:pPr>
          </w:p>
        </w:tc>
        <w:tc>
          <w:tcPr>
            <w:tcW w:w="1398" w:type="dxa"/>
            <w:tcBorders>
              <w:top w:val="single" w:sz="4" w:space="0" w:color="auto"/>
              <w:left w:val="nil"/>
              <w:bottom w:val="single" w:sz="4" w:space="0" w:color="auto"/>
              <w:right w:val="nil"/>
            </w:tcBorders>
            <w:vAlign w:val="center"/>
          </w:tcPr>
          <w:p w14:paraId="339B0C09" w14:textId="5514B4FE" w:rsidR="00DA6E0E" w:rsidRPr="00721663" w:rsidRDefault="00DA6E0E" w:rsidP="00DA6E0E">
            <w:pPr>
              <w:spacing w:line="240" w:lineRule="auto"/>
              <w:jc w:val="right"/>
              <w:rPr>
                <w:rFonts w:ascii="Arial" w:hAnsi="Arial" w:cs="Arial"/>
                <w:b/>
                <w:bCs/>
                <w:sz w:val="18"/>
                <w:szCs w:val="18"/>
                <w:lang w:val="bg-BG"/>
              </w:rPr>
            </w:pPr>
            <w:r>
              <w:rPr>
                <w:rFonts w:ascii="Arial" w:hAnsi="Arial" w:cs="Arial"/>
                <w:b/>
                <w:bCs/>
                <w:sz w:val="18"/>
                <w:szCs w:val="18"/>
                <w:lang w:val="en-GB" w:eastAsia="bg-BG"/>
              </w:rPr>
              <w:t>792</w:t>
            </w:r>
          </w:p>
        </w:tc>
        <w:tc>
          <w:tcPr>
            <w:tcW w:w="284" w:type="dxa"/>
            <w:tcBorders>
              <w:left w:val="nil"/>
              <w:right w:val="nil"/>
            </w:tcBorders>
            <w:vAlign w:val="center"/>
          </w:tcPr>
          <w:p w14:paraId="5E298225" w14:textId="77777777" w:rsidR="00DA6E0E" w:rsidRPr="00721663" w:rsidRDefault="00DA6E0E" w:rsidP="00DA6E0E">
            <w:pPr>
              <w:spacing w:line="240" w:lineRule="auto"/>
              <w:jc w:val="right"/>
              <w:rPr>
                <w:rFonts w:ascii="Arial" w:hAnsi="Arial" w:cs="Arial"/>
                <w:b/>
                <w:bCs/>
                <w:sz w:val="18"/>
                <w:szCs w:val="18"/>
                <w:lang w:val="bg-BG"/>
              </w:rPr>
            </w:pPr>
          </w:p>
        </w:tc>
        <w:tc>
          <w:tcPr>
            <w:tcW w:w="1701" w:type="dxa"/>
            <w:tcBorders>
              <w:top w:val="single" w:sz="4" w:space="0" w:color="auto"/>
              <w:left w:val="nil"/>
              <w:bottom w:val="single" w:sz="4" w:space="0" w:color="auto"/>
              <w:right w:val="nil"/>
            </w:tcBorders>
            <w:vAlign w:val="center"/>
          </w:tcPr>
          <w:p w14:paraId="7972AD37" w14:textId="6C690C1A" w:rsidR="00DA6E0E" w:rsidRPr="00721663" w:rsidRDefault="00DA6E0E" w:rsidP="00DA6E0E">
            <w:pPr>
              <w:spacing w:line="240" w:lineRule="auto"/>
              <w:jc w:val="right"/>
              <w:rPr>
                <w:rFonts w:ascii="Arial" w:hAnsi="Arial" w:cs="Arial"/>
                <w:b/>
                <w:bCs/>
                <w:sz w:val="18"/>
                <w:szCs w:val="18"/>
                <w:lang w:val="bg-BG"/>
              </w:rPr>
            </w:pPr>
            <w:r>
              <w:rPr>
                <w:rFonts w:ascii="Arial" w:hAnsi="Arial" w:cs="Arial"/>
                <w:b/>
                <w:bCs/>
                <w:sz w:val="18"/>
                <w:szCs w:val="18"/>
                <w:lang w:val="en-GB" w:eastAsia="bg-BG"/>
              </w:rPr>
              <w:t>716</w:t>
            </w:r>
          </w:p>
        </w:tc>
      </w:tr>
      <w:tr w:rsidR="00DA6E0E" w:rsidRPr="00721663" w14:paraId="36EAB302" w14:textId="77777777" w:rsidTr="00551604">
        <w:trPr>
          <w:trHeight w:hRule="exact" w:val="284"/>
        </w:trPr>
        <w:tc>
          <w:tcPr>
            <w:tcW w:w="5419" w:type="dxa"/>
            <w:tcBorders>
              <w:top w:val="nil"/>
              <w:left w:val="nil"/>
              <w:bottom w:val="nil"/>
              <w:right w:val="nil"/>
            </w:tcBorders>
            <w:noWrap/>
            <w:vAlign w:val="center"/>
          </w:tcPr>
          <w:p w14:paraId="2E4CB412" w14:textId="77777777" w:rsidR="00DA6E0E" w:rsidRPr="00721663" w:rsidRDefault="00DA6E0E" w:rsidP="00DA6E0E">
            <w:pPr>
              <w:spacing w:line="240" w:lineRule="auto"/>
              <w:jc w:val="left"/>
              <w:rPr>
                <w:rFonts w:ascii="Arial" w:hAnsi="Arial" w:cs="Arial"/>
                <w:b/>
                <w:bCs/>
                <w:sz w:val="18"/>
                <w:szCs w:val="18"/>
                <w:lang w:val="bg-BG"/>
              </w:rPr>
            </w:pPr>
            <w:r w:rsidRPr="00721663">
              <w:rPr>
                <w:rFonts w:ascii="Arial" w:hAnsi="Arial" w:cs="Arial"/>
                <w:b/>
                <w:bCs/>
                <w:sz w:val="18"/>
                <w:szCs w:val="18"/>
                <w:lang w:val="bg-BG"/>
              </w:rPr>
              <w:t>Общо заеми и привлечени средства</w:t>
            </w:r>
          </w:p>
        </w:tc>
        <w:tc>
          <w:tcPr>
            <w:tcW w:w="1398" w:type="dxa"/>
            <w:tcBorders>
              <w:top w:val="single" w:sz="4" w:space="0" w:color="auto"/>
              <w:left w:val="nil"/>
              <w:bottom w:val="double" w:sz="4" w:space="0" w:color="auto"/>
              <w:right w:val="nil"/>
            </w:tcBorders>
            <w:vAlign w:val="center"/>
          </w:tcPr>
          <w:p w14:paraId="4FA4DDB8" w14:textId="11DF9797" w:rsidR="00DA6E0E" w:rsidRPr="00721663" w:rsidRDefault="00DA6E0E" w:rsidP="00DA6E0E">
            <w:pPr>
              <w:spacing w:line="240" w:lineRule="auto"/>
              <w:jc w:val="right"/>
              <w:rPr>
                <w:rFonts w:ascii="Arial" w:hAnsi="Arial" w:cs="Arial"/>
                <w:b/>
                <w:bCs/>
                <w:sz w:val="18"/>
                <w:szCs w:val="18"/>
                <w:lang w:val="bg-BG"/>
              </w:rPr>
            </w:pPr>
            <w:r>
              <w:rPr>
                <w:rFonts w:ascii="Arial" w:hAnsi="Arial" w:cs="Arial"/>
                <w:b/>
                <w:bCs/>
                <w:sz w:val="18"/>
                <w:szCs w:val="18"/>
                <w:lang w:val="en-GB" w:eastAsia="bg-BG"/>
              </w:rPr>
              <w:t>4,938</w:t>
            </w:r>
          </w:p>
        </w:tc>
        <w:tc>
          <w:tcPr>
            <w:tcW w:w="284" w:type="dxa"/>
            <w:tcBorders>
              <w:left w:val="nil"/>
              <w:right w:val="nil"/>
            </w:tcBorders>
            <w:vAlign w:val="center"/>
          </w:tcPr>
          <w:p w14:paraId="02DACB1E" w14:textId="77777777" w:rsidR="00DA6E0E" w:rsidRPr="00721663" w:rsidRDefault="00DA6E0E" w:rsidP="00DA6E0E">
            <w:pPr>
              <w:spacing w:line="240" w:lineRule="auto"/>
              <w:jc w:val="right"/>
              <w:rPr>
                <w:rFonts w:ascii="Arial" w:hAnsi="Arial" w:cs="Arial"/>
                <w:b/>
                <w:bCs/>
                <w:sz w:val="18"/>
                <w:szCs w:val="18"/>
                <w:lang w:val="bg-BG"/>
              </w:rPr>
            </w:pPr>
          </w:p>
        </w:tc>
        <w:tc>
          <w:tcPr>
            <w:tcW w:w="1701" w:type="dxa"/>
            <w:tcBorders>
              <w:top w:val="single" w:sz="4" w:space="0" w:color="auto"/>
              <w:left w:val="nil"/>
              <w:bottom w:val="double" w:sz="4" w:space="0" w:color="auto"/>
              <w:right w:val="nil"/>
            </w:tcBorders>
            <w:vAlign w:val="center"/>
          </w:tcPr>
          <w:p w14:paraId="1EAEE743" w14:textId="7AEDF059" w:rsidR="00DA6E0E" w:rsidRPr="00721663" w:rsidRDefault="00DA6E0E" w:rsidP="00DA6E0E">
            <w:pPr>
              <w:spacing w:line="240" w:lineRule="auto"/>
              <w:jc w:val="right"/>
              <w:rPr>
                <w:rFonts w:ascii="Arial" w:hAnsi="Arial" w:cs="Arial"/>
                <w:b/>
                <w:bCs/>
                <w:sz w:val="18"/>
                <w:szCs w:val="18"/>
                <w:lang w:val="bg-BG"/>
              </w:rPr>
            </w:pPr>
            <w:r>
              <w:rPr>
                <w:rFonts w:ascii="Arial" w:hAnsi="Arial" w:cs="Arial"/>
                <w:b/>
                <w:bCs/>
                <w:sz w:val="18"/>
                <w:szCs w:val="18"/>
                <w:lang w:val="en-GB" w:eastAsia="bg-BG"/>
              </w:rPr>
              <w:t>4,862</w:t>
            </w:r>
          </w:p>
        </w:tc>
      </w:tr>
    </w:tbl>
    <w:p w14:paraId="64E23103" w14:textId="77777777" w:rsidR="00E07C4E" w:rsidRPr="00721663" w:rsidRDefault="00E07C4E" w:rsidP="00E07C4E">
      <w:pPr>
        <w:tabs>
          <w:tab w:val="left" w:pos="8364"/>
        </w:tabs>
        <w:spacing w:line="240" w:lineRule="auto"/>
        <w:jc w:val="left"/>
        <w:rPr>
          <w:rFonts w:ascii="Arial" w:hAnsi="Arial" w:cs="Arial"/>
          <w:sz w:val="18"/>
          <w:szCs w:val="18"/>
          <w:lang w:val="bg-BG"/>
        </w:rPr>
      </w:pPr>
    </w:p>
    <w:p w14:paraId="3C95903B" w14:textId="152A7B13" w:rsidR="00E07C4E" w:rsidRPr="00721663" w:rsidRDefault="00E07C4E" w:rsidP="00E07C4E">
      <w:pPr>
        <w:spacing w:line="240" w:lineRule="auto"/>
        <w:jc w:val="left"/>
        <w:rPr>
          <w:rFonts w:ascii="Arial" w:hAnsi="Arial" w:cs="Arial"/>
          <w:b/>
          <w:sz w:val="18"/>
          <w:szCs w:val="18"/>
          <w:lang w:val="bg-BG"/>
        </w:rPr>
      </w:pPr>
    </w:p>
    <w:p w14:paraId="3C9A33C5" w14:textId="77777777" w:rsidR="00DA6E0E" w:rsidRDefault="00DA6E0E">
      <w:pPr>
        <w:spacing w:line="240" w:lineRule="auto"/>
        <w:jc w:val="left"/>
        <w:rPr>
          <w:rFonts w:ascii="Arial" w:hAnsi="Arial" w:cs="Arial"/>
          <w:b/>
          <w:sz w:val="18"/>
          <w:szCs w:val="18"/>
          <w:lang w:val="bg-BG"/>
        </w:rPr>
      </w:pPr>
      <w:r>
        <w:rPr>
          <w:rFonts w:ascii="Arial" w:hAnsi="Arial" w:cs="Arial"/>
          <w:b/>
          <w:sz w:val="18"/>
          <w:szCs w:val="18"/>
          <w:lang w:val="bg-BG"/>
        </w:rPr>
        <w:br w:type="page"/>
      </w:r>
    </w:p>
    <w:p w14:paraId="2518DF8F" w14:textId="77777777" w:rsidR="00DA6E0E" w:rsidRDefault="00DA6E0E" w:rsidP="00DA6E0E">
      <w:pPr>
        <w:spacing w:line="240" w:lineRule="auto"/>
        <w:jc w:val="left"/>
        <w:rPr>
          <w:rFonts w:ascii="Arial" w:hAnsi="Arial" w:cs="Arial"/>
          <w:b/>
          <w:bCs/>
          <w:iCs/>
          <w:sz w:val="18"/>
          <w:szCs w:val="18"/>
          <w:lang w:val="bg-BG"/>
        </w:rPr>
      </w:pPr>
    </w:p>
    <w:p w14:paraId="46452F11" w14:textId="77777777" w:rsidR="00DA6E0E" w:rsidRPr="00721663" w:rsidRDefault="00DA6E0E" w:rsidP="00DA6E0E">
      <w:pPr>
        <w:spacing w:after="120"/>
        <w:rPr>
          <w:rFonts w:ascii="Arial" w:hAnsi="Arial" w:cs="Arial"/>
          <w:b/>
          <w:lang w:val="bg-BG"/>
        </w:rPr>
      </w:pPr>
      <w:r w:rsidRPr="00721663">
        <w:rPr>
          <w:rFonts w:ascii="Arial" w:hAnsi="Arial" w:cs="Arial"/>
          <w:b/>
          <w:lang w:val="bg-BG"/>
        </w:rPr>
        <w:t xml:space="preserve">9. Задължения по получени заеми </w:t>
      </w:r>
      <w:r w:rsidRPr="00721663">
        <w:rPr>
          <w:rFonts w:ascii="Arial" w:hAnsi="Arial" w:cs="Arial"/>
          <w:b/>
          <w:i/>
          <w:lang w:val="bg-BG"/>
        </w:rPr>
        <w:t>(продължение)</w:t>
      </w:r>
    </w:p>
    <w:p w14:paraId="16C8EE6F" w14:textId="0C9B4B08" w:rsidR="00E07C4E" w:rsidRPr="00721663" w:rsidRDefault="00E07C4E" w:rsidP="00E07C4E">
      <w:pPr>
        <w:tabs>
          <w:tab w:val="left" w:pos="8364"/>
        </w:tabs>
        <w:spacing w:after="120"/>
        <w:jc w:val="left"/>
        <w:rPr>
          <w:rFonts w:ascii="Arial" w:hAnsi="Arial" w:cs="Arial"/>
          <w:b/>
          <w:sz w:val="18"/>
          <w:szCs w:val="18"/>
          <w:lang w:val="bg-BG"/>
        </w:rPr>
      </w:pPr>
      <w:r w:rsidRPr="00721663">
        <w:rPr>
          <w:rFonts w:ascii="Arial" w:hAnsi="Arial" w:cs="Arial"/>
          <w:b/>
          <w:sz w:val="18"/>
          <w:szCs w:val="18"/>
          <w:lang w:val="bg-BG"/>
        </w:rPr>
        <w:t xml:space="preserve">Задължения по получени заеми от банки </w:t>
      </w:r>
    </w:p>
    <w:p w14:paraId="356FC8CE" w14:textId="77777777" w:rsidR="00E07C4E" w:rsidRPr="00721663" w:rsidRDefault="00E07C4E" w:rsidP="00E07C4E">
      <w:pPr>
        <w:tabs>
          <w:tab w:val="left" w:pos="8364"/>
        </w:tabs>
        <w:spacing w:after="120"/>
        <w:jc w:val="left"/>
        <w:rPr>
          <w:rFonts w:ascii="Arial" w:hAnsi="Arial" w:cs="Arial"/>
          <w:sz w:val="18"/>
          <w:szCs w:val="18"/>
          <w:lang w:val="bg-BG"/>
        </w:rPr>
      </w:pPr>
      <w:r w:rsidRPr="00721663">
        <w:rPr>
          <w:rFonts w:ascii="Arial" w:hAnsi="Arial" w:cs="Arial"/>
          <w:b/>
          <w:sz w:val="18"/>
          <w:szCs w:val="18"/>
          <w:lang w:val="bg-BG"/>
        </w:rPr>
        <w:t>Заем, получен от Демир Халк Банк (Холандия) Н.В.</w:t>
      </w:r>
    </w:p>
    <w:p w14:paraId="1C774E52" w14:textId="0E50725A" w:rsidR="00E07C4E" w:rsidRPr="00721663" w:rsidRDefault="00E07C4E" w:rsidP="00E07C4E">
      <w:pPr>
        <w:tabs>
          <w:tab w:val="left" w:pos="8364"/>
        </w:tabs>
        <w:spacing w:after="120"/>
        <w:jc w:val="left"/>
        <w:rPr>
          <w:rFonts w:ascii="Arial" w:hAnsi="Arial" w:cs="Arial"/>
          <w:sz w:val="18"/>
          <w:szCs w:val="18"/>
          <w:lang w:val="bg-BG"/>
        </w:rPr>
      </w:pPr>
      <w:r w:rsidRPr="00721663">
        <w:rPr>
          <w:rFonts w:ascii="Arial" w:hAnsi="Arial" w:cs="Arial"/>
          <w:sz w:val="18"/>
          <w:szCs w:val="18"/>
          <w:lang w:val="bg-BG"/>
        </w:rPr>
        <w:t xml:space="preserve">Групата е рефинансирала заема, предоставен от </w:t>
      </w:r>
      <w:r w:rsidRPr="00721663">
        <w:rPr>
          <w:rFonts w:ascii="Arial" w:hAnsi="Arial" w:cs="Arial"/>
          <w:sz w:val="18"/>
          <w:szCs w:val="18"/>
          <w:lang w:val="bg-BG" w:eastAsia="bg-BG"/>
        </w:rPr>
        <w:t>Банк Позитив Креди ве Калкънма Банкасъ А.С., в Демир Хал</w:t>
      </w:r>
      <w:r>
        <w:rPr>
          <w:rFonts w:ascii="Arial" w:hAnsi="Arial" w:cs="Arial"/>
          <w:sz w:val="18"/>
          <w:szCs w:val="18"/>
          <w:lang w:val="bg-BG" w:eastAsia="bg-BG"/>
        </w:rPr>
        <w:t>к</w:t>
      </w:r>
      <w:r w:rsidRPr="00721663">
        <w:rPr>
          <w:rFonts w:ascii="Arial" w:hAnsi="Arial" w:cs="Arial"/>
          <w:sz w:val="18"/>
          <w:szCs w:val="18"/>
          <w:lang w:val="bg-BG" w:eastAsia="bg-BG"/>
        </w:rPr>
        <w:t xml:space="preserve"> Банк (Холандия) Н.В. през месец юни 2014 г., </w:t>
      </w:r>
      <w:r w:rsidRPr="006F0D5E">
        <w:rPr>
          <w:rFonts w:ascii="Arial" w:hAnsi="Arial" w:cs="Arial"/>
          <w:sz w:val="18"/>
          <w:szCs w:val="18"/>
          <w:lang w:val="bg-BG" w:eastAsia="bg-BG"/>
        </w:rPr>
        <w:t>като заемът към Банк Позитиф е изплатен на 9 юли 2014 г</w:t>
      </w:r>
      <w:r w:rsidRPr="00721663">
        <w:rPr>
          <w:rFonts w:ascii="Arial" w:hAnsi="Arial" w:cs="Arial"/>
          <w:sz w:val="18"/>
          <w:szCs w:val="18"/>
          <w:lang w:val="bg-BG" w:eastAsia="bg-BG"/>
        </w:rPr>
        <w:t>.</w:t>
      </w:r>
      <w:r w:rsidRPr="00721663">
        <w:rPr>
          <w:rFonts w:ascii="Arial" w:hAnsi="Arial" w:cs="Arial"/>
          <w:sz w:val="18"/>
          <w:szCs w:val="18"/>
          <w:lang w:val="bg-BG"/>
        </w:rPr>
        <w:t xml:space="preserve"> </w:t>
      </w:r>
      <w:r w:rsidRPr="00721663">
        <w:rPr>
          <w:rFonts w:ascii="Arial" w:hAnsi="Arial" w:cs="Arial"/>
          <w:sz w:val="18"/>
          <w:szCs w:val="18"/>
          <w:lang w:val="bg-BG" w:eastAsia="bg-BG"/>
        </w:rPr>
        <w:t>Основните у</w:t>
      </w:r>
      <w:r w:rsidRPr="00721663">
        <w:rPr>
          <w:rFonts w:ascii="Arial" w:hAnsi="Arial" w:cs="Arial"/>
          <w:sz w:val="18"/>
          <w:szCs w:val="18"/>
          <w:lang w:val="bg-BG"/>
        </w:rPr>
        <w:t>словия по този договор са обобщени по-долу:</w:t>
      </w:r>
    </w:p>
    <w:p w14:paraId="28045E35" w14:textId="32CBAFC3" w:rsidR="00E07C4E" w:rsidRPr="00721663" w:rsidRDefault="00E07C4E" w:rsidP="00E07C4E">
      <w:pPr>
        <w:pStyle w:val="BodyText"/>
        <w:jc w:val="left"/>
        <w:rPr>
          <w:rFonts w:ascii="Arial" w:hAnsi="Arial" w:cs="Arial"/>
          <w:b/>
          <w:bCs/>
          <w:iCs/>
          <w:sz w:val="18"/>
          <w:szCs w:val="18"/>
          <w:lang w:val="bg-BG"/>
        </w:rPr>
      </w:pPr>
      <w:r w:rsidRPr="00721663">
        <w:rPr>
          <w:rFonts w:ascii="Arial" w:hAnsi="Arial" w:cs="Arial"/>
          <w:b/>
          <w:bCs/>
          <w:iCs/>
          <w:sz w:val="18"/>
          <w:szCs w:val="18"/>
          <w:lang w:val="bg-BG"/>
        </w:rPr>
        <w:t>Общ заем, Специални Условия на Договора за паричен заем от 2 юни 2014 г.:</w:t>
      </w:r>
    </w:p>
    <w:p w14:paraId="4A9ED67E" w14:textId="77777777" w:rsidR="00E07C4E" w:rsidRPr="00721663" w:rsidRDefault="00E07C4E" w:rsidP="00E07C4E">
      <w:pPr>
        <w:pStyle w:val="BodyText"/>
        <w:jc w:val="left"/>
        <w:rPr>
          <w:rFonts w:ascii="Arial" w:hAnsi="Arial" w:cs="Arial"/>
          <w:bCs/>
          <w:iCs/>
          <w:sz w:val="18"/>
          <w:szCs w:val="18"/>
          <w:lang w:val="bg-BG"/>
        </w:rPr>
      </w:pPr>
      <w:r w:rsidRPr="00721663">
        <w:rPr>
          <w:rFonts w:ascii="Arial" w:hAnsi="Arial" w:cs="Arial"/>
          <w:bCs/>
          <w:iCs/>
          <w:sz w:val="18"/>
          <w:szCs w:val="18"/>
          <w:lang w:val="bg-BG"/>
        </w:rPr>
        <w:t>Общият лимит на заема е до 10.000 евро, като средствата са разпределени поравно между ВГЕ 1 ЕООД, Еко Ветро Енерджи ЕООД и Шабла Енерджи ЕООД. Всяко едно от трите дружества е кредитополучател, длъжник, съдлъжник и взаимен гарант по договора за кредит, като всеки един от кредитополучателите ще отговаря солидарно заедно с всички останали кредитополучатели за всички непогасени суми. Във всички случаи кредитополучател ще отговаря като съдлъжник и взаимен гарант на останалите кредитополучатели за суми до 11,000 хил.евро.</w:t>
      </w:r>
    </w:p>
    <w:p w14:paraId="4A97854D" w14:textId="77777777" w:rsidR="00E07C4E" w:rsidRPr="00721663" w:rsidRDefault="00E07C4E" w:rsidP="00462752">
      <w:pPr>
        <w:numPr>
          <w:ilvl w:val="0"/>
          <w:numId w:val="19"/>
        </w:numPr>
        <w:tabs>
          <w:tab w:val="left" w:pos="8364"/>
        </w:tabs>
        <w:jc w:val="left"/>
        <w:rPr>
          <w:rFonts w:ascii="Arial" w:hAnsi="Arial" w:cs="Arial"/>
          <w:bCs/>
          <w:color w:val="000000"/>
          <w:sz w:val="18"/>
          <w:szCs w:val="18"/>
          <w:lang w:val="bg-BG"/>
        </w:rPr>
      </w:pPr>
      <w:r w:rsidRPr="00721663">
        <w:rPr>
          <w:rFonts w:ascii="Arial" w:hAnsi="Arial" w:cs="Arial"/>
          <w:bCs/>
          <w:color w:val="000000"/>
          <w:sz w:val="18"/>
          <w:szCs w:val="18"/>
          <w:lang w:val="bg-BG"/>
        </w:rPr>
        <w:t>Първоначален размер на заема – 10,000 хил. евро</w:t>
      </w:r>
    </w:p>
    <w:p w14:paraId="31E1B989" w14:textId="77777777" w:rsidR="00E07C4E" w:rsidRPr="00721663" w:rsidRDefault="00E07C4E" w:rsidP="00462752">
      <w:pPr>
        <w:numPr>
          <w:ilvl w:val="0"/>
          <w:numId w:val="19"/>
        </w:numPr>
        <w:tabs>
          <w:tab w:val="left" w:pos="8364"/>
        </w:tabs>
        <w:jc w:val="left"/>
        <w:rPr>
          <w:rFonts w:ascii="Arial" w:hAnsi="Arial" w:cs="Arial"/>
          <w:color w:val="000000"/>
          <w:sz w:val="18"/>
          <w:szCs w:val="18"/>
          <w:lang w:val="bg-BG"/>
        </w:rPr>
      </w:pPr>
      <w:r w:rsidRPr="00721663">
        <w:rPr>
          <w:rFonts w:ascii="Arial" w:hAnsi="Arial" w:cs="Arial"/>
          <w:color w:val="000000"/>
          <w:sz w:val="18"/>
          <w:szCs w:val="18"/>
          <w:lang w:val="bg-BG"/>
        </w:rPr>
        <w:t>Цел – рефинансиране на заема от Банк Позитиф</w:t>
      </w:r>
    </w:p>
    <w:p w14:paraId="3B977916" w14:textId="77777777" w:rsidR="00E07C4E" w:rsidRPr="00721663" w:rsidRDefault="00E07C4E" w:rsidP="00462752">
      <w:pPr>
        <w:numPr>
          <w:ilvl w:val="0"/>
          <w:numId w:val="19"/>
        </w:numPr>
        <w:tabs>
          <w:tab w:val="left" w:pos="8364"/>
        </w:tabs>
        <w:jc w:val="left"/>
        <w:rPr>
          <w:rFonts w:ascii="Arial" w:hAnsi="Arial" w:cs="Arial"/>
          <w:bCs/>
          <w:sz w:val="18"/>
          <w:szCs w:val="18"/>
          <w:lang w:val="bg-BG"/>
        </w:rPr>
      </w:pPr>
      <w:r w:rsidRPr="00721663">
        <w:rPr>
          <w:rFonts w:ascii="Arial" w:hAnsi="Arial" w:cs="Arial"/>
          <w:color w:val="000000"/>
          <w:sz w:val="18"/>
          <w:szCs w:val="18"/>
          <w:lang w:val="bg-BG"/>
        </w:rPr>
        <w:t xml:space="preserve">Падеж – </w:t>
      </w:r>
      <w:r w:rsidRPr="00721663">
        <w:rPr>
          <w:rFonts w:ascii="Arial" w:hAnsi="Arial" w:cs="Arial"/>
          <w:bCs/>
          <w:color w:val="000000"/>
          <w:sz w:val="18"/>
          <w:szCs w:val="18"/>
          <w:lang w:val="bg-BG"/>
        </w:rPr>
        <w:t>1 юли  2024 г.</w:t>
      </w:r>
    </w:p>
    <w:p w14:paraId="3D0D234C" w14:textId="77777777" w:rsidR="00E07C4E" w:rsidRPr="00721663" w:rsidRDefault="00E07C4E" w:rsidP="00462752">
      <w:pPr>
        <w:numPr>
          <w:ilvl w:val="0"/>
          <w:numId w:val="19"/>
        </w:numPr>
        <w:tabs>
          <w:tab w:val="left" w:pos="8364"/>
        </w:tabs>
        <w:jc w:val="left"/>
        <w:rPr>
          <w:rFonts w:ascii="Arial" w:hAnsi="Arial" w:cs="Arial"/>
          <w:sz w:val="18"/>
          <w:szCs w:val="18"/>
          <w:lang w:val="bg-BG"/>
        </w:rPr>
      </w:pPr>
      <w:r w:rsidRPr="00721663">
        <w:rPr>
          <w:rFonts w:ascii="Arial" w:hAnsi="Arial" w:cs="Arial"/>
          <w:color w:val="000000"/>
          <w:sz w:val="18"/>
          <w:szCs w:val="18"/>
          <w:lang w:val="bg-BG"/>
        </w:rPr>
        <w:t>Договорена лихва – 5% годишно плюс тримесечния юрибор</w:t>
      </w:r>
      <w:r w:rsidRPr="00721663">
        <w:rPr>
          <w:rFonts w:ascii="Arial" w:hAnsi="Arial" w:cs="Arial"/>
          <w:bCs/>
          <w:color w:val="000000"/>
          <w:sz w:val="18"/>
          <w:szCs w:val="18"/>
          <w:lang w:val="bg-BG"/>
        </w:rPr>
        <w:t xml:space="preserve">; </w:t>
      </w:r>
    </w:p>
    <w:p w14:paraId="3C100070" w14:textId="77777777" w:rsidR="00E07C4E" w:rsidRPr="00721663" w:rsidRDefault="00E07C4E" w:rsidP="00462752">
      <w:pPr>
        <w:pStyle w:val="ListParagraph"/>
        <w:numPr>
          <w:ilvl w:val="0"/>
          <w:numId w:val="19"/>
        </w:numPr>
        <w:rPr>
          <w:rFonts w:ascii="Arial" w:hAnsi="Arial" w:cs="Arial"/>
          <w:color w:val="000000"/>
          <w:sz w:val="18"/>
          <w:szCs w:val="18"/>
          <w:lang w:val="bg-BG"/>
        </w:rPr>
      </w:pPr>
      <w:r w:rsidRPr="00721663">
        <w:rPr>
          <w:rFonts w:ascii="Arial" w:hAnsi="Arial" w:cs="Arial"/>
          <w:color w:val="000000"/>
          <w:sz w:val="18"/>
          <w:szCs w:val="18"/>
          <w:lang w:val="bg-BG"/>
        </w:rPr>
        <w:t>Гаранти – компанията майки – Юнит Инвестмънт Н.В., Холандия, която издава гаранция  в размер на 2,000 хил. евро</w:t>
      </w:r>
    </w:p>
    <w:p w14:paraId="4CED9CC2" w14:textId="77777777" w:rsidR="00E07C4E" w:rsidRPr="00721663" w:rsidRDefault="00E07C4E" w:rsidP="00E07C4E">
      <w:pPr>
        <w:spacing w:line="240" w:lineRule="auto"/>
        <w:jc w:val="left"/>
        <w:rPr>
          <w:rFonts w:ascii="Arial" w:hAnsi="Arial" w:cs="Arial"/>
          <w:b/>
          <w:lang w:val="bg-BG"/>
        </w:rPr>
      </w:pPr>
    </w:p>
    <w:p w14:paraId="52A390AC" w14:textId="77777777" w:rsidR="00E07C4E" w:rsidRPr="00721663" w:rsidRDefault="00E07C4E" w:rsidP="00E07C4E">
      <w:pPr>
        <w:tabs>
          <w:tab w:val="left" w:pos="8364"/>
        </w:tabs>
        <w:spacing w:after="120"/>
        <w:jc w:val="left"/>
        <w:rPr>
          <w:rFonts w:ascii="Arial" w:hAnsi="Arial" w:cs="Arial"/>
          <w:b/>
          <w:lang w:val="bg-BG"/>
        </w:rPr>
      </w:pPr>
    </w:p>
    <w:tbl>
      <w:tblPr>
        <w:tblW w:w="8789" w:type="dxa"/>
        <w:tblInd w:w="250" w:type="dxa"/>
        <w:tblLayout w:type="fixed"/>
        <w:tblLook w:val="0000" w:firstRow="0" w:lastRow="0" w:firstColumn="0" w:lastColumn="0" w:noHBand="0" w:noVBand="0"/>
      </w:tblPr>
      <w:tblGrid>
        <w:gridCol w:w="4536"/>
        <w:gridCol w:w="1985"/>
        <w:gridCol w:w="284"/>
        <w:gridCol w:w="1984"/>
      </w:tblGrid>
      <w:tr w:rsidR="00E07C4E" w:rsidRPr="00721663" w14:paraId="41FACB89" w14:textId="77777777" w:rsidTr="00551604">
        <w:trPr>
          <w:trHeight w:val="412"/>
        </w:trPr>
        <w:tc>
          <w:tcPr>
            <w:tcW w:w="4536" w:type="dxa"/>
            <w:tcBorders>
              <w:top w:val="nil"/>
              <w:left w:val="nil"/>
              <w:bottom w:val="nil"/>
              <w:right w:val="nil"/>
            </w:tcBorders>
            <w:noWrap/>
            <w:vAlign w:val="bottom"/>
          </w:tcPr>
          <w:p w14:paraId="67F1FA49" w14:textId="77777777" w:rsidR="00E07C4E" w:rsidRPr="00721663" w:rsidRDefault="00E07C4E" w:rsidP="00551604">
            <w:pPr>
              <w:spacing w:line="240" w:lineRule="auto"/>
              <w:jc w:val="left"/>
              <w:rPr>
                <w:rFonts w:ascii="Arial" w:hAnsi="Arial" w:cs="Arial"/>
                <w:b/>
                <w:bCs/>
                <w:i/>
                <w:iCs/>
                <w:sz w:val="18"/>
                <w:szCs w:val="18"/>
                <w:lang w:val="bg-BG"/>
              </w:rPr>
            </w:pPr>
          </w:p>
        </w:tc>
        <w:tc>
          <w:tcPr>
            <w:tcW w:w="1985" w:type="dxa"/>
            <w:tcBorders>
              <w:top w:val="nil"/>
              <w:left w:val="nil"/>
              <w:bottom w:val="single" w:sz="6" w:space="0" w:color="auto"/>
              <w:right w:val="nil"/>
            </w:tcBorders>
            <w:vAlign w:val="bottom"/>
          </w:tcPr>
          <w:p w14:paraId="491BC0A0" w14:textId="2324B023" w:rsidR="00E07C4E" w:rsidRPr="00721663" w:rsidRDefault="00144930" w:rsidP="00551604">
            <w:pPr>
              <w:jc w:val="right"/>
              <w:rPr>
                <w:rFonts w:ascii="Arial" w:hAnsi="Arial" w:cs="Arial"/>
                <w:b/>
                <w:bCs/>
                <w:sz w:val="18"/>
                <w:szCs w:val="18"/>
                <w:lang w:val="bg-BG"/>
              </w:rPr>
            </w:pPr>
            <w:r>
              <w:rPr>
                <w:rFonts w:ascii="Arial" w:hAnsi="Arial" w:cs="Arial"/>
                <w:b/>
                <w:bCs/>
                <w:sz w:val="18"/>
                <w:szCs w:val="18"/>
                <w:lang w:val="bg-BG"/>
              </w:rPr>
              <w:t>30 юни 2017</w:t>
            </w:r>
          </w:p>
        </w:tc>
        <w:tc>
          <w:tcPr>
            <w:tcW w:w="284" w:type="dxa"/>
            <w:tcBorders>
              <w:top w:val="nil"/>
              <w:left w:val="nil"/>
              <w:right w:val="nil"/>
            </w:tcBorders>
            <w:vAlign w:val="bottom"/>
          </w:tcPr>
          <w:p w14:paraId="48B98880" w14:textId="77777777" w:rsidR="00E07C4E" w:rsidRPr="00721663" w:rsidRDefault="00E07C4E" w:rsidP="00551604">
            <w:pPr>
              <w:jc w:val="right"/>
              <w:rPr>
                <w:rFonts w:ascii="Arial" w:hAnsi="Arial" w:cs="Arial"/>
                <w:b/>
                <w:bCs/>
                <w:sz w:val="18"/>
                <w:szCs w:val="18"/>
                <w:lang w:val="bg-BG"/>
              </w:rPr>
            </w:pPr>
          </w:p>
        </w:tc>
        <w:tc>
          <w:tcPr>
            <w:tcW w:w="1984" w:type="dxa"/>
            <w:tcBorders>
              <w:top w:val="nil"/>
              <w:left w:val="nil"/>
              <w:bottom w:val="single" w:sz="6" w:space="0" w:color="auto"/>
              <w:right w:val="nil"/>
            </w:tcBorders>
            <w:vAlign w:val="bottom"/>
          </w:tcPr>
          <w:p w14:paraId="10B67031" w14:textId="05BF47CC" w:rsidR="00E07C4E" w:rsidRPr="00721663" w:rsidRDefault="00144930" w:rsidP="00551604">
            <w:pPr>
              <w:tabs>
                <w:tab w:val="left" w:pos="1343"/>
              </w:tabs>
              <w:ind w:right="34"/>
              <w:jc w:val="right"/>
              <w:rPr>
                <w:rFonts w:ascii="Arial" w:hAnsi="Arial" w:cs="Arial"/>
                <w:b/>
                <w:bCs/>
                <w:sz w:val="18"/>
                <w:szCs w:val="18"/>
                <w:lang w:val="bg-BG"/>
              </w:rPr>
            </w:pPr>
            <w:r>
              <w:rPr>
                <w:rFonts w:ascii="Arial" w:hAnsi="Arial" w:cs="Arial"/>
                <w:b/>
                <w:bCs/>
                <w:sz w:val="18"/>
                <w:szCs w:val="18"/>
                <w:lang w:val="bg-BG"/>
              </w:rPr>
              <w:t>31 декември 2016</w:t>
            </w:r>
          </w:p>
        </w:tc>
      </w:tr>
      <w:tr w:rsidR="00E07C4E" w:rsidRPr="00721663" w14:paraId="43F4306F" w14:textId="77777777" w:rsidTr="00551604">
        <w:trPr>
          <w:trHeight w:val="255"/>
        </w:trPr>
        <w:tc>
          <w:tcPr>
            <w:tcW w:w="4536" w:type="dxa"/>
            <w:tcBorders>
              <w:top w:val="nil"/>
              <w:left w:val="nil"/>
              <w:bottom w:val="nil"/>
              <w:right w:val="nil"/>
            </w:tcBorders>
            <w:noWrap/>
            <w:vAlign w:val="center"/>
          </w:tcPr>
          <w:p w14:paraId="4D5F2867" w14:textId="77777777" w:rsidR="00E07C4E" w:rsidRPr="00721663" w:rsidRDefault="00E07C4E" w:rsidP="00551604">
            <w:pPr>
              <w:spacing w:line="240" w:lineRule="auto"/>
              <w:jc w:val="left"/>
              <w:rPr>
                <w:rFonts w:ascii="Arial" w:hAnsi="Arial" w:cs="Arial"/>
                <w:b/>
                <w:i/>
                <w:sz w:val="18"/>
                <w:szCs w:val="18"/>
                <w:lang w:val="bg-BG"/>
              </w:rPr>
            </w:pPr>
            <w:r w:rsidRPr="00721663">
              <w:rPr>
                <w:rFonts w:ascii="Arial" w:hAnsi="Arial" w:cs="Arial"/>
                <w:b/>
                <w:i/>
                <w:sz w:val="18"/>
                <w:szCs w:val="18"/>
                <w:lang w:val="bg-BG"/>
              </w:rPr>
              <w:t xml:space="preserve">Главници по заем, дължими на Демир Халк Банк </w:t>
            </w:r>
          </w:p>
        </w:tc>
        <w:tc>
          <w:tcPr>
            <w:tcW w:w="1985" w:type="dxa"/>
            <w:tcBorders>
              <w:top w:val="single" w:sz="6" w:space="0" w:color="auto"/>
              <w:left w:val="nil"/>
              <w:right w:val="nil"/>
            </w:tcBorders>
            <w:vAlign w:val="center"/>
          </w:tcPr>
          <w:p w14:paraId="569DC4E5" w14:textId="77777777" w:rsidR="00E07C4E" w:rsidRPr="00721663" w:rsidRDefault="00E07C4E" w:rsidP="00551604">
            <w:pPr>
              <w:spacing w:line="240" w:lineRule="auto"/>
              <w:jc w:val="right"/>
              <w:rPr>
                <w:rFonts w:ascii="Arial" w:hAnsi="Arial" w:cs="Arial"/>
                <w:sz w:val="18"/>
                <w:szCs w:val="18"/>
                <w:lang w:val="bg-BG"/>
              </w:rPr>
            </w:pPr>
            <w:r w:rsidRPr="00721663">
              <w:rPr>
                <w:rFonts w:ascii="Arial" w:hAnsi="Arial" w:cs="Arial"/>
                <w:b/>
                <w:bCs/>
                <w:sz w:val="18"/>
                <w:szCs w:val="18"/>
                <w:lang w:val="bg-BG"/>
              </w:rPr>
              <w:t>хил. лв.</w:t>
            </w:r>
          </w:p>
        </w:tc>
        <w:tc>
          <w:tcPr>
            <w:tcW w:w="284" w:type="dxa"/>
            <w:tcBorders>
              <w:left w:val="nil"/>
              <w:right w:val="nil"/>
            </w:tcBorders>
            <w:vAlign w:val="center"/>
          </w:tcPr>
          <w:p w14:paraId="7D9757FC" w14:textId="77777777" w:rsidR="00E07C4E" w:rsidRPr="00721663" w:rsidRDefault="00E07C4E" w:rsidP="00551604">
            <w:pPr>
              <w:spacing w:line="240" w:lineRule="auto"/>
              <w:jc w:val="right"/>
              <w:rPr>
                <w:rFonts w:ascii="Arial" w:hAnsi="Arial" w:cs="Arial"/>
                <w:b/>
                <w:bCs/>
                <w:sz w:val="18"/>
                <w:szCs w:val="18"/>
                <w:lang w:val="bg-BG"/>
              </w:rPr>
            </w:pPr>
          </w:p>
        </w:tc>
        <w:tc>
          <w:tcPr>
            <w:tcW w:w="1984" w:type="dxa"/>
            <w:tcBorders>
              <w:top w:val="single" w:sz="6" w:space="0" w:color="auto"/>
              <w:left w:val="nil"/>
              <w:right w:val="nil"/>
            </w:tcBorders>
            <w:vAlign w:val="center"/>
          </w:tcPr>
          <w:p w14:paraId="321753BC" w14:textId="77777777" w:rsidR="00E07C4E" w:rsidRPr="00721663" w:rsidRDefault="00E07C4E" w:rsidP="00551604">
            <w:pPr>
              <w:spacing w:line="240" w:lineRule="auto"/>
              <w:jc w:val="right"/>
              <w:rPr>
                <w:rFonts w:ascii="Arial" w:hAnsi="Arial" w:cs="Arial"/>
                <w:sz w:val="18"/>
                <w:szCs w:val="18"/>
                <w:lang w:val="bg-BG"/>
              </w:rPr>
            </w:pPr>
            <w:r w:rsidRPr="00721663">
              <w:rPr>
                <w:rFonts w:ascii="Arial" w:hAnsi="Arial" w:cs="Arial"/>
                <w:b/>
                <w:bCs/>
                <w:sz w:val="18"/>
                <w:szCs w:val="18"/>
                <w:lang w:val="bg-BG"/>
              </w:rPr>
              <w:t>хил. лв.</w:t>
            </w:r>
          </w:p>
        </w:tc>
      </w:tr>
      <w:tr w:rsidR="00DA6E0E" w:rsidRPr="00721663" w14:paraId="19ECF24B" w14:textId="77777777" w:rsidTr="00551604">
        <w:trPr>
          <w:trHeight w:hRule="exact" w:val="318"/>
        </w:trPr>
        <w:tc>
          <w:tcPr>
            <w:tcW w:w="4536" w:type="dxa"/>
            <w:tcBorders>
              <w:top w:val="nil"/>
              <w:left w:val="nil"/>
              <w:bottom w:val="nil"/>
              <w:right w:val="nil"/>
            </w:tcBorders>
            <w:noWrap/>
            <w:vAlign w:val="center"/>
          </w:tcPr>
          <w:p w14:paraId="09F2E3B3" w14:textId="77777777" w:rsidR="00DA6E0E" w:rsidRPr="00721663" w:rsidRDefault="00DA6E0E" w:rsidP="00DA6E0E">
            <w:pPr>
              <w:spacing w:line="240" w:lineRule="auto"/>
              <w:jc w:val="left"/>
              <w:rPr>
                <w:rFonts w:ascii="Arial" w:hAnsi="Arial" w:cs="Arial"/>
                <w:sz w:val="18"/>
                <w:szCs w:val="18"/>
                <w:lang w:val="bg-BG"/>
              </w:rPr>
            </w:pPr>
            <w:r w:rsidRPr="00721663">
              <w:rPr>
                <w:rFonts w:ascii="Arial" w:hAnsi="Arial" w:cs="Arial"/>
                <w:sz w:val="18"/>
                <w:szCs w:val="18"/>
                <w:lang w:val="bg-BG"/>
              </w:rPr>
              <w:t>Заем</w:t>
            </w:r>
          </w:p>
        </w:tc>
        <w:tc>
          <w:tcPr>
            <w:tcW w:w="1985" w:type="dxa"/>
            <w:tcBorders>
              <w:top w:val="nil"/>
              <w:left w:val="nil"/>
              <w:bottom w:val="single" w:sz="6" w:space="0" w:color="auto"/>
              <w:right w:val="nil"/>
            </w:tcBorders>
            <w:vAlign w:val="center"/>
          </w:tcPr>
          <w:p w14:paraId="4616078B" w14:textId="3335272D" w:rsidR="00DA6E0E" w:rsidRPr="00721663" w:rsidRDefault="00DA6E0E" w:rsidP="00DA6E0E">
            <w:pPr>
              <w:spacing w:line="240" w:lineRule="auto"/>
              <w:jc w:val="right"/>
              <w:rPr>
                <w:rFonts w:ascii="Arial" w:hAnsi="Arial" w:cs="Arial"/>
                <w:sz w:val="18"/>
                <w:szCs w:val="18"/>
                <w:lang w:val="bg-BG"/>
              </w:rPr>
            </w:pPr>
            <w:r>
              <w:rPr>
                <w:rFonts w:ascii="Arial" w:hAnsi="Arial" w:cs="Arial"/>
                <w:sz w:val="18"/>
                <w:szCs w:val="18"/>
                <w:lang w:val="en-GB" w:eastAsia="bg-BG"/>
              </w:rPr>
              <w:t>15,063</w:t>
            </w:r>
          </w:p>
        </w:tc>
        <w:tc>
          <w:tcPr>
            <w:tcW w:w="284" w:type="dxa"/>
            <w:tcBorders>
              <w:top w:val="nil"/>
              <w:left w:val="nil"/>
              <w:right w:val="nil"/>
            </w:tcBorders>
            <w:vAlign w:val="center"/>
          </w:tcPr>
          <w:p w14:paraId="562C3E34" w14:textId="77777777" w:rsidR="00DA6E0E" w:rsidRPr="00721663" w:rsidRDefault="00DA6E0E" w:rsidP="00DA6E0E">
            <w:pPr>
              <w:spacing w:line="240" w:lineRule="auto"/>
              <w:jc w:val="right"/>
              <w:rPr>
                <w:rFonts w:ascii="Arial" w:hAnsi="Arial" w:cs="Arial"/>
                <w:sz w:val="18"/>
                <w:szCs w:val="18"/>
                <w:lang w:val="bg-BG"/>
              </w:rPr>
            </w:pPr>
          </w:p>
        </w:tc>
        <w:tc>
          <w:tcPr>
            <w:tcW w:w="1984" w:type="dxa"/>
            <w:tcBorders>
              <w:top w:val="nil"/>
              <w:left w:val="nil"/>
              <w:bottom w:val="single" w:sz="6" w:space="0" w:color="auto"/>
              <w:right w:val="nil"/>
            </w:tcBorders>
            <w:vAlign w:val="center"/>
          </w:tcPr>
          <w:p w14:paraId="7A5B4181" w14:textId="6320F2F0" w:rsidR="00DA6E0E" w:rsidRPr="00721663" w:rsidRDefault="00DA6E0E" w:rsidP="00DA6E0E">
            <w:pPr>
              <w:spacing w:line="240" w:lineRule="auto"/>
              <w:jc w:val="right"/>
              <w:rPr>
                <w:rFonts w:ascii="Arial" w:hAnsi="Arial" w:cs="Arial"/>
                <w:sz w:val="18"/>
                <w:szCs w:val="18"/>
                <w:lang w:val="bg-BG"/>
              </w:rPr>
            </w:pPr>
            <w:r>
              <w:rPr>
                <w:rFonts w:ascii="Arial" w:hAnsi="Arial" w:cs="Arial"/>
                <w:sz w:val="18"/>
                <w:szCs w:val="18"/>
                <w:lang w:val="en-GB" w:eastAsia="bg-BG"/>
              </w:rPr>
              <w:t>15,843</w:t>
            </w:r>
          </w:p>
        </w:tc>
      </w:tr>
      <w:tr w:rsidR="00DA6E0E" w:rsidRPr="00721663" w14:paraId="1E7F0234" w14:textId="77777777" w:rsidTr="00551604">
        <w:trPr>
          <w:trHeight w:hRule="exact" w:val="318"/>
        </w:trPr>
        <w:tc>
          <w:tcPr>
            <w:tcW w:w="4536" w:type="dxa"/>
            <w:tcBorders>
              <w:top w:val="nil"/>
              <w:left w:val="nil"/>
              <w:bottom w:val="nil"/>
              <w:right w:val="nil"/>
            </w:tcBorders>
            <w:noWrap/>
            <w:vAlign w:val="center"/>
          </w:tcPr>
          <w:p w14:paraId="3217E79C" w14:textId="77777777" w:rsidR="00DA6E0E" w:rsidRPr="00721663" w:rsidRDefault="00DA6E0E" w:rsidP="00DA6E0E">
            <w:pPr>
              <w:spacing w:line="240" w:lineRule="auto"/>
              <w:jc w:val="left"/>
              <w:rPr>
                <w:rFonts w:ascii="Arial" w:hAnsi="Arial" w:cs="Arial"/>
                <w:b/>
                <w:bCs/>
                <w:sz w:val="18"/>
                <w:szCs w:val="18"/>
                <w:lang w:val="bg-BG"/>
              </w:rPr>
            </w:pPr>
          </w:p>
        </w:tc>
        <w:tc>
          <w:tcPr>
            <w:tcW w:w="1985" w:type="dxa"/>
            <w:tcBorders>
              <w:top w:val="single" w:sz="6" w:space="0" w:color="auto"/>
              <w:left w:val="nil"/>
              <w:bottom w:val="nil"/>
              <w:right w:val="nil"/>
            </w:tcBorders>
            <w:vAlign w:val="center"/>
          </w:tcPr>
          <w:p w14:paraId="5A1D26A2" w14:textId="73DE649B" w:rsidR="00DA6E0E" w:rsidRPr="00721663" w:rsidRDefault="00DA6E0E" w:rsidP="00DA6E0E">
            <w:pPr>
              <w:spacing w:line="240" w:lineRule="auto"/>
              <w:jc w:val="right"/>
              <w:rPr>
                <w:rFonts w:ascii="Arial" w:hAnsi="Arial" w:cs="Arial"/>
                <w:b/>
                <w:bCs/>
                <w:sz w:val="18"/>
                <w:szCs w:val="18"/>
                <w:lang w:val="bg-BG"/>
              </w:rPr>
            </w:pPr>
            <w:r>
              <w:rPr>
                <w:rFonts w:ascii="Arial" w:hAnsi="Arial" w:cs="Arial"/>
                <w:b/>
                <w:bCs/>
                <w:sz w:val="18"/>
                <w:szCs w:val="18"/>
                <w:lang w:val="en-GB" w:eastAsia="bg-BG"/>
              </w:rPr>
              <w:t>15,063</w:t>
            </w:r>
          </w:p>
        </w:tc>
        <w:tc>
          <w:tcPr>
            <w:tcW w:w="284" w:type="dxa"/>
            <w:tcBorders>
              <w:left w:val="nil"/>
              <w:bottom w:val="nil"/>
              <w:right w:val="nil"/>
            </w:tcBorders>
            <w:vAlign w:val="center"/>
          </w:tcPr>
          <w:p w14:paraId="2B600253" w14:textId="77777777" w:rsidR="00DA6E0E" w:rsidRPr="00721663" w:rsidRDefault="00DA6E0E" w:rsidP="00DA6E0E">
            <w:pPr>
              <w:spacing w:line="240" w:lineRule="auto"/>
              <w:jc w:val="right"/>
              <w:rPr>
                <w:rFonts w:ascii="Arial" w:hAnsi="Arial" w:cs="Arial"/>
                <w:b/>
                <w:bCs/>
                <w:sz w:val="18"/>
                <w:szCs w:val="18"/>
                <w:lang w:val="bg-BG"/>
              </w:rPr>
            </w:pPr>
          </w:p>
        </w:tc>
        <w:tc>
          <w:tcPr>
            <w:tcW w:w="1984" w:type="dxa"/>
            <w:tcBorders>
              <w:top w:val="single" w:sz="6" w:space="0" w:color="auto"/>
              <w:left w:val="nil"/>
              <w:bottom w:val="nil"/>
              <w:right w:val="nil"/>
            </w:tcBorders>
            <w:vAlign w:val="center"/>
          </w:tcPr>
          <w:p w14:paraId="1D45EC17" w14:textId="1911D169" w:rsidR="00DA6E0E" w:rsidRPr="00721663" w:rsidRDefault="00DA6E0E" w:rsidP="00DA6E0E">
            <w:pPr>
              <w:spacing w:line="240" w:lineRule="auto"/>
              <w:jc w:val="right"/>
              <w:rPr>
                <w:rFonts w:ascii="Arial" w:hAnsi="Arial" w:cs="Arial"/>
                <w:b/>
                <w:bCs/>
                <w:sz w:val="18"/>
                <w:szCs w:val="18"/>
                <w:lang w:val="bg-BG"/>
              </w:rPr>
            </w:pPr>
            <w:r>
              <w:rPr>
                <w:rFonts w:ascii="Arial" w:hAnsi="Arial" w:cs="Arial"/>
                <w:b/>
                <w:bCs/>
                <w:sz w:val="18"/>
                <w:szCs w:val="18"/>
                <w:lang w:val="en-GB" w:eastAsia="bg-BG"/>
              </w:rPr>
              <w:t>15,843</w:t>
            </w:r>
          </w:p>
        </w:tc>
      </w:tr>
      <w:tr w:rsidR="00DA6E0E" w:rsidRPr="00721663" w14:paraId="07025AC8" w14:textId="77777777" w:rsidTr="00551604">
        <w:trPr>
          <w:trHeight w:hRule="exact" w:val="318"/>
        </w:trPr>
        <w:tc>
          <w:tcPr>
            <w:tcW w:w="4536" w:type="dxa"/>
            <w:tcBorders>
              <w:top w:val="nil"/>
              <w:left w:val="nil"/>
              <w:bottom w:val="nil"/>
              <w:right w:val="nil"/>
            </w:tcBorders>
            <w:noWrap/>
            <w:vAlign w:val="center"/>
          </w:tcPr>
          <w:p w14:paraId="09844230" w14:textId="77777777" w:rsidR="00DA6E0E" w:rsidRPr="00721663" w:rsidRDefault="00DA6E0E" w:rsidP="00DA6E0E">
            <w:pPr>
              <w:spacing w:line="240" w:lineRule="auto"/>
              <w:jc w:val="left"/>
              <w:rPr>
                <w:rFonts w:ascii="Arial" w:hAnsi="Arial" w:cs="Arial"/>
                <w:b/>
                <w:i/>
                <w:sz w:val="18"/>
                <w:szCs w:val="18"/>
                <w:lang w:val="bg-BG"/>
              </w:rPr>
            </w:pPr>
            <w:r w:rsidRPr="00721663">
              <w:rPr>
                <w:rFonts w:ascii="Arial" w:hAnsi="Arial" w:cs="Arial"/>
                <w:b/>
                <w:i/>
                <w:sz w:val="18"/>
                <w:szCs w:val="18"/>
                <w:lang w:val="bg-BG"/>
              </w:rPr>
              <w:t>Дължими лихви</w:t>
            </w:r>
          </w:p>
        </w:tc>
        <w:tc>
          <w:tcPr>
            <w:tcW w:w="1985" w:type="dxa"/>
            <w:tcBorders>
              <w:top w:val="nil"/>
              <w:left w:val="nil"/>
              <w:right w:val="nil"/>
            </w:tcBorders>
            <w:vAlign w:val="center"/>
          </w:tcPr>
          <w:p w14:paraId="31EBCEE1" w14:textId="77777777" w:rsidR="00DA6E0E" w:rsidRPr="00721663" w:rsidRDefault="00DA6E0E" w:rsidP="00DA6E0E">
            <w:pPr>
              <w:spacing w:line="240" w:lineRule="auto"/>
              <w:jc w:val="right"/>
              <w:rPr>
                <w:rFonts w:ascii="Arial" w:hAnsi="Arial" w:cs="Arial"/>
                <w:sz w:val="18"/>
                <w:szCs w:val="18"/>
                <w:lang w:val="bg-BG"/>
              </w:rPr>
            </w:pPr>
          </w:p>
        </w:tc>
        <w:tc>
          <w:tcPr>
            <w:tcW w:w="284" w:type="dxa"/>
            <w:tcBorders>
              <w:top w:val="nil"/>
              <w:left w:val="nil"/>
              <w:right w:val="nil"/>
            </w:tcBorders>
            <w:vAlign w:val="center"/>
          </w:tcPr>
          <w:p w14:paraId="3E6C645B" w14:textId="77777777" w:rsidR="00DA6E0E" w:rsidRPr="00721663" w:rsidRDefault="00DA6E0E" w:rsidP="00DA6E0E">
            <w:pPr>
              <w:spacing w:line="240" w:lineRule="auto"/>
              <w:jc w:val="right"/>
              <w:rPr>
                <w:rFonts w:ascii="Arial" w:hAnsi="Arial" w:cs="Arial"/>
                <w:sz w:val="18"/>
                <w:szCs w:val="18"/>
                <w:lang w:val="bg-BG"/>
              </w:rPr>
            </w:pPr>
          </w:p>
        </w:tc>
        <w:tc>
          <w:tcPr>
            <w:tcW w:w="1984" w:type="dxa"/>
            <w:tcBorders>
              <w:top w:val="nil"/>
              <w:left w:val="nil"/>
              <w:right w:val="nil"/>
            </w:tcBorders>
            <w:vAlign w:val="center"/>
          </w:tcPr>
          <w:p w14:paraId="5F52CFFF" w14:textId="77777777" w:rsidR="00DA6E0E" w:rsidRPr="00721663" w:rsidRDefault="00DA6E0E" w:rsidP="00DA6E0E">
            <w:pPr>
              <w:spacing w:line="240" w:lineRule="auto"/>
              <w:jc w:val="right"/>
              <w:rPr>
                <w:rFonts w:ascii="Arial" w:hAnsi="Arial" w:cs="Arial"/>
                <w:sz w:val="18"/>
                <w:szCs w:val="18"/>
                <w:lang w:val="bg-BG"/>
              </w:rPr>
            </w:pPr>
          </w:p>
        </w:tc>
      </w:tr>
      <w:tr w:rsidR="00DA6E0E" w:rsidRPr="00721663" w14:paraId="51513406" w14:textId="77777777" w:rsidTr="00551604">
        <w:trPr>
          <w:trHeight w:hRule="exact" w:val="318"/>
        </w:trPr>
        <w:tc>
          <w:tcPr>
            <w:tcW w:w="4536" w:type="dxa"/>
            <w:tcBorders>
              <w:top w:val="nil"/>
              <w:left w:val="nil"/>
              <w:bottom w:val="nil"/>
              <w:right w:val="nil"/>
            </w:tcBorders>
            <w:noWrap/>
            <w:vAlign w:val="center"/>
          </w:tcPr>
          <w:p w14:paraId="006168C7" w14:textId="77777777" w:rsidR="00DA6E0E" w:rsidRPr="00721663" w:rsidRDefault="00DA6E0E" w:rsidP="00DA6E0E">
            <w:pPr>
              <w:spacing w:line="240" w:lineRule="auto"/>
              <w:jc w:val="left"/>
              <w:rPr>
                <w:rFonts w:ascii="Arial" w:hAnsi="Arial" w:cs="Arial"/>
                <w:sz w:val="18"/>
                <w:szCs w:val="18"/>
                <w:lang w:val="bg-BG"/>
              </w:rPr>
            </w:pPr>
            <w:r w:rsidRPr="00721663">
              <w:rPr>
                <w:rFonts w:ascii="Arial" w:hAnsi="Arial" w:cs="Arial"/>
                <w:sz w:val="18"/>
                <w:szCs w:val="18"/>
                <w:lang w:val="bg-BG"/>
              </w:rPr>
              <w:t>Начално салдо</w:t>
            </w:r>
          </w:p>
        </w:tc>
        <w:tc>
          <w:tcPr>
            <w:tcW w:w="1985" w:type="dxa"/>
            <w:tcBorders>
              <w:top w:val="nil"/>
              <w:left w:val="nil"/>
              <w:right w:val="nil"/>
            </w:tcBorders>
            <w:vAlign w:val="center"/>
          </w:tcPr>
          <w:p w14:paraId="33FD3DA9" w14:textId="75874B8A" w:rsidR="00DA6E0E" w:rsidRPr="00721663" w:rsidRDefault="00DA6E0E" w:rsidP="00DA6E0E">
            <w:pPr>
              <w:spacing w:line="240" w:lineRule="auto"/>
              <w:jc w:val="right"/>
              <w:rPr>
                <w:rFonts w:ascii="Arial" w:hAnsi="Arial" w:cs="Arial"/>
                <w:sz w:val="18"/>
                <w:szCs w:val="18"/>
                <w:lang w:val="bg-BG"/>
              </w:rPr>
            </w:pPr>
            <w:r>
              <w:rPr>
                <w:rFonts w:ascii="Arial" w:hAnsi="Arial" w:cs="Arial"/>
                <w:sz w:val="18"/>
                <w:szCs w:val="18"/>
                <w:lang w:val="en-GB" w:eastAsia="bg-BG"/>
              </w:rPr>
              <w:t>-</w:t>
            </w:r>
          </w:p>
        </w:tc>
        <w:tc>
          <w:tcPr>
            <w:tcW w:w="284" w:type="dxa"/>
            <w:tcBorders>
              <w:top w:val="nil"/>
              <w:left w:val="nil"/>
              <w:right w:val="nil"/>
            </w:tcBorders>
            <w:vAlign w:val="center"/>
          </w:tcPr>
          <w:p w14:paraId="15334C0C" w14:textId="77777777" w:rsidR="00DA6E0E" w:rsidRPr="00721663" w:rsidRDefault="00DA6E0E" w:rsidP="00DA6E0E">
            <w:pPr>
              <w:spacing w:line="240" w:lineRule="auto"/>
              <w:jc w:val="right"/>
              <w:rPr>
                <w:rFonts w:ascii="Arial" w:hAnsi="Arial" w:cs="Arial"/>
                <w:sz w:val="18"/>
                <w:szCs w:val="18"/>
                <w:lang w:val="bg-BG"/>
              </w:rPr>
            </w:pPr>
          </w:p>
        </w:tc>
        <w:tc>
          <w:tcPr>
            <w:tcW w:w="1984" w:type="dxa"/>
            <w:tcBorders>
              <w:top w:val="nil"/>
              <w:left w:val="nil"/>
              <w:right w:val="nil"/>
            </w:tcBorders>
            <w:vAlign w:val="center"/>
          </w:tcPr>
          <w:p w14:paraId="6BF92D71" w14:textId="11F70E45" w:rsidR="00DA6E0E" w:rsidRPr="00721663" w:rsidRDefault="00DA6E0E" w:rsidP="00DA6E0E">
            <w:pPr>
              <w:spacing w:line="240" w:lineRule="auto"/>
              <w:jc w:val="right"/>
              <w:rPr>
                <w:rFonts w:ascii="Arial" w:hAnsi="Arial" w:cs="Arial"/>
                <w:sz w:val="18"/>
                <w:szCs w:val="18"/>
                <w:lang w:val="bg-BG"/>
              </w:rPr>
            </w:pPr>
            <w:r>
              <w:rPr>
                <w:rFonts w:ascii="Arial" w:hAnsi="Arial" w:cs="Arial"/>
                <w:sz w:val="18"/>
                <w:szCs w:val="18"/>
                <w:lang w:val="en-GB" w:eastAsia="bg-BG"/>
              </w:rPr>
              <w:t>-</w:t>
            </w:r>
          </w:p>
        </w:tc>
      </w:tr>
      <w:tr w:rsidR="00DA6E0E" w:rsidRPr="00721663" w14:paraId="1E9FDBF6" w14:textId="77777777" w:rsidTr="00551604">
        <w:trPr>
          <w:trHeight w:hRule="exact" w:val="318"/>
        </w:trPr>
        <w:tc>
          <w:tcPr>
            <w:tcW w:w="4536" w:type="dxa"/>
            <w:tcBorders>
              <w:top w:val="nil"/>
              <w:left w:val="nil"/>
              <w:bottom w:val="nil"/>
              <w:right w:val="nil"/>
            </w:tcBorders>
            <w:noWrap/>
            <w:vAlign w:val="center"/>
          </w:tcPr>
          <w:p w14:paraId="33459A47" w14:textId="77777777" w:rsidR="00DA6E0E" w:rsidRPr="00721663" w:rsidRDefault="00DA6E0E" w:rsidP="00DA6E0E">
            <w:pPr>
              <w:spacing w:line="240" w:lineRule="auto"/>
              <w:jc w:val="left"/>
              <w:rPr>
                <w:rFonts w:ascii="Arial" w:hAnsi="Arial" w:cs="Arial"/>
                <w:sz w:val="18"/>
                <w:szCs w:val="18"/>
                <w:lang w:val="bg-BG"/>
              </w:rPr>
            </w:pPr>
            <w:r w:rsidRPr="00721663">
              <w:rPr>
                <w:rFonts w:ascii="Arial" w:hAnsi="Arial" w:cs="Arial"/>
                <w:sz w:val="18"/>
                <w:szCs w:val="18"/>
                <w:lang w:val="bg-BG"/>
              </w:rPr>
              <w:t>Разход за лихви</w:t>
            </w:r>
          </w:p>
        </w:tc>
        <w:tc>
          <w:tcPr>
            <w:tcW w:w="1985" w:type="dxa"/>
            <w:tcBorders>
              <w:top w:val="nil"/>
              <w:left w:val="nil"/>
              <w:right w:val="nil"/>
            </w:tcBorders>
            <w:vAlign w:val="center"/>
          </w:tcPr>
          <w:p w14:paraId="103C764E" w14:textId="50DEDF92" w:rsidR="00DA6E0E" w:rsidRPr="00721663" w:rsidRDefault="00DA6E0E" w:rsidP="00DA6E0E">
            <w:pPr>
              <w:spacing w:line="240" w:lineRule="auto"/>
              <w:jc w:val="right"/>
              <w:rPr>
                <w:rFonts w:ascii="Arial" w:hAnsi="Arial" w:cs="Arial"/>
                <w:sz w:val="18"/>
                <w:szCs w:val="18"/>
                <w:lang w:val="bg-BG"/>
              </w:rPr>
            </w:pPr>
            <w:r>
              <w:rPr>
                <w:rFonts w:ascii="Arial" w:hAnsi="Arial" w:cs="Arial"/>
                <w:sz w:val="18"/>
                <w:szCs w:val="18"/>
                <w:lang w:val="en-GB" w:eastAsia="bg-BG"/>
              </w:rPr>
              <w:t>405</w:t>
            </w:r>
          </w:p>
        </w:tc>
        <w:tc>
          <w:tcPr>
            <w:tcW w:w="284" w:type="dxa"/>
            <w:tcBorders>
              <w:top w:val="nil"/>
              <w:left w:val="nil"/>
              <w:right w:val="nil"/>
            </w:tcBorders>
            <w:vAlign w:val="center"/>
          </w:tcPr>
          <w:p w14:paraId="7A934003" w14:textId="77777777" w:rsidR="00DA6E0E" w:rsidRPr="00721663" w:rsidRDefault="00DA6E0E" w:rsidP="00DA6E0E">
            <w:pPr>
              <w:spacing w:line="240" w:lineRule="auto"/>
              <w:jc w:val="right"/>
              <w:rPr>
                <w:rFonts w:ascii="Arial" w:hAnsi="Arial" w:cs="Arial"/>
                <w:sz w:val="18"/>
                <w:szCs w:val="18"/>
                <w:lang w:val="bg-BG"/>
              </w:rPr>
            </w:pPr>
          </w:p>
        </w:tc>
        <w:tc>
          <w:tcPr>
            <w:tcW w:w="1984" w:type="dxa"/>
            <w:tcBorders>
              <w:top w:val="nil"/>
              <w:left w:val="nil"/>
              <w:right w:val="nil"/>
            </w:tcBorders>
            <w:vAlign w:val="center"/>
          </w:tcPr>
          <w:p w14:paraId="7E0B9D56" w14:textId="0BF670A9" w:rsidR="00DA6E0E" w:rsidRPr="00721663" w:rsidRDefault="00DA6E0E" w:rsidP="00DA6E0E">
            <w:pPr>
              <w:spacing w:line="240" w:lineRule="auto"/>
              <w:jc w:val="right"/>
              <w:rPr>
                <w:rFonts w:ascii="Arial" w:hAnsi="Arial" w:cs="Arial"/>
                <w:sz w:val="18"/>
                <w:szCs w:val="18"/>
                <w:lang w:val="bg-BG"/>
              </w:rPr>
            </w:pPr>
            <w:r>
              <w:rPr>
                <w:rFonts w:ascii="Arial" w:hAnsi="Arial" w:cs="Arial"/>
                <w:sz w:val="18"/>
                <w:szCs w:val="18"/>
                <w:lang w:val="en-GB" w:eastAsia="bg-BG"/>
              </w:rPr>
              <w:t>876</w:t>
            </w:r>
          </w:p>
        </w:tc>
      </w:tr>
      <w:tr w:rsidR="00DA6E0E" w:rsidRPr="00721663" w14:paraId="7BD5BE46" w14:textId="77777777" w:rsidTr="00551604">
        <w:trPr>
          <w:trHeight w:hRule="exact" w:val="318"/>
        </w:trPr>
        <w:tc>
          <w:tcPr>
            <w:tcW w:w="4536" w:type="dxa"/>
            <w:tcBorders>
              <w:top w:val="nil"/>
              <w:left w:val="nil"/>
              <w:bottom w:val="nil"/>
              <w:right w:val="nil"/>
            </w:tcBorders>
            <w:noWrap/>
            <w:vAlign w:val="center"/>
          </w:tcPr>
          <w:p w14:paraId="75C63F9C" w14:textId="77777777" w:rsidR="00DA6E0E" w:rsidRPr="00721663" w:rsidRDefault="00DA6E0E" w:rsidP="00DA6E0E">
            <w:pPr>
              <w:spacing w:line="240" w:lineRule="auto"/>
              <w:jc w:val="left"/>
              <w:rPr>
                <w:rFonts w:ascii="Arial" w:hAnsi="Arial" w:cs="Arial"/>
                <w:sz w:val="18"/>
                <w:szCs w:val="18"/>
                <w:lang w:val="bg-BG"/>
              </w:rPr>
            </w:pPr>
            <w:r w:rsidRPr="00721663">
              <w:rPr>
                <w:rFonts w:ascii="Arial" w:hAnsi="Arial" w:cs="Arial"/>
                <w:sz w:val="18"/>
                <w:szCs w:val="18"/>
                <w:lang w:val="bg-BG"/>
              </w:rPr>
              <w:t xml:space="preserve">Амортизация на таксата по заема </w:t>
            </w:r>
          </w:p>
        </w:tc>
        <w:tc>
          <w:tcPr>
            <w:tcW w:w="1985" w:type="dxa"/>
            <w:tcBorders>
              <w:top w:val="nil"/>
              <w:left w:val="nil"/>
              <w:right w:val="nil"/>
            </w:tcBorders>
            <w:vAlign w:val="center"/>
          </w:tcPr>
          <w:p w14:paraId="51833C4E" w14:textId="01C87DEC" w:rsidR="00DA6E0E" w:rsidRPr="00721663" w:rsidRDefault="00DA6E0E" w:rsidP="00DA6E0E">
            <w:pPr>
              <w:spacing w:line="240" w:lineRule="auto"/>
              <w:jc w:val="right"/>
              <w:rPr>
                <w:rFonts w:ascii="Arial" w:hAnsi="Arial" w:cs="Arial"/>
                <w:sz w:val="18"/>
                <w:szCs w:val="18"/>
                <w:lang w:val="bg-BG"/>
              </w:rPr>
            </w:pPr>
            <w:r>
              <w:rPr>
                <w:rFonts w:ascii="Arial" w:hAnsi="Arial" w:cs="Arial"/>
                <w:sz w:val="18"/>
                <w:szCs w:val="18"/>
                <w:lang w:val="en-GB" w:eastAsia="bg-BG"/>
              </w:rPr>
              <w:t>(9)</w:t>
            </w:r>
          </w:p>
        </w:tc>
        <w:tc>
          <w:tcPr>
            <w:tcW w:w="284" w:type="dxa"/>
            <w:tcBorders>
              <w:top w:val="nil"/>
              <w:left w:val="nil"/>
              <w:right w:val="nil"/>
            </w:tcBorders>
            <w:vAlign w:val="center"/>
          </w:tcPr>
          <w:p w14:paraId="32AD6742" w14:textId="77777777" w:rsidR="00DA6E0E" w:rsidRPr="00721663" w:rsidRDefault="00DA6E0E" w:rsidP="00DA6E0E">
            <w:pPr>
              <w:spacing w:line="240" w:lineRule="auto"/>
              <w:jc w:val="right"/>
              <w:rPr>
                <w:rFonts w:ascii="Arial" w:hAnsi="Arial" w:cs="Arial"/>
                <w:sz w:val="18"/>
                <w:szCs w:val="18"/>
                <w:lang w:val="bg-BG"/>
              </w:rPr>
            </w:pPr>
          </w:p>
        </w:tc>
        <w:tc>
          <w:tcPr>
            <w:tcW w:w="1984" w:type="dxa"/>
            <w:tcBorders>
              <w:top w:val="nil"/>
              <w:left w:val="nil"/>
              <w:right w:val="nil"/>
            </w:tcBorders>
            <w:vAlign w:val="center"/>
          </w:tcPr>
          <w:p w14:paraId="415F3089" w14:textId="49E430E3" w:rsidR="00DA6E0E" w:rsidRPr="00721663" w:rsidRDefault="00DA6E0E" w:rsidP="00DA6E0E">
            <w:pPr>
              <w:spacing w:line="240" w:lineRule="auto"/>
              <w:jc w:val="right"/>
              <w:rPr>
                <w:rFonts w:ascii="Arial" w:hAnsi="Arial" w:cs="Arial"/>
                <w:sz w:val="18"/>
                <w:szCs w:val="18"/>
                <w:lang w:val="bg-BG"/>
              </w:rPr>
            </w:pPr>
            <w:r>
              <w:rPr>
                <w:rFonts w:ascii="Arial" w:hAnsi="Arial" w:cs="Arial"/>
                <w:sz w:val="18"/>
                <w:szCs w:val="18"/>
                <w:lang w:val="en-GB" w:eastAsia="bg-BG"/>
              </w:rPr>
              <w:t>(18)</w:t>
            </w:r>
          </w:p>
        </w:tc>
      </w:tr>
      <w:tr w:rsidR="00DA6E0E" w:rsidRPr="00721663" w14:paraId="25362491" w14:textId="77777777" w:rsidTr="00551604">
        <w:trPr>
          <w:trHeight w:hRule="exact" w:val="318"/>
        </w:trPr>
        <w:tc>
          <w:tcPr>
            <w:tcW w:w="4536" w:type="dxa"/>
            <w:tcBorders>
              <w:top w:val="nil"/>
              <w:left w:val="nil"/>
              <w:bottom w:val="nil"/>
              <w:right w:val="nil"/>
            </w:tcBorders>
            <w:noWrap/>
            <w:vAlign w:val="center"/>
          </w:tcPr>
          <w:p w14:paraId="51F180B6" w14:textId="77777777" w:rsidR="00DA6E0E" w:rsidRPr="00721663" w:rsidRDefault="00DA6E0E" w:rsidP="00DA6E0E">
            <w:pPr>
              <w:spacing w:line="240" w:lineRule="auto"/>
              <w:jc w:val="left"/>
              <w:rPr>
                <w:rFonts w:ascii="Arial" w:hAnsi="Arial" w:cs="Arial"/>
                <w:sz w:val="18"/>
                <w:szCs w:val="18"/>
                <w:lang w:val="bg-BG"/>
              </w:rPr>
            </w:pPr>
            <w:r w:rsidRPr="00721663">
              <w:rPr>
                <w:rFonts w:ascii="Arial" w:hAnsi="Arial" w:cs="Arial"/>
                <w:sz w:val="18"/>
                <w:szCs w:val="18"/>
                <w:lang w:val="bg-BG"/>
              </w:rPr>
              <w:t>Платени лихви</w:t>
            </w:r>
          </w:p>
        </w:tc>
        <w:tc>
          <w:tcPr>
            <w:tcW w:w="1985" w:type="dxa"/>
            <w:tcBorders>
              <w:left w:val="nil"/>
              <w:bottom w:val="single" w:sz="6" w:space="0" w:color="auto"/>
              <w:right w:val="nil"/>
            </w:tcBorders>
            <w:vAlign w:val="center"/>
          </w:tcPr>
          <w:p w14:paraId="38E39491" w14:textId="3EB49914" w:rsidR="00DA6E0E" w:rsidRPr="00721663" w:rsidRDefault="00DA6E0E" w:rsidP="00DA6E0E">
            <w:pPr>
              <w:spacing w:line="240" w:lineRule="auto"/>
              <w:jc w:val="right"/>
              <w:rPr>
                <w:rFonts w:ascii="Arial" w:hAnsi="Arial" w:cs="Arial"/>
                <w:sz w:val="18"/>
                <w:szCs w:val="18"/>
                <w:lang w:val="bg-BG"/>
              </w:rPr>
            </w:pPr>
            <w:r>
              <w:rPr>
                <w:rFonts w:ascii="Arial" w:hAnsi="Arial" w:cs="Arial"/>
                <w:sz w:val="18"/>
                <w:szCs w:val="18"/>
                <w:lang w:val="en-GB" w:eastAsia="bg-BG"/>
              </w:rPr>
              <w:t>(396)</w:t>
            </w:r>
          </w:p>
        </w:tc>
        <w:tc>
          <w:tcPr>
            <w:tcW w:w="284" w:type="dxa"/>
            <w:tcBorders>
              <w:left w:val="nil"/>
              <w:right w:val="nil"/>
            </w:tcBorders>
            <w:vAlign w:val="center"/>
          </w:tcPr>
          <w:p w14:paraId="0DC75F56" w14:textId="77777777" w:rsidR="00DA6E0E" w:rsidRPr="00721663" w:rsidRDefault="00DA6E0E" w:rsidP="00DA6E0E">
            <w:pPr>
              <w:spacing w:line="240" w:lineRule="auto"/>
              <w:jc w:val="right"/>
              <w:rPr>
                <w:rFonts w:ascii="Arial" w:hAnsi="Arial" w:cs="Arial"/>
                <w:sz w:val="18"/>
                <w:szCs w:val="18"/>
                <w:lang w:val="bg-BG"/>
              </w:rPr>
            </w:pPr>
          </w:p>
        </w:tc>
        <w:tc>
          <w:tcPr>
            <w:tcW w:w="1984" w:type="dxa"/>
            <w:tcBorders>
              <w:left w:val="nil"/>
              <w:bottom w:val="single" w:sz="6" w:space="0" w:color="auto"/>
              <w:right w:val="nil"/>
            </w:tcBorders>
            <w:vAlign w:val="center"/>
          </w:tcPr>
          <w:p w14:paraId="34A125DB" w14:textId="01625824" w:rsidR="00DA6E0E" w:rsidRPr="00721663" w:rsidRDefault="00DA6E0E" w:rsidP="00DA6E0E">
            <w:pPr>
              <w:spacing w:line="240" w:lineRule="auto"/>
              <w:jc w:val="right"/>
              <w:rPr>
                <w:rFonts w:ascii="Arial" w:hAnsi="Arial" w:cs="Arial"/>
                <w:sz w:val="18"/>
                <w:szCs w:val="18"/>
                <w:lang w:val="bg-BG"/>
              </w:rPr>
            </w:pPr>
            <w:r>
              <w:rPr>
                <w:rFonts w:ascii="Arial" w:hAnsi="Arial" w:cs="Arial"/>
                <w:sz w:val="18"/>
                <w:szCs w:val="18"/>
                <w:lang w:val="en-GB" w:eastAsia="bg-BG"/>
              </w:rPr>
              <w:t>(858)</w:t>
            </w:r>
          </w:p>
        </w:tc>
      </w:tr>
      <w:tr w:rsidR="00DA6E0E" w:rsidRPr="00721663" w14:paraId="142DA43D" w14:textId="77777777" w:rsidTr="00551604">
        <w:trPr>
          <w:trHeight w:hRule="exact" w:val="318"/>
        </w:trPr>
        <w:tc>
          <w:tcPr>
            <w:tcW w:w="4536" w:type="dxa"/>
            <w:tcBorders>
              <w:top w:val="nil"/>
              <w:left w:val="nil"/>
              <w:bottom w:val="nil"/>
              <w:right w:val="nil"/>
            </w:tcBorders>
            <w:noWrap/>
            <w:vAlign w:val="center"/>
          </w:tcPr>
          <w:p w14:paraId="292598A2" w14:textId="77777777" w:rsidR="00DA6E0E" w:rsidRPr="00721663" w:rsidRDefault="00DA6E0E" w:rsidP="00DA6E0E">
            <w:pPr>
              <w:spacing w:line="240" w:lineRule="auto"/>
              <w:jc w:val="left"/>
              <w:rPr>
                <w:rFonts w:ascii="Arial" w:hAnsi="Arial" w:cs="Arial"/>
                <w:b/>
                <w:bCs/>
                <w:sz w:val="18"/>
                <w:szCs w:val="18"/>
                <w:lang w:val="bg-BG"/>
              </w:rPr>
            </w:pPr>
          </w:p>
        </w:tc>
        <w:tc>
          <w:tcPr>
            <w:tcW w:w="1985" w:type="dxa"/>
            <w:tcBorders>
              <w:top w:val="single" w:sz="6" w:space="0" w:color="auto"/>
              <w:left w:val="nil"/>
              <w:bottom w:val="single" w:sz="6" w:space="0" w:color="auto"/>
              <w:right w:val="nil"/>
            </w:tcBorders>
            <w:vAlign w:val="center"/>
          </w:tcPr>
          <w:p w14:paraId="225D3D0B" w14:textId="789F32D3" w:rsidR="00DA6E0E" w:rsidRPr="00721663" w:rsidRDefault="00DA6E0E" w:rsidP="00DA6E0E">
            <w:pPr>
              <w:spacing w:line="240" w:lineRule="auto"/>
              <w:jc w:val="right"/>
              <w:rPr>
                <w:rFonts w:ascii="Arial" w:hAnsi="Arial" w:cs="Arial"/>
                <w:b/>
                <w:bCs/>
                <w:sz w:val="18"/>
                <w:szCs w:val="18"/>
                <w:lang w:val="bg-BG"/>
              </w:rPr>
            </w:pPr>
            <w:r>
              <w:rPr>
                <w:rFonts w:ascii="Arial" w:hAnsi="Arial" w:cs="Arial"/>
                <w:b/>
                <w:bCs/>
                <w:sz w:val="18"/>
                <w:szCs w:val="18"/>
                <w:lang w:val="en-GB" w:eastAsia="bg-BG"/>
              </w:rPr>
              <w:t>-</w:t>
            </w:r>
          </w:p>
        </w:tc>
        <w:tc>
          <w:tcPr>
            <w:tcW w:w="284" w:type="dxa"/>
            <w:tcBorders>
              <w:left w:val="nil"/>
              <w:right w:val="nil"/>
            </w:tcBorders>
            <w:vAlign w:val="center"/>
          </w:tcPr>
          <w:p w14:paraId="6DFB9FB1" w14:textId="77777777" w:rsidR="00DA6E0E" w:rsidRPr="00721663" w:rsidRDefault="00DA6E0E" w:rsidP="00DA6E0E">
            <w:pPr>
              <w:spacing w:line="240" w:lineRule="auto"/>
              <w:jc w:val="right"/>
              <w:rPr>
                <w:rFonts w:ascii="Arial" w:hAnsi="Arial" w:cs="Arial"/>
                <w:b/>
                <w:bCs/>
                <w:sz w:val="18"/>
                <w:szCs w:val="18"/>
                <w:lang w:val="bg-BG"/>
              </w:rPr>
            </w:pPr>
          </w:p>
        </w:tc>
        <w:tc>
          <w:tcPr>
            <w:tcW w:w="1984" w:type="dxa"/>
            <w:tcBorders>
              <w:top w:val="single" w:sz="6" w:space="0" w:color="auto"/>
              <w:left w:val="nil"/>
              <w:bottom w:val="single" w:sz="6" w:space="0" w:color="auto"/>
              <w:right w:val="nil"/>
            </w:tcBorders>
            <w:vAlign w:val="center"/>
          </w:tcPr>
          <w:p w14:paraId="692A3B31" w14:textId="261C8BA2" w:rsidR="00DA6E0E" w:rsidRPr="00721663" w:rsidRDefault="00DA6E0E" w:rsidP="00DA6E0E">
            <w:pPr>
              <w:spacing w:line="240" w:lineRule="auto"/>
              <w:jc w:val="right"/>
              <w:rPr>
                <w:rFonts w:ascii="Arial" w:hAnsi="Arial" w:cs="Arial"/>
                <w:b/>
                <w:bCs/>
                <w:sz w:val="18"/>
                <w:szCs w:val="18"/>
                <w:lang w:val="bg-BG"/>
              </w:rPr>
            </w:pPr>
            <w:r>
              <w:rPr>
                <w:rFonts w:ascii="Arial" w:hAnsi="Arial" w:cs="Arial"/>
                <w:b/>
                <w:bCs/>
                <w:sz w:val="18"/>
                <w:szCs w:val="18"/>
                <w:lang w:val="en-GB" w:eastAsia="bg-BG"/>
              </w:rPr>
              <w:t>-</w:t>
            </w:r>
          </w:p>
        </w:tc>
      </w:tr>
      <w:tr w:rsidR="00DA6E0E" w:rsidRPr="00721663" w14:paraId="7436A857" w14:textId="77777777" w:rsidTr="00551604">
        <w:trPr>
          <w:trHeight w:hRule="exact" w:val="437"/>
        </w:trPr>
        <w:tc>
          <w:tcPr>
            <w:tcW w:w="4536" w:type="dxa"/>
            <w:tcBorders>
              <w:top w:val="nil"/>
              <w:left w:val="nil"/>
              <w:bottom w:val="nil"/>
              <w:right w:val="nil"/>
            </w:tcBorders>
            <w:noWrap/>
            <w:vAlign w:val="center"/>
          </w:tcPr>
          <w:p w14:paraId="36027F0B" w14:textId="77777777" w:rsidR="00DA6E0E" w:rsidRPr="00721663" w:rsidRDefault="00DA6E0E" w:rsidP="00DA6E0E">
            <w:pPr>
              <w:spacing w:line="240" w:lineRule="auto"/>
              <w:jc w:val="left"/>
              <w:rPr>
                <w:rFonts w:ascii="Arial" w:hAnsi="Arial" w:cs="Arial"/>
                <w:b/>
                <w:bCs/>
                <w:sz w:val="18"/>
                <w:szCs w:val="18"/>
                <w:lang w:val="bg-BG"/>
              </w:rPr>
            </w:pPr>
            <w:r w:rsidRPr="00721663">
              <w:rPr>
                <w:rFonts w:ascii="Arial" w:hAnsi="Arial" w:cs="Arial"/>
                <w:b/>
                <w:bCs/>
                <w:sz w:val="18"/>
                <w:szCs w:val="18"/>
                <w:lang w:val="bg-BG"/>
              </w:rPr>
              <w:t>Неамортизирани такси за управление на кредита</w:t>
            </w:r>
          </w:p>
        </w:tc>
        <w:tc>
          <w:tcPr>
            <w:tcW w:w="1985" w:type="dxa"/>
            <w:tcBorders>
              <w:top w:val="single" w:sz="6" w:space="0" w:color="auto"/>
              <w:left w:val="nil"/>
              <w:bottom w:val="single" w:sz="6" w:space="0" w:color="auto"/>
              <w:right w:val="nil"/>
            </w:tcBorders>
            <w:vAlign w:val="center"/>
          </w:tcPr>
          <w:p w14:paraId="18D09C65" w14:textId="29DFEF5A" w:rsidR="00DA6E0E" w:rsidRPr="00721663" w:rsidRDefault="00DA6E0E" w:rsidP="00DA6E0E">
            <w:pPr>
              <w:spacing w:line="240" w:lineRule="auto"/>
              <w:jc w:val="right"/>
              <w:rPr>
                <w:rFonts w:ascii="Arial" w:hAnsi="Arial" w:cs="Arial"/>
                <w:b/>
                <w:bCs/>
                <w:sz w:val="18"/>
                <w:szCs w:val="18"/>
                <w:lang w:val="bg-BG"/>
              </w:rPr>
            </w:pPr>
            <w:r>
              <w:rPr>
                <w:rFonts w:ascii="Arial" w:hAnsi="Arial" w:cs="Arial"/>
                <w:b/>
                <w:bCs/>
                <w:sz w:val="18"/>
                <w:szCs w:val="18"/>
                <w:lang w:val="en-GB" w:eastAsia="bg-BG"/>
              </w:rPr>
              <w:t>(138)</w:t>
            </w:r>
          </w:p>
        </w:tc>
        <w:tc>
          <w:tcPr>
            <w:tcW w:w="284" w:type="dxa"/>
            <w:tcBorders>
              <w:left w:val="nil"/>
              <w:right w:val="nil"/>
            </w:tcBorders>
            <w:vAlign w:val="center"/>
          </w:tcPr>
          <w:p w14:paraId="160C888A" w14:textId="77777777" w:rsidR="00DA6E0E" w:rsidRPr="00721663" w:rsidRDefault="00DA6E0E" w:rsidP="00DA6E0E">
            <w:pPr>
              <w:spacing w:line="240" w:lineRule="auto"/>
              <w:jc w:val="right"/>
              <w:rPr>
                <w:rFonts w:ascii="Arial" w:hAnsi="Arial" w:cs="Arial"/>
                <w:b/>
                <w:bCs/>
                <w:sz w:val="18"/>
                <w:szCs w:val="18"/>
                <w:lang w:val="bg-BG"/>
              </w:rPr>
            </w:pPr>
          </w:p>
        </w:tc>
        <w:tc>
          <w:tcPr>
            <w:tcW w:w="1984" w:type="dxa"/>
            <w:tcBorders>
              <w:top w:val="single" w:sz="6" w:space="0" w:color="auto"/>
              <w:left w:val="nil"/>
              <w:bottom w:val="single" w:sz="6" w:space="0" w:color="auto"/>
              <w:right w:val="nil"/>
            </w:tcBorders>
            <w:vAlign w:val="center"/>
          </w:tcPr>
          <w:p w14:paraId="79DED24C" w14:textId="5ED3BFEF" w:rsidR="00DA6E0E" w:rsidRPr="00721663" w:rsidRDefault="00DA6E0E" w:rsidP="00DA6E0E">
            <w:pPr>
              <w:spacing w:line="240" w:lineRule="auto"/>
              <w:jc w:val="right"/>
              <w:rPr>
                <w:rFonts w:ascii="Arial" w:hAnsi="Arial" w:cs="Arial"/>
                <w:b/>
                <w:bCs/>
                <w:sz w:val="18"/>
                <w:szCs w:val="18"/>
                <w:lang w:val="bg-BG"/>
              </w:rPr>
            </w:pPr>
            <w:r>
              <w:rPr>
                <w:rFonts w:ascii="Arial" w:hAnsi="Arial" w:cs="Arial"/>
                <w:b/>
                <w:bCs/>
                <w:sz w:val="18"/>
                <w:szCs w:val="18"/>
                <w:lang w:val="en-GB" w:eastAsia="bg-BG"/>
              </w:rPr>
              <w:t>(147)</w:t>
            </w:r>
          </w:p>
        </w:tc>
      </w:tr>
      <w:tr w:rsidR="00DA6E0E" w:rsidRPr="00721663" w14:paraId="68AAF33A" w14:textId="77777777" w:rsidTr="00551604">
        <w:trPr>
          <w:trHeight w:hRule="exact" w:val="283"/>
        </w:trPr>
        <w:tc>
          <w:tcPr>
            <w:tcW w:w="4536" w:type="dxa"/>
            <w:tcBorders>
              <w:top w:val="nil"/>
              <w:left w:val="nil"/>
              <w:bottom w:val="nil"/>
              <w:right w:val="nil"/>
            </w:tcBorders>
            <w:noWrap/>
            <w:vAlign w:val="center"/>
          </w:tcPr>
          <w:p w14:paraId="6FE4FFD3" w14:textId="77777777" w:rsidR="00DA6E0E" w:rsidRPr="00721663" w:rsidRDefault="00DA6E0E" w:rsidP="00DA6E0E">
            <w:pPr>
              <w:spacing w:line="240" w:lineRule="auto"/>
              <w:jc w:val="left"/>
              <w:rPr>
                <w:rFonts w:ascii="Arial" w:hAnsi="Arial" w:cs="Arial"/>
                <w:b/>
                <w:bCs/>
                <w:sz w:val="18"/>
                <w:szCs w:val="18"/>
                <w:lang w:val="bg-BG"/>
              </w:rPr>
            </w:pPr>
            <w:r w:rsidRPr="00721663">
              <w:rPr>
                <w:rFonts w:ascii="Arial" w:hAnsi="Arial" w:cs="Arial"/>
                <w:b/>
                <w:bCs/>
                <w:sz w:val="18"/>
                <w:szCs w:val="18"/>
                <w:lang w:val="bg-BG"/>
              </w:rPr>
              <w:t>Общо заеми и привлечени средства</w:t>
            </w:r>
          </w:p>
        </w:tc>
        <w:tc>
          <w:tcPr>
            <w:tcW w:w="1985" w:type="dxa"/>
            <w:tcBorders>
              <w:top w:val="single" w:sz="6" w:space="0" w:color="auto"/>
              <w:left w:val="nil"/>
              <w:bottom w:val="single" w:sz="6" w:space="0" w:color="auto"/>
              <w:right w:val="nil"/>
            </w:tcBorders>
            <w:vAlign w:val="center"/>
          </w:tcPr>
          <w:p w14:paraId="3F3722FC" w14:textId="02FCEEC3" w:rsidR="00DA6E0E" w:rsidRPr="00721663" w:rsidRDefault="00DA6E0E" w:rsidP="00DA6E0E">
            <w:pPr>
              <w:spacing w:line="240" w:lineRule="auto"/>
              <w:jc w:val="right"/>
              <w:rPr>
                <w:rFonts w:ascii="Arial" w:hAnsi="Arial" w:cs="Arial"/>
                <w:b/>
                <w:bCs/>
                <w:sz w:val="18"/>
                <w:szCs w:val="18"/>
                <w:lang w:val="bg-BG"/>
              </w:rPr>
            </w:pPr>
            <w:r>
              <w:rPr>
                <w:rFonts w:ascii="Arial" w:hAnsi="Arial" w:cs="Arial"/>
                <w:b/>
                <w:bCs/>
                <w:sz w:val="18"/>
                <w:szCs w:val="18"/>
                <w:lang w:val="en-GB" w:eastAsia="bg-BG"/>
              </w:rPr>
              <w:t>14,925</w:t>
            </w:r>
          </w:p>
        </w:tc>
        <w:tc>
          <w:tcPr>
            <w:tcW w:w="284" w:type="dxa"/>
            <w:tcBorders>
              <w:left w:val="nil"/>
              <w:right w:val="nil"/>
            </w:tcBorders>
            <w:vAlign w:val="center"/>
          </w:tcPr>
          <w:p w14:paraId="4145F596" w14:textId="77777777" w:rsidR="00DA6E0E" w:rsidRPr="00721663" w:rsidRDefault="00DA6E0E" w:rsidP="00DA6E0E">
            <w:pPr>
              <w:spacing w:line="240" w:lineRule="auto"/>
              <w:jc w:val="right"/>
              <w:rPr>
                <w:rFonts w:ascii="Arial" w:hAnsi="Arial" w:cs="Arial"/>
                <w:b/>
                <w:bCs/>
                <w:sz w:val="18"/>
                <w:szCs w:val="18"/>
                <w:lang w:val="bg-BG"/>
              </w:rPr>
            </w:pPr>
          </w:p>
        </w:tc>
        <w:tc>
          <w:tcPr>
            <w:tcW w:w="1984" w:type="dxa"/>
            <w:tcBorders>
              <w:top w:val="single" w:sz="6" w:space="0" w:color="auto"/>
              <w:left w:val="nil"/>
              <w:bottom w:val="single" w:sz="6" w:space="0" w:color="auto"/>
              <w:right w:val="nil"/>
            </w:tcBorders>
            <w:vAlign w:val="center"/>
          </w:tcPr>
          <w:p w14:paraId="33EB65BE" w14:textId="5B0433F1" w:rsidR="00DA6E0E" w:rsidRPr="00721663" w:rsidRDefault="00DA6E0E" w:rsidP="00DA6E0E">
            <w:pPr>
              <w:spacing w:line="240" w:lineRule="auto"/>
              <w:jc w:val="right"/>
              <w:rPr>
                <w:rFonts w:ascii="Arial" w:hAnsi="Arial" w:cs="Arial"/>
                <w:b/>
                <w:bCs/>
                <w:sz w:val="18"/>
                <w:szCs w:val="18"/>
                <w:lang w:val="bg-BG"/>
              </w:rPr>
            </w:pPr>
            <w:r>
              <w:rPr>
                <w:rFonts w:ascii="Arial" w:hAnsi="Arial" w:cs="Arial"/>
                <w:b/>
                <w:bCs/>
                <w:sz w:val="18"/>
                <w:szCs w:val="18"/>
                <w:lang w:val="en-GB" w:eastAsia="bg-BG"/>
              </w:rPr>
              <w:t>15,696</w:t>
            </w:r>
          </w:p>
        </w:tc>
      </w:tr>
      <w:tr w:rsidR="00DA6E0E" w:rsidRPr="00721663" w14:paraId="50C49B96" w14:textId="77777777" w:rsidTr="00551604">
        <w:trPr>
          <w:trHeight w:hRule="exact" w:val="318"/>
        </w:trPr>
        <w:tc>
          <w:tcPr>
            <w:tcW w:w="4536" w:type="dxa"/>
            <w:tcBorders>
              <w:top w:val="nil"/>
              <w:left w:val="nil"/>
              <w:bottom w:val="nil"/>
              <w:right w:val="nil"/>
            </w:tcBorders>
            <w:noWrap/>
            <w:vAlign w:val="center"/>
          </w:tcPr>
          <w:p w14:paraId="0141E3AC" w14:textId="77777777" w:rsidR="00DA6E0E" w:rsidRPr="00721663" w:rsidRDefault="00DA6E0E" w:rsidP="00DA6E0E">
            <w:pPr>
              <w:spacing w:line="240" w:lineRule="auto"/>
              <w:jc w:val="left"/>
              <w:rPr>
                <w:rFonts w:ascii="Arial" w:hAnsi="Arial" w:cs="Arial"/>
                <w:b/>
                <w:bCs/>
                <w:sz w:val="18"/>
                <w:szCs w:val="18"/>
                <w:lang w:val="bg-BG"/>
              </w:rPr>
            </w:pPr>
            <w:r w:rsidRPr="00721663">
              <w:rPr>
                <w:rFonts w:ascii="Arial" w:hAnsi="Arial" w:cs="Arial"/>
                <w:b/>
                <w:bCs/>
                <w:sz w:val="18"/>
                <w:szCs w:val="18"/>
                <w:lang w:val="bg-BG"/>
              </w:rPr>
              <w:t>Общо дългосрочен дълг</w:t>
            </w:r>
          </w:p>
        </w:tc>
        <w:tc>
          <w:tcPr>
            <w:tcW w:w="1985" w:type="dxa"/>
            <w:tcBorders>
              <w:top w:val="single" w:sz="6" w:space="0" w:color="auto"/>
              <w:left w:val="nil"/>
              <w:bottom w:val="double" w:sz="6" w:space="0" w:color="auto"/>
              <w:right w:val="nil"/>
            </w:tcBorders>
            <w:vAlign w:val="center"/>
          </w:tcPr>
          <w:p w14:paraId="57C7EAAA" w14:textId="5DADB20F" w:rsidR="00DA6E0E" w:rsidRPr="00721663" w:rsidRDefault="00DA6E0E" w:rsidP="00DA6E0E">
            <w:pPr>
              <w:spacing w:line="240" w:lineRule="auto"/>
              <w:jc w:val="right"/>
              <w:rPr>
                <w:rFonts w:ascii="Arial" w:hAnsi="Arial" w:cs="Arial"/>
                <w:b/>
                <w:bCs/>
                <w:sz w:val="18"/>
                <w:szCs w:val="18"/>
                <w:lang w:val="bg-BG"/>
              </w:rPr>
            </w:pPr>
            <w:r>
              <w:rPr>
                <w:rFonts w:ascii="Arial" w:hAnsi="Arial" w:cs="Arial"/>
                <w:b/>
                <w:bCs/>
                <w:sz w:val="18"/>
                <w:szCs w:val="18"/>
                <w:lang w:val="en-GB" w:eastAsia="bg-BG"/>
              </w:rPr>
              <w:t>13,623</w:t>
            </w:r>
          </w:p>
        </w:tc>
        <w:tc>
          <w:tcPr>
            <w:tcW w:w="284" w:type="dxa"/>
            <w:tcBorders>
              <w:left w:val="nil"/>
              <w:right w:val="nil"/>
            </w:tcBorders>
            <w:vAlign w:val="center"/>
          </w:tcPr>
          <w:p w14:paraId="2B8269E8" w14:textId="77777777" w:rsidR="00DA6E0E" w:rsidRPr="00721663" w:rsidRDefault="00DA6E0E" w:rsidP="00DA6E0E">
            <w:pPr>
              <w:spacing w:line="240" w:lineRule="auto"/>
              <w:jc w:val="right"/>
              <w:rPr>
                <w:rFonts w:ascii="Arial" w:hAnsi="Arial" w:cs="Arial"/>
                <w:b/>
                <w:bCs/>
                <w:sz w:val="18"/>
                <w:szCs w:val="18"/>
                <w:lang w:val="bg-BG"/>
              </w:rPr>
            </w:pPr>
          </w:p>
        </w:tc>
        <w:tc>
          <w:tcPr>
            <w:tcW w:w="1984" w:type="dxa"/>
            <w:tcBorders>
              <w:top w:val="single" w:sz="6" w:space="0" w:color="auto"/>
              <w:left w:val="nil"/>
              <w:bottom w:val="double" w:sz="6" w:space="0" w:color="auto"/>
              <w:right w:val="nil"/>
            </w:tcBorders>
            <w:vAlign w:val="center"/>
          </w:tcPr>
          <w:p w14:paraId="4525A8AC" w14:textId="473F8698" w:rsidR="00DA6E0E" w:rsidRPr="00721663" w:rsidRDefault="00DA6E0E" w:rsidP="00DA6E0E">
            <w:pPr>
              <w:spacing w:line="240" w:lineRule="auto"/>
              <w:jc w:val="right"/>
              <w:rPr>
                <w:rFonts w:ascii="Arial" w:hAnsi="Arial" w:cs="Arial"/>
                <w:b/>
                <w:bCs/>
                <w:sz w:val="18"/>
                <w:szCs w:val="18"/>
                <w:lang w:val="bg-BG"/>
              </w:rPr>
            </w:pPr>
            <w:r>
              <w:rPr>
                <w:rFonts w:ascii="Arial" w:hAnsi="Arial" w:cs="Arial"/>
                <w:b/>
                <w:bCs/>
                <w:sz w:val="18"/>
                <w:szCs w:val="18"/>
                <w:lang w:val="en-GB" w:eastAsia="bg-BG"/>
              </w:rPr>
              <w:t>14,493</w:t>
            </w:r>
          </w:p>
        </w:tc>
      </w:tr>
      <w:tr w:rsidR="00DA6E0E" w:rsidRPr="00721663" w14:paraId="768A4FD2" w14:textId="77777777" w:rsidTr="00551604">
        <w:trPr>
          <w:trHeight w:hRule="exact" w:val="489"/>
        </w:trPr>
        <w:tc>
          <w:tcPr>
            <w:tcW w:w="4536" w:type="dxa"/>
            <w:tcBorders>
              <w:top w:val="nil"/>
              <w:left w:val="nil"/>
              <w:bottom w:val="nil"/>
              <w:right w:val="nil"/>
            </w:tcBorders>
            <w:noWrap/>
            <w:vAlign w:val="center"/>
          </w:tcPr>
          <w:p w14:paraId="21919FD0" w14:textId="77777777" w:rsidR="00DA6E0E" w:rsidRPr="00721663" w:rsidRDefault="00DA6E0E" w:rsidP="00DA6E0E">
            <w:pPr>
              <w:spacing w:line="240" w:lineRule="auto"/>
              <w:jc w:val="left"/>
              <w:rPr>
                <w:rFonts w:ascii="Arial" w:hAnsi="Arial" w:cs="Arial"/>
                <w:b/>
                <w:bCs/>
                <w:sz w:val="18"/>
                <w:szCs w:val="18"/>
                <w:lang w:val="bg-BG"/>
              </w:rPr>
            </w:pPr>
            <w:r w:rsidRPr="00721663">
              <w:rPr>
                <w:rFonts w:ascii="Arial" w:hAnsi="Arial" w:cs="Arial"/>
                <w:b/>
                <w:bCs/>
                <w:sz w:val="18"/>
                <w:szCs w:val="18"/>
                <w:lang w:val="bg-BG"/>
              </w:rPr>
              <w:t>Краткосрочна част от общите заеми и привлечени средства</w:t>
            </w:r>
          </w:p>
        </w:tc>
        <w:tc>
          <w:tcPr>
            <w:tcW w:w="1985" w:type="dxa"/>
            <w:tcBorders>
              <w:top w:val="single" w:sz="6" w:space="0" w:color="auto"/>
              <w:left w:val="nil"/>
              <w:bottom w:val="double" w:sz="6" w:space="0" w:color="auto"/>
              <w:right w:val="nil"/>
            </w:tcBorders>
            <w:vAlign w:val="center"/>
          </w:tcPr>
          <w:p w14:paraId="6AACABA0" w14:textId="1330330E" w:rsidR="00DA6E0E" w:rsidRPr="00721663" w:rsidRDefault="00DA6E0E" w:rsidP="00DA6E0E">
            <w:pPr>
              <w:spacing w:line="240" w:lineRule="auto"/>
              <w:jc w:val="right"/>
              <w:rPr>
                <w:rFonts w:ascii="Arial" w:hAnsi="Arial" w:cs="Arial"/>
                <w:b/>
                <w:bCs/>
                <w:sz w:val="18"/>
                <w:szCs w:val="18"/>
                <w:lang w:val="bg-BG"/>
              </w:rPr>
            </w:pPr>
            <w:r>
              <w:rPr>
                <w:rFonts w:ascii="Arial" w:hAnsi="Arial" w:cs="Arial"/>
                <w:b/>
                <w:bCs/>
                <w:sz w:val="18"/>
                <w:szCs w:val="18"/>
                <w:lang w:val="en-GB" w:eastAsia="bg-BG"/>
              </w:rPr>
              <w:t>1,302</w:t>
            </w:r>
          </w:p>
        </w:tc>
        <w:tc>
          <w:tcPr>
            <w:tcW w:w="284" w:type="dxa"/>
            <w:tcBorders>
              <w:left w:val="nil"/>
              <w:right w:val="nil"/>
            </w:tcBorders>
            <w:vAlign w:val="center"/>
          </w:tcPr>
          <w:p w14:paraId="7D411ABF" w14:textId="77777777" w:rsidR="00DA6E0E" w:rsidRPr="00721663" w:rsidRDefault="00DA6E0E" w:rsidP="00DA6E0E">
            <w:pPr>
              <w:spacing w:line="240" w:lineRule="auto"/>
              <w:jc w:val="right"/>
              <w:rPr>
                <w:rFonts w:ascii="Arial" w:hAnsi="Arial" w:cs="Arial"/>
                <w:b/>
                <w:bCs/>
                <w:sz w:val="18"/>
                <w:szCs w:val="18"/>
                <w:lang w:val="bg-BG"/>
              </w:rPr>
            </w:pPr>
          </w:p>
        </w:tc>
        <w:tc>
          <w:tcPr>
            <w:tcW w:w="1984" w:type="dxa"/>
            <w:tcBorders>
              <w:top w:val="single" w:sz="6" w:space="0" w:color="auto"/>
              <w:left w:val="nil"/>
              <w:bottom w:val="double" w:sz="6" w:space="0" w:color="auto"/>
              <w:right w:val="nil"/>
            </w:tcBorders>
            <w:vAlign w:val="center"/>
          </w:tcPr>
          <w:p w14:paraId="45AC1ABB" w14:textId="54359966" w:rsidR="00DA6E0E" w:rsidRPr="00721663" w:rsidRDefault="00DA6E0E" w:rsidP="00DA6E0E">
            <w:pPr>
              <w:spacing w:line="240" w:lineRule="auto"/>
              <w:jc w:val="right"/>
              <w:rPr>
                <w:rFonts w:ascii="Arial" w:hAnsi="Arial" w:cs="Arial"/>
                <w:b/>
                <w:bCs/>
                <w:sz w:val="18"/>
                <w:szCs w:val="18"/>
                <w:lang w:val="bg-BG"/>
              </w:rPr>
            </w:pPr>
            <w:r>
              <w:rPr>
                <w:rFonts w:ascii="Arial" w:hAnsi="Arial" w:cs="Arial"/>
                <w:b/>
                <w:bCs/>
                <w:sz w:val="18"/>
                <w:szCs w:val="18"/>
                <w:lang w:val="en-GB" w:eastAsia="bg-BG"/>
              </w:rPr>
              <w:t>1,203</w:t>
            </w:r>
          </w:p>
        </w:tc>
      </w:tr>
    </w:tbl>
    <w:p w14:paraId="33252DF7" w14:textId="77777777" w:rsidR="00E07C4E" w:rsidRDefault="00E07C4E" w:rsidP="00E07C4E">
      <w:pPr>
        <w:pStyle w:val="BodyText"/>
        <w:jc w:val="left"/>
        <w:rPr>
          <w:rFonts w:ascii="Arial" w:hAnsi="Arial" w:cs="Arial"/>
          <w:b/>
          <w:bCs/>
          <w:iCs/>
          <w:sz w:val="18"/>
          <w:szCs w:val="18"/>
          <w:lang w:val="bg-BG"/>
        </w:rPr>
      </w:pPr>
    </w:p>
    <w:p w14:paraId="34612E2E" w14:textId="77777777" w:rsidR="00E07C4E" w:rsidRDefault="00E07C4E" w:rsidP="00E07C4E">
      <w:pPr>
        <w:spacing w:line="240" w:lineRule="auto"/>
        <w:jc w:val="left"/>
        <w:rPr>
          <w:rFonts w:ascii="Arial" w:hAnsi="Arial" w:cs="Arial"/>
          <w:b/>
          <w:bCs/>
          <w:iCs/>
          <w:sz w:val="18"/>
          <w:szCs w:val="18"/>
          <w:lang w:val="bg-BG"/>
        </w:rPr>
      </w:pPr>
      <w:r>
        <w:rPr>
          <w:rFonts w:ascii="Arial" w:hAnsi="Arial" w:cs="Arial"/>
          <w:b/>
          <w:bCs/>
          <w:iCs/>
          <w:sz w:val="18"/>
          <w:szCs w:val="18"/>
          <w:lang w:val="bg-BG"/>
        </w:rPr>
        <w:br w:type="page"/>
      </w:r>
    </w:p>
    <w:p w14:paraId="0F355F33" w14:textId="77777777" w:rsidR="00E07C4E" w:rsidRDefault="00E07C4E" w:rsidP="00E07C4E">
      <w:pPr>
        <w:spacing w:line="240" w:lineRule="auto"/>
        <w:jc w:val="left"/>
        <w:rPr>
          <w:rFonts w:ascii="Arial" w:hAnsi="Arial" w:cs="Arial"/>
          <w:b/>
          <w:bCs/>
          <w:iCs/>
          <w:sz w:val="18"/>
          <w:szCs w:val="18"/>
          <w:lang w:val="bg-BG"/>
        </w:rPr>
      </w:pPr>
    </w:p>
    <w:p w14:paraId="0D91DBC1" w14:textId="77777777" w:rsidR="00E07C4E" w:rsidRDefault="00E07C4E" w:rsidP="00E07C4E">
      <w:pPr>
        <w:pStyle w:val="BodyText"/>
        <w:jc w:val="left"/>
        <w:rPr>
          <w:rFonts w:ascii="Arial" w:hAnsi="Arial" w:cs="Arial"/>
          <w:b/>
          <w:lang w:val="bg-BG"/>
        </w:rPr>
      </w:pPr>
      <w:r w:rsidRPr="00721663">
        <w:rPr>
          <w:rFonts w:ascii="Arial" w:hAnsi="Arial" w:cs="Arial"/>
          <w:b/>
          <w:lang w:val="bg-BG"/>
        </w:rPr>
        <w:t>9. Задължения по получени заеми (</w:t>
      </w:r>
      <w:r w:rsidRPr="00721663">
        <w:rPr>
          <w:rFonts w:ascii="Arial" w:hAnsi="Arial" w:cs="Arial"/>
          <w:b/>
          <w:i/>
          <w:lang w:val="bg-BG"/>
        </w:rPr>
        <w:t>продължение</w:t>
      </w:r>
      <w:r w:rsidRPr="00721663">
        <w:rPr>
          <w:rFonts w:ascii="Arial" w:hAnsi="Arial" w:cs="Arial"/>
          <w:b/>
          <w:lang w:val="bg-BG"/>
        </w:rPr>
        <w:t>)</w:t>
      </w:r>
    </w:p>
    <w:p w14:paraId="37403F64" w14:textId="77777777" w:rsidR="00E07C4E" w:rsidRPr="00721663" w:rsidRDefault="00E07C4E" w:rsidP="00E07C4E">
      <w:pPr>
        <w:pStyle w:val="BodyText"/>
        <w:jc w:val="left"/>
        <w:rPr>
          <w:rFonts w:ascii="Arial" w:hAnsi="Arial" w:cs="Arial"/>
          <w:b/>
          <w:bCs/>
          <w:iCs/>
          <w:sz w:val="18"/>
          <w:szCs w:val="18"/>
          <w:lang w:val="bg-BG"/>
        </w:rPr>
      </w:pPr>
      <w:r w:rsidRPr="00721663">
        <w:rPr>
          <w:rFonts w:ascii="Arial" w:hAnsi="Arial" w:cs="Arial"/>
          <w:b/>
          <w:bCs/>
          <w:iCs/>
          <w:sz w:val="18"/>
          <w:szCs w:val="18"/>
          <w:lang w:val="bg-BG"/>
        </w:rPr>
        <w:t>Залози</w:t>
      </w:r>
    </w:p>
    <w:p w14:paraId="36CCA337" w14:textId="77777777" w:rsidR="00E07C4E" w:rsidRPr="00721663" w:rsidRDefault="00E07C4E" w:rsidP="00E07C4E">
      <w:pPr>
        <w:spacing w:after="120"/>
        <w:jc w:val="left"/>
        <w:rPr>
          <w:rFonts w:ascii="Arial" w:hAnsi="Arial"/>
          <w:sz w:val="18"/>
          <w:szCs w:val="18"/>
          <w:lang w:val="bg-BG"/>
        </w:rPr>
      </w:pPr>
      <w:r w:rsidRPr="00721663">
        <w:rPr>
          <w:rFonts w:ascii="Arial" w:hAnsi="Arial"/>
          <w:sz w:val="18"/>
          <w:szCs w:val="18"/>
          <w:lang w:val="bg-BG"/>
        </w:rPr>
        <w:t>Съгласно договор за залог на вземания Групата учредява залог върху вземания на парични средства по договор за покупко-продажба на електрическа енергия с Енерго Про Продажби АД, както и по всеки друг договор, който ще бъде сключен от Групата при упражняване на търговската й дейност по време на срока на договора за кредит. Съгласно договора за залог Групата е задължена да получава постъпления от плащания по заложените вземания по банкова сметка, открита в Уникредит Булбанк АД.</w:t>
      </w:r>
    </w:p>
    <w:p w14:paraId="639E3E2F" w14:textId="77777777" w:rsidR="00E07C4E" w:rsidRPr="00721663" w:rsidRDefault="00E07C4E" w:rsidP="00E07C4E">
      <w:pPr>
        <w:spacing w:after="120"/>
        <w:jc w:val="left"/>
        <w:rPr>
          <w:rFonts w:ascii="Arial" w:hAnsi="Arial"/>
          <w:sz w:val="18"/>
          <w:szCs w:val="18"/>
          <w:lang w:val="bg-BG"/>
        </w:rPr>
      </w:pPr>
      <w:r w:rsidRPr="00721663">
        <w:rPr>
          <w:rFonts w:ascii="Arial" w:hAnsi="Arial"/>
          <w:sz w:val="18"/>
          <w:szCs w:val="18"/>
          <w:lang w:val="bg-BG"/>
        </w:rPr>
        <w:t xml:space="preserve">Като обезпечение за своевременното погасяване на задълженията към банката са заложени дружествените дялове на ВГЕ-1 ЕООД, Еко Ветро Енерджи ЕООД и Шабла Енерджи ЕООД. Групата учредява в полза на банката и залог на своето търговско предприятие, като съвкупност от активи, права, задължения и фактически отношения. </w:t>
      </w:r>
    </w:p>
    <w:p w14:paraId="48C47CAC" w14:textId="77777777" w:rsidR="00E07C4E" w:rsidRPr="00721663" w:rsidRDefault="00E07C4E" w:rsidP="00E07C4E">
      <w:pPr>
        <w:spacing w:after="120"/>
        <w:jc w:val="left"/>
        <w:rPr>
          <w:rFonts w:ascii="Arial" w:hAnsi="Arial"/>
          <w:sz w:val="18"/>
          <w:szCs w:val="18"/>
          <w:lang w:val="bg-BG"/>
        </w:rPr>
      </w:pPr>
      <w:r w:rsidRPr="00721663">
        <w:rPr>
          <w:rFonts w:ascii="Arial" w:hAnsi="Arial"/>
          <w:sz w:val="18"/>
          <w:szCs w:val="18"/>
          <w:lang w:val="bg-BG"/>
        </w:rPr>
        <w:t>На 1 септември 2010 г. Групата сключва договор за доставка, проектиране и изработване на вятърни турбини с „Вестас Консорциум“, като Групата залага в полза на банката всички права и вземания, произтичащи от този договор.</w:t>
      </w:r>
    </w:p>
    <w:p w14:paraId="34EFA608" w14:textId="77777777" w:rsidR="00E07C4E" w:rsidRPr="00721663" w:rsidRDefault="00E07C4E" w:rsidP="00E07C4E">
      <w:pPr>
        <w:spacing w:after="120"/>
        <w:jc w:val="left"/>
        <w:rPr>
          <w:rFonts w:ascii="Arial" w:hAnsi="Arial"/>
          <w:sz w:val="18"/>
          <w:szCs w:val="18"/>
          <w:lang w:val="bg-BG"/>
        </w:rPr>
      </w:pPr>
      <w:r w:rsidRPr="00721663">
        <w:rPr>
          <w:rFonts w:ascii="Arial" w:hAnsi="Arial"/>
          <w:sz w:val="18"/>
          <w:szCs w:val="18"/>
          <w:lang w:val="bg-BG"/>
        </w:rPr>
        <w:t>Съгласно нотариален акт за учредяване на договорна ипотека върху недвижими имоти от 25 юни 2014 г. Групата ипотекира в полза на банката своите дълготрайни материални активи.</w:t>
      </w:r>
    </w:p>
    <w:p w14:paraId="5A0E623A" w14:textId="274AC36F" w:rsidR="00E07C4E" w:rsidRDefault="00E07C4E" w:rsidP="00E07C4E">
      <w:pPr>
        <w:spacing w:line="240" w:lineRule="auto"/>
        <w:jc w:val="left"/>
        <w:rPr>
          <w:rFonts w:ascii="Arial" w:hAnsi="Arial" w:cs="Arial"/>
          <w:b/>
          <w:lang w:val="bg-BG"/>
        </w:rPr>
      </w:pPr>
    </w:p>
    <w:p w14:paraId="74DB2030" w14:textId="77777777" w:rsidR="00E07C4E" w:rsidRPr="00721663" w:rsidRDefault="00E07C4E" w:rsidP="00E07C4E">
      <w:pPr>
        <w:pStyle w:val="Heading1"/>
      </w:pPr>
      <w:bookmarkStart w:id="41" w:name="_Toc490647402"/>
      <w:r w:rsidRPr="00721663">
        <w:t xml:space="preserve">10. </w:t>
      </w:r>
      <w:bookmarkEnd w:id="40"/>
      <w:r w:rsidRPr="00721663">
        <w:t>Търговски и други вземания</w:t>
      </w:r>
      <w:bookmarkEnd w:id="41"/>
    </w:p>
    <w:tbl>
      <w:tblPr>
        <w:tblW w:w="8789" w:type="dxa"/>
        <w:tblBorders>
          <w:bottom w:val="double" w:sz="6" w:space="0" w:color="auto"/>
        </w:tblBorders>
        <w:tblLayout w:type="fixed"/>
        <w:tblCellMar>
          <w:left w:w="0" w:type="dxa"/>
          <w:right w:w="0" w:type="dxa"/>
        </w:tblCellMar>
        <w:tblLook w:val="0000" w:firstRow="0" w:lastRow="0" w:firstColumn="0" w:lastColumn="0" w:noHBand="0" w:noVBand="0"/>
      </w:tblPr>
      <w:tblGrid>
        <w:gridCol w:w="4820"/>
        <w:gridCol w:w="1984"/>
        <w:gridCol w:w="142"/>
        <w:gridCol w:w="1843"/>
      </w:tblGrid>
      <w:tr w:rsidR="00E07C4E" w:rsidRPr="00721663" w14:paraId="6CD815CE" w14:textId="77777777" w:rsidTr="00551604">
        <w:trPr>
          <w:trHeight w:hRule="exact" w:val="506"/>
        </w:trPr>
        <w:tc>
          <w:tcPr>
            <w:tcW w:w="4820" w:type="dxa"/>
            <w:tcBorders>
              <w:bottom w:val="nil"/>
            </w:tcBorders>
            <w:noWrap/>
            <w:vAlign w:val="bottom"/>
          </w:tcPr>
          <w:p w14:paraId="156EB878" w14:textId="77777777" w:rsidR="00E07C4E" w:rsidRPr="00721663" w:rsidRDefault="00E07C4E" w:rsidP="00551604">
            <w:pPr>
              <w:jc w:val="left"/>
              <w:rPr>
                <w:rFonts w:ascii="Arial" w:eastAsia="Arial Unicode MS" w:hAnsi="Arial" w:cs="Arial"/>
                <w:sz w:val="18"/>
                <w:szCs w:val="18"/>
                <w:lang w:val="bg-BG"/>
              </w:rPr>
            </w:pPr>
          </w:p>
        </w:tc>
        <w:tc>
          <w:tcPr>
            <w:tcW w:w="1984" w:type="dxa"/>
            <w:tcBorders>
              <w:bottom w:val="single" w:sz="4" w:space="0" w:color="auto"/>
            </w:tcBorders>
            <w:vAlign w:val="bottom"/>
          </w:tcPr>
          <w:p w14:paraId="53A77DC7" w14:textId="204E9E20" w:rsidR="00E07C4E" w:rsidRPr="00721663" w:rsidRDefault="00144930" w:rsidP="00551604">
            <w:pPr>
              <w:jc w:val="right"/>
              <w:rPr>
                <w:rFonts w:ascii="Arial" w:hAnsi="Arial" w:cs="Arial"/>
                <w:b/>
                <w:bCs/>
                <w:sz w:val="18"/>
                <w:szCs w:val="18"/>
                <w:lang w:val="bg-BG"/>
              </w:rPr>
            </w:pPr>
            <w:r>
              <w:rPr>
                <w:rFonts w:ascii="Arial" w:hAnsi="Arial" w:cs="Arial"/>
                <w:b/>
                <w:bCs/>
                <w:sz w:val="18"/>
                <w:szCs w:val="18"/>
                <w:lang w:val="bg-BG"/>
              </w:rPr>
              <w:t>30 юни 2017</w:t>
            </w:r>
          </w:p>
        </w:tc>
        <w:tc>
          <w:tcPr>
            <w:tcW w:w="142" w:type="dxa"/>
            <w:tcBorders>
              <w:bottom w:val="nil"/>
            </w:tcBorders>
            <w:vAlign w:val="bottom"/>
          </w:tcPr>
          <w:p w14:paraId="5B911F3F" w14:textId="77777777" w:rsidR="00E07C4E" w:rsidRPr="00721663" w:rsidRDefault="00E07C4E" w:rsidP="00551604">
            <w:pPr>
              <w:jc w:val="right"/>
              <w:rPr>
                <w:rFonts w:ascii="Arial" w:hAnsi="Arial" w:cs="Arial"/>
                <w:b/>
                <w:bCs/>
                <w:sz w:val="18"/>
                <w:szCs w:val="18"/>
                <w:lang w:val="bg-BG"/>
              </w:rPr>
            </w:pPr>
          </w:p>
        </w:tc>
        <w:tc>
          <w:tcPr>
            <w:tcW w:w="1843" w:type="dxa"/>
            <w:tcBorders>
              <w:bottom w:val="single" w:sz="4" w:space="0" w:color="auto"/>
            </w:tcBorders>
            <w:vAlign w:val="bottom"/>
          </w:tcPr>
          <w:p w14:paraId="69689990" w14:textId="1A2BD6BC" w:rsidR="00E07C4E" w:rsidRPr="00721663" w:rsidRDefault="00144930" w:rsidP="00551604">
            <w:pPr>
              <w:tabs>
                <w:tab w:val="left" w:pos="1343"/>
              </w:tabs>
              <w:ind w:right="34"/>
              <w:jc w:val="right"/>
              <w:rPr>
                <w:rFonts w:ascii="Arial" w:hAnsi="Arial" w:cs="Arial"/>
                <w:b/>
                <w:bCs/>
                <w:sz w:val="18"/>
                <w:szCs w:val="18"/>
                <w:lang w:val="bg-BG"/>
              </w:rPr>
            </w:pPr>
            <w:r>
              <w:rPr>
                <w:rFonts w:ascii="Arial" w:hAnsi="Arial" w:cs="Arial"/>
                <w:b/>
                <w:bCs/>
                <w:sz w:val="18"/>
                <w:szCs w:val="18"/>
                <w:lang w:val="bg-BG"/>
              </w:rPr>
              <w:t>31 декември 2016</w:t>
            </w:r>
          </w:p>
        </w:tc>
      </w:tr>
      <w:tr w:rsidR="00E07C4E" w:rsidRPr="00721663" w14:paraId="3DECE804" w14:textId="77777777" w:rsidTr="00551604">
        <w:trPr>
          <w:trHeight w:hRule="exact" w:val="284"/>
        </w:trPr>
        <w:tc>
          <w:tcPr>
            <w:tcW w:w="4820" w:type="dxa"/>
            <w:tcBorders>
              <w:bottom w:val="nil"/>
            </w:tcBorders>
            <w:noWrap/>
            <w:vAlign w:val="bottom"/>
          </w:tcPr>
          <w:p w14:paraId="38C980A3" w14:textId="77777777" w:rsidR="00E07C4E" w:rsidRPr="00721663" w:rsidRDefault="00E07C4E" w:rsidP="00551604">
            <w:pPr>
              <w:jc w:val="left"/>
              <w:rPr>
                <w:rFonts w:ascii="Arial" w:eastAsia="Arial Unicode MS" w:hAnsi="Arial" w:cs="Arial"/>
                <w:sz w:val="18"/>
                <w:szCs w:val="18"/>
                <w:lang w:val="bg-BG"/>
              </w:rPr>
            </w:pPr>
            <w:r w:rsidRPr="00721663">
              <w:rPr>
                <w:rFonts w:ascii="Arial" w:eastAsia="Arial Unicode MS" w:hAnsi="Arial" w:cs="Arial"/>
                <w:sz w:val="18"/>
                <w:szCs w:val="18"/>
                <w:lang w:val="bg-BG"/>
              </w:rPr>
              <w:t xml:space="preserve"> </w:t>
            </w:r>
          </w:p>
        </w:tc>
        <w:tc>
          <w:tcPr>
            <w:tcW w:w="1984" w:type="dxa"/>
            <w:tcBorders>
              <w:top w:val="single" w:sz="4" w:space="0" w:color="auto"/>
            </w:tcBorders>
            <w:vAlign w:val="bottom"/>
          </w:tcPr>
          <w:p w14:paraId="2558D059" w14:textId="77777777" w:rsidR="00E07C4E" w:rsidRPr="00721663" w:rsidRDefault="00E07C4E" w:rsidP="00551604">
            <w:pPr>
              <w:jc w:val="right"/>
              <w:rPr>
                <w:rFonts w:ascii="Arial" w:eastAsia="Arial Unicode MS" w:hAnsi="Arial" w:cs="Arial"/>
                <w:sz w:val="18"/>
                <w:szCs w:val="18"/>
                <w:lang w:val="bg-BG"/>
              </w:rPr>
            </w:pPr>
            <w:r w:rsidRPr="00721663">
              <w:rPr>
                <w:rFonts w:ascii="Arial" w:hAnsi="Arial" w:cs="Arial"/>
                <w:b/>
                <w:bCs/>
                <w:sz w:val="18"/>
                <w:szCs w:val="18"/>
                <w:lang w:val="bg-BG"/>
              </w:rPr>
              <w:t>хил. лв.</w:t>
            </w:r>
          </w:p>
        </w:tc>
        <w:tc>
          <w:tcPr>
            <w:tcW w:w="142" w:type="dxa"/>
            <w:tcBorders>
              <w:top w:val="nil"/>
            </w:tcBorders>
            <w:vAlign w:val="bottom"/>
          </w:tcPr>
          <w:p w14:paraId="5B3DA5B8" w14:textId="77777777" w:rsidR="00E07C4E" w:rsidRPr="00721663" w:rsidRDefault="00E07C4E" w:rsidP="00551604">
            <w:pPr>
              <w:jc w:val="right"/>
              <w:rPr>
                <w:rFonts w:ascii="Arial" w:hAnsi="Arial" w:cs="Arial"/>
                <w:b/>
                <w:bCs/>
                <w:sz w:val="18"/>
                <w:szCs w:val="18"/>
                <w:lang w:val="bg-BG"/>
              </w:rPr>
            </w:pPr>
          </w:p>
        </w:tc>
        <w:tc>
          <w:tcPr>
            <w:tcW w:w="1843" w:type="dxa"/>
            <w:tcBorders>
              <w:top w:val="single" w:sz="4" w:space="0" w:color="auto"/>
            </w:tcBorders>
            <w:vAlign w:val="bottom"/>
          </w:tcPr>
          <w:p w14:paraId="670B774E" w14:textId="77777777" w:rsidR="00E07C4E" w:rsidRPr="00721663" w:rsidRDefault="00E07C4E" w:rsidP="00551604">
            <w:pPr>
              <w:jc w:val="right"/>
              <w:rPr>
                <w:rFonts w:ascii="Arial" w:eastAsia="Arial Unicode MS" w:hAnsi="Arial" w:cs="Arial"/>
                <w:sz w:val="18"/>
                <w:szCs w:val="18"/>
                <w:lang w:val="bg-BG"/>
              </w:rPr>
            </w:pPr>
            <w:r w:rsidRPr="00721663">
              <w:rPr>
                <w:rFonts w:ascii="Arial" w:hAnsi="Arial" w:cs="Arial"/>
                <w:b/>
                <w:bCs/>
                <w:sz w:val="18"/>
                <w:szCs w:val="18"/>
                <w:lang w:val="bg-BG"/>
              </w:rPr>
              <w:t>хил. лв.</w:t>
            </w:r>
          </w:p>
        </w:tc>
      </w:tr>
      <w:tr w:rsidR="00DA6E0E" w:rsidRPr="00721663" w14:paraId="05B1132A" w14:textId="77777777" w:rsidTr="00551604">
        <w:trPr>
          <w:trHeight w:hRule="exact" w:val="318"/>
        </w:trPr>
        <w:tc>
          <w:tcPr>
            <w:tcW w:w="4820" w:type="dxa"/>
            <w:tcBorders>
              <w:bottom w:val="nil"/>
            </w:tcBorders>
            <w:noWrap/>
            <w:vAlign w:val="center"/>
          </w:tcPr>
          <w:p w14:paraId="448DC4E2" w14:textId="77777777" w:rsidR="00DA6E0E" w:rsidRPr="00721663" w:rsidRDefault="00DA6E0E" w:rsidP="00DA6E0E">
            <w:pPr>
              <w:ind w:right="141"/>
              <w:jc w:val="left"/>
              <w:rPr>
                <w:rFonts w:ascii="Arial" w:hAnsi="Arial" w:cs="Arial"/>
                <w:sz w:val="18"/>
                <w:szCs w:val="18"/>
                <w:lang w:val="bg-BG"/>
              </w:rPr>
            </w:pPr>
            <w:r w:rsidRPr="00721663">
              <w:rPr>
                <w:rFonts w:ascii="Arial" w:hAnsi="Arial" w:cs="Arial"/>
                <w:sz w:val="18"/>
                <w:szCs w:val="18"/>
                <w:lang w:val="bg-BG"/>
              </w:rPr>
              <w:t>Вземания от клиенти</w:t>
            </w:r>
          </w:p>
        </w:tc>
        <w:tc>
          <w:tcPr>
            <w:tcW w:w="1984" w:type="dxa"/>
            <w:tcBorders>
              <w:bottom w:val="nil"/>
            </w:tcBorders>
            <w:vAlign w:val="center"/>
          </w:tcPr>
          <w:p w14:paraId="0DC6ED5E" w14:textId="4F40AB80" w:rsidR="00DA6E0E" w:rsidRPr="00BC2D1E" w:rsidRDefault="00DA6E0E" w:rsidP="00DA6E0E">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248</w:t>
            </w:r>
          </w:p>
        </w:tc>
        <w:tc>
          <w:tcPr>
            <w:tcW w:w="142" w:type="dxa"/>
            <w:tcBorders>
              <w:bottom w:val="nil"/>
            </w:tcBorders>
            <w:vAlign w:val="center"/>
          </w:tcPr>
          <w:p w14:paraId="238CEBC4" w14:textId="77777777" w:rsidR="00DA6E0E" w:rsidRPr="00721663" w:rsidRDefault="00DA6E0E" w:rsidP="00DA6E0E">
            <w:pPr>
              <w:ind w:right="142"/>
              <w:jc w:val="right"/>
              <w:rPr>
                <w:rFonts w:ascii="Arial" w:eastAsia="Arial Unicode MS" w:hAnsi="Arial" w:cs="Arial"/>
                <w:sz w:val="18"/>
                <w:szCs w:val="18"/>
                <w:lang w:val="bg-BG"/>
              </w:rPr>
            </w:pPr>
          </w:p>
        </w:tc>
        <w:tc>
          <w:tcPr>
            <w:tcW w:w="1843" w:type="dxa"/>
            <w:tcBorders>
              <w:bottom w:val="nil"/>
            </w:tcBorders>
            <w:vAlign w:val="center"/>
          </w:tcPr>
          <w:p w14:paraId="703D9604" w14:textId="45003A1F" w:rsidR="00DA6E0E" w:rsidRPr="00BC2D1E" w:rsidRDefault="00DA6E0E" w:rsidP="00DA6E0E">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498</w:t>
            </w:r>
          </w:p>
        </w:tc>
      </w:tr>
      <w:tr w:rsidR="00DA6E0E" w:rsidRPr="00721663" w14:paraId="17AED903" w14:textId="77777777" w:rsidTr="00551604">
        <w:trPr>
          <w:trHeight w:hRule="exact" w:val="318"/>
        </w:trPr>
        <w:tc>
          <w:tcPr>
            <w:tcW w:w="4820" w:type="dxa"/>
            <w:tcBorders>
              <w:bottom w:val="nil"/>
            </w:tcBorders>
            <w:noWrap/>
            <w:vAlign w:val="center"/>
          </w:tcPr>
          <w:p w14:paraId="3B05097E" w14:textId="66DFCB1C" w:rsidR="00DA6E0E" w:rsidRPr="00721663" w:rsidRDefault="00DA6E0E" w:rsidP="00DA6E0E">
            <w:pPr>
              <w:ind w:right="141"/>
              <w:jc w:val="left"/>
              <w:rPr>
                <w:rFonts w:ascii="Arial" w:hAnsi="Arial" w:cs="Arial"/>
                <w:sz w:val="18"/>
                <w:szCs w:val="18"/>
                <w:lang w:val="bg-BG"/>
              </w:rPr>
            </w:pPr>
            <w:r>
              <w:rPr>
                <w:rFonts w:ascii="Arial" w:hAnsi="Arial" w:cs="Arial"/>
                <w:sz w:val="18"/>
                <w:szCs w:val="18"/>
                <w:lang w:val="bg-BG"/>
              </w:rPr>
              <w:t>Присъдени вземания</w:t>
            </w:r>
          </w:p>
        </w:tc>
        <w:tc>
          <w:tcPr>
            <w:tcW w:w="1984" w:type="dxa"/>
            <w:tcBorders>
              <w:bottom w:val="nil"/>
            </w:tcBorders>
            <w:vAlign w:val="center"/>
          </w:tcPr>
          <w:p w14:paraId="4B49F599" w14:textId="34C28CE8" w:rsidR="00DA6E0E" w:rsidRDefault="00DA6E0E" w:rsidP="00DA6E0E">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w:t>
            </w:r>
          </w:p>
        </w:tc>
        <w:tc>
          <w:tcPr>
            <w:tcW w:w="142" w:type="dxa"/>
            <w:tcBorders>
              <w:bottom w:val="nil"/>
            </w:tcBorders>
            <w:vAlign w:val="center"/>
          </w:tcPr>
          <w:p w14:paraId="6F5FCBB7" w14:textId="77777777" w:rsidR="00DA6E0E" w:rsidRPr="00721663" w:rsidRDefault="00DA6E0E" w:rsidP="00DA6E0E">
            <w:pPr>
              <w:ind w:right="142"/>
              <w:jc w:val="right"/>
              <w:rPr>
                <w:rFonts w:ascii="Arial" w:eastAsia="Arial Unicode MS" w:hAnsi="Arial" w:cs="Arial"/>
                <w:sz w:val="18"/>
                <w:szCs w:val="18"/>
                <w:lang w:val="bg-BG"/>
              </w:rPr>
            </w:pPr>
          </w:p>
        </w:tc>
        <w:tc>
          <w:tcPr>
            <w:tcW w:w="1843" w:type="dxa"/>
            <w:tcBorders>
              <w:bottom w:val="nil"/>
            </w:tcBorders>
            <w:vAlign w:val="center"/>
          </w:tcPr>
          <w:p w14:paraId="49172337" w14:textId="26A46B5C" w:rsidR="00DA6E0E" w:rsidRDefault="00DA6E0E" w:rsidP="00DA6E0E">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165</w:t>
            </w:r>
          </w:p>
        </w:tc>
      </w:tr>
      <w:tr w:rsidR="00DA6E0E" w:rsidRPr="00721663" w14:paraId="5714384C" w14:textId="77777777" w:rsidTr="00551604">
        <w:trPr>
          <w:trHeight w:hRule="exact" w:val="318"/>
        </w:trPr>
        <w:tc>
          <w:tcPr>
            <w:tcW w:w="4820" w:type="dxa"/>
            <w:tcBorders>
              <w:bottom w:val="nil"/>
            </w:tcBorders>
            <w:noWrap/>
            <w:vAlign w:val="center"/>
          </w:tcPr>
          <w:p w14:paraId="7538E189" w14:textId="77777777" w:rsidR="00DA6E0E" w:rsidRPr="00721663" w:rsidRDefault="00DA6E0E" w:rsidP="00DA6E0E">
            <w:pPr>
              <w:ind w:right="141"/>
              <w:jc w:val="left"/>
              <w:rPr>
                <w:rFonts w:ascii="Arial" w:hAnsi="Arial" w:cs="Arial"/>
                <w:sz w:val="18"/>
                <w:szCs w:val="18"/>
                <w:lang w:val="bg-BG"/>
              </w:rPr>
            </w:pPr>
            <w:r w:rsidRPr="00721663">
              <w:rPr>
                <w:rFonts w:ascii="Arial" w:hAnsi="Arial" w:cs="Arial"/>
                <w:sz w:val="18"/>
                <w:szCs w:val="18"/>
                <w:lang w:val="bg-BG"/>
              </w:rPr>
              <w:t>Разходи за бъдещи периоди</w:t>
            </w:r>
          </w:p>
        </w:tc>
        <w:tc>
          <w:tcPr>
            <w:tcW w:w="1984" w:type="dxa"/>
            <w:tcBorders>
              <w:bottom w:val="nil"/>
            </w:tcBorders>
            <w:vAlign w:val="center"/>
          </w:tcPr>
          <w:p w14:paraId="22313637" w14:textId="7712D5C0" w:rsidR="00DA6E0E" w:rsidRPr="00BC2D1E" w:rsidRDefault="00DA6E0E" w:rsidP="00DA6E0E">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32</w:t>
            </w:r>
          </w:p>
        </w:tc>
        <w:tc>
          <w:tcPr>
            <w:tcW w:w="142" w:type="dxa"/>
            <w:tcBorders>
              <w:bottom w:val="nil"/>
            </w:tcBorders>
            <w:vAlign w:val="center"/>
          </w:tcPr>
          <w:p w14:paraId="54F98FC1" w14:textId="77777777" w:rsidR="00DA6E0E" w:rsidRPr="00721663" w:rsidRDefault="00DA6E0E" w:rsidP="00DA6E0E">
            <w:pPr>
              <w:ind w:right="142"/>
              <w:jc w:val="right"/>
              <w:rPr>
                <w:rFonts w:ascii="Arial" w:eastAsia="Arial Unicode MS" w:hAnsi="Arial" w:cs="Arial"/>
                <w:sz w:val="18"/>
                <w:szCs w:val="18"/>
                <w:lang w:val="bg-BG"/>
              </w:rPr>
            </w:pPr>
          </w:p>
        </w:tc>
        <w:tc>
          <w:tcPr>
            <w:tcW w:w="1843" w:type="dxa"/>
            <w:tcBorders>
              <w:bottom w:val="nil"/>
            </w:tcBorders>
            <w:vAlign w:val="center"/>
          </w:tcPr>
          <w:p w14:paraId="050CCCAA" w14:textId="7B58BF63" w:rsidR="00DA6E0E" w:rsidRPr="00BC2D1E" w:rsidRDefault="00DA6E0E" w:rsidP="00DA6E0E">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63</w:t>
            </w:r>
          </w:p>
        </w:tc>
      </w:tr>
      <w:tr w:rsidR="00DA6E0E" w:rsidRPr="00721663" w14:paraId="796CC0B1" w14:textId="77777777" w:rsidTr="00551604">
        <w:trPr>
          <w:trHeight w:hRule="exact" w:val="318"/>
        </w:trPr>
        <w:tc>
          <w:tcPr>
            <w:tcW w:w="4820" w:type="dxa"/>
            <w:tcBorders>
              <w:bottom w:val="nil"/>
            </w:tcBorders>
            <w:noWrap/>
            <w:vAlign w:val="center"/>
          </w:tcPr>
          <w:p w14:paraId="3DC0B1B2" w14:textId="77777777" w:rsidR="00DA6E0E" w:rsidRPr="00721663" w:rsidRDefault="00DA6E0E" w:rsidP="00DA6E0E">
            <w:pPr>
              <w:ind w:right="141"/>
              <w:jc w:val="left"/>
              <w:rPr>
                <w:rFonts w:ascii="Arial" w:hAnsi="Arial" w:cs="Arial"/>
                <w:sz w:val="18"/>
                <w:szCs w:val="18"/>
                <w:lang w:val="bg-BG"/>
              </w:rPr>
            </w:pPr>
            <w:r w:rsidRPr="00721663">
              <w:rPr>
                <w:rFonts w:ascii="Arial" w:hAnsi="Arial" w:cs="Arial"/>
                <w:sz w:val="18"/>
                <w:szCs w:val="18"/>
                <w:lang w:val="bg-BG"/>
              </w:rPr>
              <w:t>ДДС за възстановяване</w:t>
            </w:r>
          </w:p>
        </w:tc>
        <w:tc>
          <w:tcPr>
            <w:tcW w:w="1984" w:type="dxa"/>
            <w:tcBorders>
              <w:bottom w:val="nil"/>
            </w:tcBorders>
            <w:vAlign w:val="center"/>
          </w:tcPr>
          <w:p w14:paraId="246DDDB2" w14:textId="7285B0E2" w:rsidR="00DA6E0E" w:rsidRPr="00BC2D1E" w:rsidRDefault="00DA6E0E" w:rsidP="00DA6E0E">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w:t>
            </w:r>
          </w:p>
        </w:tc>
        <w:tc>
          <w:tcPr>
            <w:tcW w:w="142" w:type="dxa"/>
            <w:tcBorders>
              <w:bottom w:val="nil"/>
            </w:tcBorders>
            <w:vAlign w:val="center"/>
          </w:tcPr>
          <w:p w14:paraId="25DEBBF3" w14:textId="77777777" w:rsidR="00DA6E0E" w:rsidRPr="00721663" w:rsidRDefault="00DA6E0E" w:rsidP="00DA6E0E">
            <w:pPr>
              <w:ind w:right="142"/>
              <w:jc w:val="right"/>
              <w:rPr>
                <w:rFonts w:ascii="Arial" w:eastAsia="Arial Unicode MS" w:hAnsi="Arial" w:cs="Arial"/>
                <w:sz w:val="18"/>
                <w:szCs w:val="18"/>
                <w:lang w:val="bg-BG"/>
              </w:rPr>
            </w:pPr>
          </w:p>
        </w:tc>
        <w:tc>
          <w:tcPr>
            <w:tcW w:w="1843" w:type="dxa"/>
            <w:tcBorders>
              <w:bottom w:val="nil"/>
            </w:tcBorders>
            <w:vAlign w:val="center"/>
          </w:tcPr>
          <w:p w14:paraId="6CDD1B49" w14:textId="5BFD8F0C" w:rsidR="00DA6E0E" w:rsidRPr="00BC2D1E" w:rsidRDefault="00DA6E0E" w:rsidP="00DA6E0E">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1</w:t>
            </w:r>
          </w:p>
        </w:tc>
      </w:tr>
      <w:tr w:rsidR="00DA6E0E" w:rsidRPr="00721663" w14:paraId="1D110543" w14:textId="77777777" w:rsidTr="00551604">
        <w:trPr>
          <w:trHeight w:hRule="exact" w:val="318"/>
        </w:trPr>
        <w:tc>
          <w:tcPr>
            <w:tcW w:w="4820" w:type="dxa"/>
            <w:tcBorders>
              <w:bottom w:val="nil"/>
            </w:tcBorders>
            <w:noWrap/>
            <w:vAlign w:val="center"/>
          </w:tcPr>
          <w:p w14:paraId="5C294C32" w14:textId="77777777" w:rsidR="00DA6E0E" w:rsidRPr="00721663" w:rsidRDefault="00DA6E0E" w:rsidP="00DA6E0E">
            <w:pPr>
              <w:jc w:val="left"/>
              <w:rPr>
                <w:rFonts w:ascii="Arial" w:hAnsi="Arial" w:cs="Arial"/>
                <w:sz w:val="18"/>
                <w:szCs w:val="18"/>
                <w:lang w:val="bg-BG"/>
              </w:rPr>
            </w:pPr>
          </w:p>
        </w:tc>
        <w:tc>
          <w:tcPr>
            <w:tcW w:w="1984" w:type="dxa"/>
            <w:tcBorders>
              <w:top w:val="single" w:sz="4" w:space="0" w:color="auto"/>
              <w:bottom w:val="double" w:sz="4" w:space="0" w:color="auto"/>
            </w:tcBorders>
            <w:vAlign w:val="center"/>
          </w:tcPr>
          <w:p w14:paraId="375D0AC8" w14:textId="3BCC9304" w:rsidR="00DA6E0E" w:rsidRPr="00BC2D1E" w:rsidRDefault="00DA6E0E" w:rsidP="00DA6E0E">
            <w:pPr>
              <w:ind w:right="142"/>
              <w:jc w:val="right"/>
              <w:rPr>
                <w:rFonts w:ascii="Arial" w:eastAsia="Arial Unicode MS" w:hAnsi="Arial" w:cs="Arial"/>
                <w:b/>
                <w:sz w:val="18"/>
                <w:szCs w:val="18"/>
                <w:lang w:val="en-GB"/>
              </w:rPr>
            </w:pPr>
            <w:r>
              <w:rPr>
                <w:rFonts w:ascii="Arial" w:eastAsia="Arial Unicode MS" w:hAnsi="Arial" w:cs="Arial"/>
                <w:b/>
                <w:sz w:val="18"/>
                <w:szCs w:val="18"/>
                <w:lang w:val="en-GB" w:eastAsia="bg-BG"/>
              </w:rPr>
              <w:t>280</w:t>
            </w:r>
          </w:p>
        </w:tc>
        <w:tc>
          <w:tcPr>
            <w:tcW w:w="142" w:type="dxa"/>
            <w:tcBorders>
              <w:top w:val="nil"/>
              <w:bottom w:val="nil"/>
            </w:tcBorders>
            <w:vAlign w:val="center"/>
          </w:tcPr>
          <w:p w14:paraId="077374B9" w14:textId="77777777" w:rsidR="00DA6E0E" w:rsidRPr="00721663" w:rsidRDefault="00DA6E0E" w:rsidP="00DA6E0E">
            <w:pPr>
              <w:ind w:right="142"/>
              <w:jc w:val="right"/>
              <w:rPr>
                <w:rFonts w:ascii="Arial" w:eastAsia="Arial Unicode MS" w:hAnsi="Arial" w:cs="Arial"/>
                <w:b/>
                <w:sz w:val="18"/>
                <w:szCs w:val="18"/>
                <w:lang w:val="bg-BG"/>
              </w:rPr>
            </w:pPr>
          </w:p>
        </w:tc>
        <w:tc>
          <w:tcPr>
            <w:tcW w:w="1843" w:type="dxa"/>
            <w:tcBorders>
              <w:top w:val="single" w:sz="4" w:space="0" w:color="auto"/>
              <w:bottom w:val="double" w:sz="4" w:space="0" w:color="auto"/>
            </w:tcBorders>
            <w:vAlign w:val="center"/>
          </w:tcPr>
          <w:p w14:paraId="73519D6B" w14:textId="16A0A784" w:rsidR="00DA6E0E" w:rsidRPr="00BC2D1E" w:rsidRDefault="00DA6E0E" w:rsidP="00DA6E0E">
            <w:pPr>
              <w:ind w:right="142"/>
              <w:jc w:val="right"/>
              <w:rPr>
                <w:rFonts w:ascii="Arial" w:eastAsia="Arial Unicode MS" w:hAnsi="Arial" w:cs="Arial"/>
                <w:b/>
                <w:sz w:val="18"/>
                <w:szCs w:val="18"/>
                <w:lang w:val="en-GB"/>
              </w:rPr>
            </w:pPr>
            <w:r>
              <w:rPr>
                <w:rFonts w:ascii="Arial" w:eastAsia="Arial Unicode MS" w:hAnsi="Arial" w:cs="Arial"/>
                <w:b/>
                <w:sz w:val="18"/>
                <w:szCs w:val="18"/>
                <w:lang w:val="en-GB" w:eastAsia="bg-BG"/>
              </w:rPr>
              <w:t>727</w:t>
            </w:r>
          </w:p>
        </w:tc>
      </w:tr>
    </w:tbl>
    <w:p w14:paraId="3103AAB1" w14:textId="2043E70C" w:rsidR="00E07C4E" w:rsidRPr="00721663" w:rsidRDefault="00E07C4E" w:rsidP="00E07C4E">
      <w:pPr>
        <w:spacing w:before="120" w:after="120"/>
        <w:jc w:val="left"/>
        <w:rPr>
          <w:rFonts w:ascii="Arial" w:hAnsi="Arial" w:cs="Arial"/>
          <w:sz w:val="18"/>
          <w:szCs w:val="18"/>
          <w:lang w:val="bg-BG"/>
        </w:rPr>
      </w:pPr>
      <w:r w:rsidRPr="00721663">
        <w:rPr>
          <w:rFonts w:ascii="Arial" w:hAnsi="Arial" w:cs="Arial"/>
          <w:sz w:val="18"/>
          <w:szCs w:val="18"/>
          <w:lang w:val="bg-BG"/>
        </w:rPr>
        <w:t xml:space="preserve">Търговските вземания не са лихвоносни. Към </w:t>
      </w:r>
      <w:r w:rsidR="00144930">
        <w:rPr>
          <w:rFonts w:ascii="Arial" w:hAnsi="Arial" w:cs="Arial"/>
          <w:sz w:val="18"/>
          <w:szCs w:val="18"/>
          <w:lang w:val="bg-BG"/>
        </w:rPr>
        <w:t>31 декември 2016</w:t>
      </w:r>
      <w:r w:rsidRPr="00721663">
        <w:rPr>
          <w:rFonts w:ascii="Arial" w:hAnsi="Arial" w:cs="Arial"/>
          <w:sz w:val="18"/>
          <w:szCs w:val="18"/>
          <w:lang w:val="bg-BG"/>
        </w:rPr>
        <w:t xml:space="preserve"> г. и </w:t>
      </w:r>
      <w:r w:rsidR="00144930">
        <w:rPr>
          <w:rFonts w:ascii="Arial" w:hAnsi="Arial" w:cs="Arial"/>
          <w:sz w:val="18"/>
          <w:szCs w:val="18"/>
          <w:lang w:val="bg-BG"/>
        </w:rPr>
        <w:t>30 юни 2017</w:t>
      </w:r>
      <w:r w:rsidRPr="00721663">
        <w:rPr>
          <w:rFonts w:ascii="Arial" w:hAnsi="Arial" w:cs="Arial"/>
          <w:sz w:val="18"/>
          <w:szCs w:val="18"/>
          <w:lang w:val="bg-BG"/>
        </w:rPr>
        <w:t xml:space="preserve"> г. няма просрочени вземания.</w:t>
      </w:r>
    </w:p>
    <w:p w14:paraId="74B8097C" w14:textId="14D2A7BC" w:rsidR="00E07C4E" w:rsidRDefault="00E07C4E" w:rsidP="00E07C4E">
      <w:pPr>
        <w:spacing w:after="120"/>
        <w:jc w:val="left"/>
        <w:rPr>
          <w:rFonts w:ascii="Arial" w:hAnsi="Arial" w:cs="Arial"/>
          <w:sz w:val="18"/>
          <w:szCs w:val="18"/>
          <w:lang w:val="bg-BG"/>
        </w:rPr>
      </w:pPr>
      <w:r w:rsidRPr="00721663">
        <w:rPr>
          <w:rFonts w:ascii="Arial" w:hAnsi="Arial" w:cs="Arial"/>
          <w:sz w:val="18"/>
          <w:szCs w:val="18"/>
          <w:lang w:val="bg-BG"/>
        </w:rPr>
        <w:t>Разходите за бъдещи периоди включват з</w:t>
      </w:r>
      <w:r w:rsidR="00DA6E0E">
        <w:rPr>
          <w:rFonts w:ascii="Arial" w:hAnsi="Arial" w:cs="Arial"/>
          <w:sz w:val="18"/>
          <w:szCs w:val="18"/>
          <w:lang w:val="bg-BG"/>
        </w:rPr>
        <w:t>астрахователни услуги, платен депозит за наем, предплатени разходи за охрана и членски внос</w:t>
      </w:r>
      <w:r w:rsidRPr="00721663">
        <w:rPr>
          <w:rFonts w:ascii="Arial" w:hAnsi="Arial" w:cs="Arial"/>
          <w:sz w:val="18"/>
          <w:szCs w:val="18"/>
          <w:lang w:val="bg-BG"/>
        </w:rPr>
        <w:t xml:space="preserve">. Застрахователните услуги са начислени по застрахователна полица, издадена от </w:t>
      </w:r>
      <w:r>
        <w:rPr>
          <w:rFonts w:ascii="Arial" w:hAnsi="Arial" w:cs="Arial"/>
          <w:sz w:val="18"/>
          <w:szCs w:val="18"/>
          <w:lang w:val="bg-BG"/>
        </w:rPr>
        <w:t>ИБС Сигорта ве Реашурънс АС</w:t>
      </w:r>
      <w:r w:rsidRPr="00721663">
        <w:rPr>
          <w:rFonts w:ascii="Arial" w:hAnsi="Arial" w:cs="Arial"/>
          <w:sz w:val="18"/>
          <w:szCs w:val="18"/>
          <w:lang w:val="bg-BG"/>
        </w:rPr>
        <w:t xml:space="preserve"> и се</w:t>
      </w:r>
      <w:r>
        <w:rPr>
          <w:rFonts w:ascii="Arial" w:hAnsi="Arial" w:cs="Arial"/>
          <w:sz w:val="18"/>
          <w:szCs w:val="18"/>
          <w:lang w:val="bg-BG"/>
        </w:rPr>
        <w:t xml:space="preserve"> отнасят за </w:t>
      </w:r>
      <w:r w:rsidR="00144930">
        <w:rPr>
          <w:rFonts w:ascii="Arial" w:hAnsi="Arial" w:cs="Arial"/>
          <w:sz w:val="18"/>
          <w:szCs w:val="18"/>
          <w:lang w:val="bg-BG"/>
        </w:rPr>
        <w:t>201</w:t>
      </w:r>
      <w:r w:rsidR="00404FF5">
        <w:rPr>
          <w:rFonts w:ascii="Arial" w:hAnsi="Arial" w:cs="Arial"/>
          <w:sz w:val="18"/>
          <w:szCs w:val="18"/>
          <w:lang w:val="bg-BG"/>
        </w:rPr>
        <w:t>7</w:t>
      </w:r>
      <w:r>
        <w:rPr>
          <w:rFonts w:ascii="Arial" w:hAnsi="Arial" w:cs="Arial"/>
          <w:sz w:val="18"/>
          <w:szCs w:val="18"/>
          <w:lang w:val="bg-BG"/>
        </w:rPr>
        <w:t xml:space="preserve"> и 2016  г.</w:t>
      </w:r>
      <w:r w:rsidR="008F17B6" w:rsidRPr="008F17B6">
        <w:rPr>
          <w:rFonts w:ascii="Arial" w:hAnsi="Arial" w:cs="Arial"/>
          <w:sz w:val="18"/>
          <w:szCs w:val="18"/>
          <w:lang w:val="bg-BG"/>
        </w:rPr>
        <w:t xml:space="preserve"> </w:t>
      </w:r>
      <w:r w:rsidR="008F17B6">
        <w:rPr>
          <w:rFonts w:ascii="Arial" w:hAnsi="Arial" w:cs="Arial"/>
          <w:sz w:val="18"/>
          <w:szCs w:val="18"/>
          <w:lang w:val="bg-BG"/>
        </w:rPr>
        <w:t>През 2016 г. застрахователната полица е издадена от И Би Ес Сигорта ве Реашуранс А.С.</w:t>
      </w:r>
    </w:p>
    <w:p w14:paraId="5350DB4C" w14:textId="77777777" w:rsidR="00E07C4E" w:rsidRPr="00721663" w:rsidRDefault="00E07C4E" w:rsidP="00E07C4E">
      <w:pPr>
        <w:spacing w:after="120"/>
        <w:jc w:val="left"/>
        <w:rPr>
          <w:rFonts w:ascii="Arial" w:hAnsi="Arial" w:cs="Arial"/>
          <w:sz w:val="18"/>
          <w:szCs w:val="18"/>
          <w:lang w:val="bg-BG"/>
        </w:rPr>
      </w:pPr>
      <w:r w:rsidRPr="00721663">
        <w:rPr>
          <w:rFonts w:ascii="Arial" w:hAnsi="Arial" w:cs="Arial"/>
          <w:sz w:val="18"/>
          <w:szCs w:val="18"/>
          <w:lang w:val="bg-BG"/>
        </w:rPr>
        <w:t>Възрастов анализ на търговските вземания:</w:t>
      </w:r>
    </w:p>
    <w:tbl>
      <w:tblPr>
        <w:tblW w:w="8789" w:type="dxa"/>
        <w:tblBorders>
          <w:bottom w:val="double" w:sz="6" w:space="0" w:color="auto"/>
        </w:tblBorders>
        <w:tblLayout w:type="fixed"/>
        <w:tblCellMar>
          <w:left w:w="0" w:type="dxa"/>
          <w:right w:w="0" w:type="dxa"/>
        </w:tblCellMar>
        <w:tblLook w:val="0000" w:firstRow="0" w:lastRow="0" w:firstColumn="0" w:lastColumn="0" w:noHBand="0" w:noVBand="0"/>
      </w:tblPr>
      <w:tblGrid>
        <w:gridCol w:w="4678"/>
        <w:gridCol w:w="1843"/>
        <w:gridCol w:w="284"/>
        <w:gridCol w:w="1984"/>
      </w:tblGrid>
      <w:tr w:rsidR="00E07C4E" w:rsidRPr="00721663" w14:paraId="73358250" w14:textId="77777777" w:rsidTr="00551604">
        <w:trPr>
          <w:trHeight w:hRule="exact" w:val="522"/>
        </w:trPr>
        <w:tc>
          <w:tcPr>
            <w:tcW w:w="4678" w:type="dxa"/>
            <w:tcBorders>
              <w:bottom w:val="nil"/>
            </w:tcBorders>
            <w:noWrap/>
            <w:vAlign w:val="bottom"/>
          </w:tcPr>
          <w:p w14:paraId="5FF9D92F" w14:textId="77777777" w:rsidR="00E07C4E" w:rsidRPr="00721663" w:rsidRDefault="00E07C4E" w:rsidP="00551604">
            <w:pPr>
              <w:jc w:val="left"/>
              <w:rPr>
                <w:rFonts w:ascii="Arial" w:eastAsia="Arial Unicode MS" w:hAnsi="Arial" w:cs="Arial"/>
                <w:sz w:val="18"/>
                <w:szCs w:val="18"/>
                <w:lang w:val="bg-BG"/>
              </w:rPr>
            </w:pPr>
          </w:p>
        </w:tc>
        <w:tc>
          <w:tcPr>
            <w:tcW w:w="1843" w:type="dxa"/>
            <w:tcBorders>
              <w:bottom w:val="single" w:sz="6" w:space="0" w:color="auto"/>
            </w:tcBorders>
            <w:vAlign w:val="bottom"/>
          </w:tcPr>
          <w:p w14:paraId="0F0DD378" w14:textId="1D412104" w:rsidR="00E07C4E" w:rsidRPr="00721663" w:rsidRDefault="00144930" w:rsidP="00551604">
            <w:pPr>
              <w:jc w:val="right"/>
              <w:rPr>
                <w:rFonts w:ascii="Arial" w:hAnsi="Arial" w:cs="Arial"/>
                <w:b/>
                <w:bCs/>
                <w:sz w:val="18"/>
                <w:szCs w:val="18"/>
                <w:lang w:val="bg-BG"/>
              </w:rPr>
            </w:pPr>
            <w:r>
              <w:rPr>
                <w:rFonts w:ascii="Arial" w:hAnsi="Arial" w:cs="Arial"/>
                <w:b/>
                <w:bCs/>
                <w:sz w:val="18"/>
                <w:szCs w:val="18"/>
                <w:lang w:val="bg-BG"/>
              </w:rPr>
              <w:t>30 юни 2017</w:t>
            </w:r>
          </w:p>
        </w:tc>
        <w:tc>
          <w:tcPr>
            <w:tcW w:w="284" w:type="dxa"/>
            <w:tcBorders>
              <w:bottom w:val="nil"/>
            </w:tcBorders>
            <w:vAlign w:val="bottom"/>
          </w:tcPr>
          <w:p w14:paraId="20764B95" w14:textId="77777777" w:rsidR="00E07C4E" w:rsidRPr="00721663" w:rsidRDefault="00E07C4E" w:rsidP="00551604">
            <w:pPr>
              <w:jc w:val="right"/>
              <w:rPr>
                <w:rFonts w:ascii="Arial" w:hAnsi="Arial" w:cs="Arial"/>
                <w:b/>
                <w:bCs/>
                <w:sz w:val="18"/>
                <w:szCs w:val="18"/>
                <w:lang w:val="bg-BG"/>
              </w:rPr>
            </w:pPr>
          </w:p>
        </w:tc>
        <w:tc>
          <w:tcPr>
            <w:tcW w:w="1984" w:type="dxa"/>
            <w:tcBorders>
              <w:bottom w:val="single" w:sz="6" w:space="0" w:color="auto"/>
            </w:tcBorders>
            <w:vAlign w:val="bottom"/>
          </w:tcPr>
          <w:p w14:paraId="753E5450" w14:textId="6A9E71F1" w:rsidR="00E07C4E" w:rsidRPr="00721663" w:rsidRDefault="00144930" w:rsidP="00551604">
            <w:pPr>
              <w:tabs>
                <w:tab w:val="left" w:pos="1343"/>
              </w:tabs>
              <w:ind w:right="34"/>
              <w:jc w:val="right"/>
              <w:rPr>
                <w:rFonts w:ascii="Arial" w:hAnsi="Arial" w:cs="Arial"/>
                <w:b/>
                <w:bCs/>
                <w:sz w:val="18"/>
                <w:szCs w:val="18"/>
                <w:lang w:val="bg-BG"/>
              </w:rPr>
            </w:pPr>
            <w:r>
              <w:rPr>
                <w:rFonts w:ascii="Arial" w:hAnsi="Arial" w:cs="Arial"/>
                <w:b/>
                <w:bCs/>
                <w:sz w:val="18"/>
                <w:szCs w:val="18"/>
                <w:lang w:val="bg-BG"/>
              </w:rPr>
              <w:t>31 декември 2016</w:t>
            </w:r>
          </w:p>
        </w:tc>
      </w:tr>
      <w:tr w:rsidR="00E07C4E" w:rsidRPr="00721663" w14:paraId="708F6138" w14:textId="77777777" w:rsidTr="00551604">
        <w:trPr>
          <w:trHeight w:hRule="exact" w:val="284"/>
        </w:trPr>
        <w:tc>
          <w:tcPr>
            <w:tcW w:w="4678" w:type="dxa"/>
            <w:tcBorders>
              <w:bottom w:val="nil"/>
            </w:tcBorders>
            <w:noWrap/>
            <w:vAlign w:val="bottom"/>
          </w:tcPr>
          <w:p w14:paraId="66D51DA3" w14:textId="77777777" w:rsidR="00E07C4E" w:rsidRPr="00721663" w:rsidRDefault="00E07C4E" w:rsidP="00551604">
            <w:pPr>
              <w:jc w:val="left"/>
              <w:rPr>
                <w:rFonts w:ascii="Arial" w:eastAsia="Arial Unicode MS" w:hAnsi="Arial" w:cs="Arial"/>
                <w:sz w:val="18"/>
                <w:szCs w:val="18"/>
                <w:lang w:val="bg-BG"/>
              </w:rPr>
            </w:pPr>
            <w:r w:rsidRPr="00721663">
              <w:rPr>
                <w:rFonts w:ascii="Arial" w:eastAsia="Arial Unicode MS" w:hAnsi="Arial" w:cs="Arial"/>
                <w:sz w:val="18"/>
                <w:szCs w:val="18"/>
                <w:lang w:val="bg-BG"/>
              </w:rPr>
              <w:t xml:space="preserve"> </w:t>
            </w:r>
          </w:p>
        </w:tc>
        <w:tc>
          <w:tcPr>
            <w:tcW w:w="1843" w:type="dxa"/>
            <w:tcBorders>
              <w:top w:val="single" w:sz="6" w:space="0" w:color="auto"/>
              <w:bottom w:val="nil"/>
            </w:tcBorders>
            <w:vAlign w:val="bottom"/>
          </w:tcPr>
          <w:p w14:paraId="18DEE9AF" w14:textId="77777777" w:rsidR="00E07C4E" w:rsidRPr="00721663" w:rsidRDefault="00E07C4E" w:rsidP="00551604">
            <w:pPr>
              <w:jc w:val="right"/>
              <w:rPr>
                <w:rFonts w:ascii="Arial" w:eastAsia="Arial Unicode MS" w:hAnsi="Arial" w:cs="Arial"/>
                <w:b/>
                <w:sz w:val="18"/>
                <w:szCs w:val="18"/>
                <w:lang w:val="bg-BG"/>
              </w:rPr>
            </w:pPr>
            <w:r w:rsidRPr="00721663">
              <w:rPr>
                <w:rFonts w:ascii="Arial" w:hAnsi="Arial" w:cs="Arial"/>
                <w:b/>
                <w:bCs/>
                <w:sz w:val="18"/>
                <w:szCs w:val="18"/>
                <w:lang w:val="bg-BG"/>
              </w:rPr>
              <w:t>хил. лв</w:t>
            </w:r>
            <w:r>
              <w:rPr>
                <w:rFonts w:ascii="Arial" w:hAnsi="Arial" w:cs="Arial"/>
                <w:b/>
                <w:bCs/>
                <w:sz w:val="18"/>
                <w:szCs w:val="18"/>
                <w:lang w:val="bg-BG"/>
              </w:rPr>
              <w:t>.</w:t>
            </w:r>
          </w:p>
        </w:tc>
        <w:tc>
          <w:tcPr>
            <w:tcW w:w="284" w:type="dxa"/>
            <w:tcBorders>
              <w:top w:val="nil"/>
              <w:bottom w:val="nil"/>
            </w:tcBorders>
            <w:vAlign w:val="bottom"/>
          </w:tcPr>
          <w:p w14:paraId="3AB78E87" w14:textId="77777777" w:rsidR="00E07C4E" w:rsidRPr="00721663" w:rsidRDefault="00E07C4E" w:rsidP="00551604">
            <w:pPr>
              <w:jc w:val="right"/>
              <w:rPr>
                <w:rFonts w:ascii="Arial" w:eastAsia="Arial Unicode MS" w:hAnsi="Arial" w:cs="Arial"/>
                <w:b/>
                <w:sz w:val="18"/>
                <w:szCs w:val="18"/>
                <w:lang w:val="bg-BG"/>
              </w:rPr>
            </w:pPr>
          </w:p>
        </w:tc>
        <w:tc>
          <w:tcPr>
            <w:tcW w:w="1984" w:type="dxa"/>
            <w:tcBorders>
              <w:top w:val="single" w:sz="6" w:space="0" w:color="auto"/>
              <w:bottom w:val="nil"/>
            </w:tcBorders>
            <w:vAlign w:val="bottom"/>
          </w:tcPr>
          <w:p w14:paraId="2EE3B479" w14:textId="77777777" w:rsidR="00E07C4E" w:rsidRPr="00721663" w:rsidRDefault="00E07C4E" w:rsidP="00551604">
            <w:pPr>
              <w:jc w:val="right"/>
              <w:rPr>
                <w:rFonts w:ascii="Arial" w:eastAsia="Arial Unicode MS" w:hAnsi="Arial" w:cs="Arial"/>
                <w:b/>
                <w:sz w:val="18"/>
                <w:szCs w:val="18"/>
                <w:lang w:val="bg-BG"/>
              </w:rPr>
            </w:pPr>
            <w:r w:rsidRPr="00721663">
              <w:rPr>
                <w:rFonts w:ascii="Arial" w:hAnsi="Arial" w:cs="Arial"/>
                <w:b/>
                <w:bCs/>
                <w:sz w:val="18"/>
                <w:szCs w:val="18"/>
                <w:lang w:val="bg-BG"/>
              </w:rPr>
              <w:t>хил. лв</w:t>
            </w:r>
            <w:r>
              <w:rPr>
                <w:rFonts w:ascii="Arial" w:hAnsi="Arial" w:cs="Arial"/>
                <w:b/>
                <w:bCs/>
                <w:sz w:val="18"/>
                <w:szCs w:val="18"/>
                <w:lang w:val="bg-BG"/>
              </w:rPr>
              <w:t>.</w:t>
            </w:r>
          </w:p>
        </w:tc>
      </w:tr>
      <w:tr w:rsidR="00E07C4E" w:rsidRPr="00721663" w14:paraId="27FCBC4A" w14:textId="77777777" w:rsidTr="00551604">
        <w:trPr>
          <w:trHeight w:hRule="exact" w:val="318"/>
        </w:trPr>
        <w:tc>
          <w:tcPr>
            <w:tcW w:w="4678" w:type="dxa"/>
            <w:tcBorders>
              <w:bottom w:val="nil"/>
            </w:tcBorders>
            <w:noWrap/>
            <w:vAlign w:val="center"/>
          </w:tcPr>
          <w:p w14:paraId="47918453" w14:textId="77777777" w:rsidR="00E07C4E" w:rsidRPr="00721663" w:rsidRDefault="00E07C4E" w:rsidP="00551604">
            <w:pPr>
              <w:ind w:right="141"/>
              <w:jc w:val="left"/>
              <w:rPr>
                <w:rFonts w:ascii="Arial" w:hAnsi="Arial" w:cs="Arial"/>
                <w:sz w:val="18"/>
                <w:szCs w:val="18"/>
                <w:lang w:val="bg-BG"/>
              </w:rPr>
            </w:pPr>
            <w:r w:rsidRPr="00721663">
              <w:rPr>
                <w:rFonts w:ascii="Arial" w:hAnsi="Arial" w:cs="Arial"/>
                <w:sz w:val="18"/>
                <w:szCs w:val="18"/>
                <w:lang w:val="bg-BG"/>
              </w:rPr>
              <w:t>0 – 30 дни</w:t>
            </w:r>
          </w:p>
        </w:tc>
        <w:tc>
          <w:tcPr>
            <w:tcW w:w="1843" w:type="dxa"/>
            <w:tcBorders>
              <w:bottom w:val="nil"/>
            </w:tcBorders>
            <w:vAlign w:val="center"/>
          </w:tcPr>
          <w:p w14:paraId="348E3C0B" w14:textId="033D8F0D" w:rsidR="00E07C4E" w:rsidRPr="008F17B6" w:rsidRDefault="008F17B6" w:rsidP="00551604">
            <w:pPr>
              <w:ind w:right="142"/>
              <w:jc w:val="right"/>
              <w:rPr>
                <w:rFonts w:ascii="Arial" w:eastAsia="Arial Unicode MS" w:hAnsi="Arial" w:cs="Arial"/>
                <w:sz w:val="18"/>
                <w:szCs w:val="18"/>
                <w:lang w:val="bg-BG"/>
              </w:rPr>
            </w:pPr>
            <w:r>
              <w:rPr>
                <w:rFonts w:ascii="Arial" w:eastAsia="Arial Unicode MS" w:hAnsi="Arial" w:cs="Arial"/>
                <w:sz w:val="18"/>
                <w:szCs w:val="18"/>
                <w:lang w:val="bg-BG"/>
              </w:rPr>
              <w:t>248</w:t>
            </w:r>
          </w:p>
        </w:tc>
        <w:tc>
          <w:tcPr>
            <w:tcW w:w="284" w:type="dxa"/>
            <w:tcBorders>
              <w:bottom w:val="nil"/>
            </w:tcBorders>
            <w:vAlign w:val="center"/>
          </w:tcPr>
          <w:p w14:paraId="4FA24E4F" w14:textId="77777777" w:rsidR="00E07C4E" w:rsidRPr="00721663" w:rsidRDefault="00E07C4E" w:rsidP="00551604">
            <w:pPr>
              <w:ind w:right="142"/>
              <w:jc w:val="right"/>
              <w:rPr>
                <w:rFonts w:ascii="Arial" w:eastAsia="Arial Unicode MS" w:hAnsi="Arial" w:cs="Arial"/>
                <w:sz w:val="18"/>
                <w:szCs w:val="18"/>
                <w:lang w:val="bg-BG"/>
              </w:rPr>
            </w:pPr>
          </w:p>
        </w:tc>
        <w:tc>
          <w:tcPr>
            <w:tcW w:w="1984" w:type="dxa"/>
            <w:tcBorders>
              <w:bottom w:val="nil"/>
            </w:tcBorders>
            <w:vAlign w:val="center"/>
          </w:tcPr>
          <w:p w14:paraId="20A2FE26" w14:textId="4C577B2A" w:rsidR="00E07C4E" w:rsidRPr="008F17B6" w:rsidRDefault="008F17B6" w:rsidP="00551604">
            <w:pPr>
              <w:ind w:right="142"/>
              <w:jc w:val="right"/>
              <w:rPr>
                <w:rFonts w:ascii="Arial" w:eastAsia="Arial Unicode MS" w:hAnsi="Arial" w:cs="Arial"/>
                <w:sz w:val="18"/>
                <w:szCs w:val="18"/>
                <w:lang w:val="bg-BG"/>
              </w:rPr>
            </w:pPr>
            <w:r>
              <w:rPr>
                <w:rFonts w:ascii="Arial" w:eastAsia="Arial Unicode MS" w:hAnsi="Arial" w:cs="Arial"/>
                <w:sz w:val="18"/>
                <w:szCs w:val="18"/>
                <w:lang w:val="bg-BG"/>
              </w:rPr>
              <w:t>498</w:t>
            </w:r>
          </w:p>
        </w:tc>
      </w:tr>
      <w:tr w:rsidR="00E07C4E" w:rsidRPr="00721663" w14:paraId="55ACBA92" w14:textId="77777777" w:rsidTr="00551604">
        <w:trPr>
          <w:trHeight w:hRule="exact" w:val="318"/>
        </w:trPr>
        <w:tc>
          <w:tcPr>
            <w:tcW w:w="4678" w:type="dxa"/>
            <w:tcBorders>
              <w:bottom w:val="nil"/>
            </w:tcBorders>
            <w:noWrap/>
            <w:vAlign w:val="center"/>
          </w:tcPr>
          <w:p w14:paraId="25D03D79" w14:textId="77777777" w:rsidR="00E07C4E" w:rsidRPr="00721663" w:rsidRDefault="00E07C4E" w:rsidP="00551604">
            <w:pPr>
              <w:ind w:right="141"/>
              <w:jc w:val="left"/>
              <w:rPr>
                <w:rFonts w:ascii="Arial" w:hAnsi="Arial" w:cs="Arial"/>
                <w:sz w:val="18"/>
                <w:szCs w:val="18"/>
                <w:lang w:val="bg-BG"/>
              </w:rPr>
            </w:pPr>
            <w:r w:rsidRPr="00721663">
              <w:rPr>
                <w:rFonts w:ascii="Arial" w:hAnsi="Arial" w:cs="Arial"/>
                <w:sz w:val="18"/>
                <w:szCs w:val="18"/>
                <w:lang w:val="bg-BG"/>
              </w:rPr>
              <w:t>30 - 60 дни</w:t>
            </w:r>
          </w:p>
        </w:tc>
        <w:tc>
          <w:tcPr>
            <w:tcW w:w="1843" w:type="dxa"/>
            <w:tcBorders>
              <w:bottom w:val="nil"/>
            </w:tcBorders>
            <w:vAlign w:val="center"/>
          </w:tcPr>
          <w:p w14:paraId="40D31596" w14:textId="77777777" w:rsidR="00E07C4E" w:rsidRPr="00BC2D1E" w:rsidRDefault="00E07C4E" w:rsidP="00551604">
            <w:pPr>
              <w:ind w:right="142"/>
              <w:jc w:val="right"/>
              <w:rPr>
                <w:rFonts w:ascii="Arial" w:eastAsia="Arial Unicode MS" w:hAnsi="Arial" w:cs="Arial"/>
                <w:sz w:val="18"/>
                <w:szCs w:val="18"/>
                <w:lang w:val="en-GB"/>
              </w:rPr>
            </w:pPr>
            <w:r w:rsidRPr="00BC2D1E">
              <w:rPr>
                <w:rFonts w:ascii="Arial" w:eastAsia="Arial Unicode MS" w:hAnsi="Arial" w:cs="Arial"/>
                <w:sz w:val="18"/>
                <w:szCs w:val="18"/>
                <w:lang w:val="en-GB"/>
              </w:rPr>
              <w:t>-</w:t>
            </w:r>
          </w:p>
        </w:tc>
        <w:tc>
          <w:tcPr>
            <w:tcW w:w="284" w:type="dxa"/>
            <w:tcBorders>
              <w:bottom w:val="nil"/>
            </w:tcBorders>
            <w:vAlign w:val="center"/>
          </w:tcPr>
          <w:p w14:paraId="7CEFF208" w14:textId="77777777" w:rsidR="00E07C4E" w:rsidRPr="00721663" w:rsidRDefault="00E07C4E" w:rsidP="00551604">
            <w:pPr>
              <w:ind w:right="142"/>
              <w:jc w:val="right"/>
              <w:rPr>
                <w:rFonts w:ascii="Arial" w:eastAsia="Arial Unicode MS" w:hAnsi="Arial" w:cs="Arial"/>
                <w:sz w:val="18"/>
                <w:szCs w:val="18"/>
                <w:lang w:val="bg-BG"/>
              </w:rPr>
            </w:pPr>
          </w:p>
        </w:tc>
        <w:tc>
          <w:tcPr>
            <w:tcW w:w="1984" w:type="dxa"/>
            <w:tcBorders>
              <w:bottom w:val="nil"/>
            </w:tcBorders>
            <w:vAlign w:val="center"/>
          </w:tcPr>
          <w:p w14:paraId="1C25153E" w14:textId="158E42E9" w:rsidR="00E07C4E" w:rsidRPr="008F17B6" w:rsidRDefault="008F17B6" w:rsidP="00551604">
            <w:pPr>
              <w:ind w:right="142"/>
              <w:jc w:val="right"/>
              <w:rPr>
                <w:rFonts w:ascii="Arial" w:eastAsia="Arial Unicode MS" w:hAnsi="Arial" w:cs="Arial"/>
                <w:sz w:val="18"/>
                <w:szCs w:val="18"/>
                <w:lang w:val="bg-BG"/>
              </w:rPr>
            </w:pPr>
            <w:r>
              <w:rPr>
                <w:rFonts w:ascii="Arial" w:eastAsia="Arial Unicode MS" w:hAnsi="Arial" w:cs="Arial"/>
                <w:sz w:val="18"/>
                <w:szCs w:val="18"/>
                <w:lang w:val="bg-BG"/>
              </w:rPr>
              <w:t>-</w:t>
            </w:r>
          </w:p>
        </w:tc>
      </w:tr>
      <w:tr w:rsidR="00E07C4E" w:rsidRPr="00721663" w14:paraId="17EF5594" w14:textId="77777777" w:rsidTr="00551604">
        <w:trPr>
          <w:trHeight w:hRule="exact" w:val="318"/>
        </w:trPr>
        <w:tc>
          <w:tcPr>
            <w:tcW w:w="4678" w:type="dxa"/>
            <w:tcBorders>
              <w:bottom w:val="nil"/>
            </w:tcBorders>
            <w:noWrap/>
            <w:vAlign w:val="center"/>
          </w:tcPr>
          <w:p w14:paraId="5E7E6514" w14:textId="77777777" w:rsidR="00E07C4E" w:rsidRPr="00721663" w:rsidRDefault="00E07C4E" w:rsidP="00551604">
            <w:pPr>
              <w:ind w:right="141"/>
              <w:jc w:val="left"/>
              <w:rPr>
                <w:rFonts w:ascii="Arial" w:hAnsi="Arial" w:cs="Arial"/>
                <w:sz w:val="18"/>
                <w:szCs w:val="18"/>
                <w:lang w:val="bg-BG"/>
              </w:rPr>
            </w:pPr>
            <w:r w:rsidRPr="00721663">
              <w:rPr>
                <w:rFonts w:ascii="Arial" w:hAnsi="Arial" w:cs="Arial"/>
                <w:sz w:val="18"/>
                <w:szCs w:val="18"/>
                <w:lang w:val="bg-BG"/>
              </w:rPr>
              <w:t>60 - 90 дни</w:t>
            </w:r>
          </w:p>
        </w:tc>
        <w:tc>
          <w:tcPr>
            <w:tcW w:w="1843" w:type="dxa"/>
            <w:tcBorders>
              <w:bottom w:val="nil"/>
            </w:tcBorders>
            <w:vAlign w:val="center"/>
          </w:tcPr>
          <w:p w14:paraId="31F89BA4" w14:textId="77777777" w:rsidR="00E07C4E" w:rsidRPr="00BC2D1E" w:rsidRDefault="00E07C4E" w:rsidP="00551604">
            <w:pPr>
              <w:ind w:right="142"/>
              <w:jc w:val="right"/>
              <w:rPr>
                <w:rFonts w:ascii="Arial" w:eastAsia="Arial Unicode MS" w:hAnsi="Arial" w:cs="Arial"/>
                <w:sz w:val="18"/>
                <w:szCs w:val="18"/>
                <w:lang w:val="en-GB"/>
              </w:rPr>
            </w:pPr>
            <w:r w:rsidRPr="00BC2D1E">
              <w:rPr>
                <w:rFonts w:ascii="Arial" w:eastAsia="Arial Unicode MS" w:hAnsi="Arial" w:cs="Arial"/>
                <w:sz w:val="18"/>
                <w:szCs w:val="18"/>
                <w:lang w:val="en-GB"/>
              </w:rPr>
              <w:t>-</w:t>
            </w:r>
          </w:p>
        </w:tc>
        <w:tc>
          <w:tcPr>
            <w:tcW w:w="284" w:type="dxa"/>
            <w:tcBorders>
              <w:bottom w:val="nil"/>
            </w:tcBorders>
            <w:vAlign w:val="center"/>
          </w:tcPr>
          <w:p w14:paraId="2977A138" w14:textId="77777777" w:rsidR="00E07C4E" w:rsidRPr="00721663" w:rsidRDefault="00E07C4E" w:rsidP="00551604">
            <w:pPr>
              <w:ind w:right="142"/>
              <w:jc w:val="right"/>
              <w:rPr>
                <w:rFonts w:ascii="Arial" w:eastAsia="Arial Unicode MS" w:hAnsi="Arial" w:cs="Arial"/>
                <w:sz w:val="18"/>
                <w:szCs w:val="18"/>
                <w:lang w:val="bg-BG"/>
              </w:rPr>
            </w:pPr>
          </w:p>
        </w:tc>
        <w:tc>
          <w:tcPr>
            <w:tcW w:w="1984" w:type="dxa"/>
            <w:tcBorders>
              <w:bottom w:val="nil"/>
            </w:tcBorders>
            <w:vAlign w:val="center"/>
          </w:tcPr>
          <w:p w14:paraId="6D70B57C" w14:textId="77777777" w:rsidR="00E07C4E" w:rsidRPr="00BC2D1E" w:rsidRDefault="00E07C4E" w:rsidP="00551604">
            <w:pPr>
              <w:ind w:right="142"/>
              <w:jc w:val="right"/>
              <w:rPr>
                <w:rFonts w:ascii="Arial" w:eastAsia="Arial Unicode MS" w:hAnsi="Arial" w:cs="Arial"/>
                <w:sz w:val="18"/>
                <w:szCs w:val="18"/>
                <w:lang w:val="en-GB"/>
              </w:rPr>
            </w:pPr>
            <w:r w:rsidRPr="00BC2D1E">
              <w:rPr>
                <w:rFonts w:ascii="Arial" w:eastAsia="Arial Unicode MS" w:hAnsi="Arial" w:cs="Arial"/>
                <w:sz w:val="18"/>
                <w:szCs w:val="18"/>
                <w:lang w:val="en-GB"/>
              </w:rPr>
              <w:t>-</w:t>
            </w:r>
          </w:p>
        </w:tc>
      </w:tr>
      <w:tr w:rsidR="00E07C4E" w:rsidRPr="00721663" w14:paraId="2A6F22D6" w14:textId="77777777" w:rsidTr="00551604">
        <w:trPr>
          <w:trHeight w:hRule="exact" w:val="318"/>
        </w:trPr>
        <w:tc>
          <w:tcPr>
            <w:tcW w:w="4678" w:type="dxa"/>
            <w:tcBorders>
              <w:bottom w:val="nil"/>
            </w:tcBorders>
            <w:noWrap/>
            <w:vAlign w:val="center"/>
          </w:tcPr>
          <w:p w14:paraId="53B2C83C" w14:textId="77777777" w:rsidR="00E07C4E" w:rsidRPr="00721663" w:rsidRDefault="00E07C4E" w:rsidP="00551604">
            <w:pPr>
              <w:ind w:right="141"/>
              <w:jc w:val="left"/>
              <w:rPr>
                <w:rFonts w:ascii="Arial" w:hAnsi="Arial" w:cs="Arial"/>
                <w:sz w:val="18"/>
                <w:szCs w:val="18"/>
                <w:lang w:val="bg-BG"/>
              </w:rPr>
            </w:pPr>
            <w:r w:rsidRPr="00721663">
              <w:rPr>
                <w:rFonts w:ascii="Arial" w:hAnsi="Arial" w:cs="Arial"/>
                <w:sz w:val="18"/>
                <w:szCs w:val="18"/>
                <w:lang w:val="bg-BG"/>
              </w:rPr>
              <w:t>90 – 120 дни</w:t>
            </w:r>
          </w:p>
        </w:tc>
        <w:tc>
          <w:tcPr>
            <w:tcW w:w="1843" w:type="dxa"/>
            <w:tcBorders>
              <w:bottom w:val="nil"/>
            </w:tcBorders>
            <w:vAlign w:val="center"/>
          </w:tcPr>
          <w:p w14:paraId="0CB88BDA" w14:textId="77777777" w:rsidR="00E07C4E" w:rsidRPr="00BC2D1E" w:rsidRDefault="00E07C4E" w:rsidP="00551604">
            <w:pPr>
              <w:ind w:right="142"/>
              <w:jc w:val="right"/>
              <w:rPr>
                <w:rFonts w:ascii="Arial" w:eastAsia="Arial Unicode MS" w:hAnsi="Arial" w:cs="Arial"/>
                <w:sz w:val="18"/>
                <w:szCs w:val="18"/>
                <w:lang w:val="en-GB"/>
              </w:rPr>
            </w:pPr>
            <w:r w:rsidRPr="00BC2D1E">
              <w:rPr>
                <w:rFonts w:ascii="Arial" w:eastAsia="Arial Unicode MS" w:hAnsi="Arial" w:cs="Arial"/>
                <w:sz w:val="18"/>
                <w:szCs w:val="18"/>
                <w:lang w:val="en-GB"/>
              </w:rPr>
              <w:t>-</w:t>
            </w:r>
          </w:p>
        </w:tc>
        <w:tc>
          <w:tcPr>
            <w:tcW w:w="284" w:type="dxa"/>
            <w:tcBorders>
              <w:bottom w:val="nil"/>
            </w:tcBorders>
            <w:vAlign w:val="center"/>
          </w:tcPr>
          <w:p w14:paraId="1ED9ECCF" w14:textId="77777777" w:rsidR="00E07C4E" w:rsidRPr="00721663" w:rsidRDefault="00E07C4E" w:rsidP="00551604">
            <w:pPr>
              <w:ind w:right="142"/>
              <w:jc w:val="right"/>
              <w:rPr>
                <w:rFonts w:ascii="Arial" w:eastAsia="Arial Unicode MS" w:hAnsi="Arial" w:cs="Arial"/>
                <w:sz w:val="18"/>
                <w:szCs w:val="18"/>
                <w:lang w:val="bg-BG"/>
              </w:rPr>
            </w:pPr>
          </w:p>
        </w:tc>
        <w:tc>
          <w:tcPr>
            <w:tcW w:w="1984" w:type="dxa"/>
            <w:tcBorders>
              <w:bottom w:val="nil"/>
            </w:tcBorders>
            <w:vAlign w:val="center"/>
          </w:tcPr>
          <w:p w14:paraId="295E8709" w14:textId="77777777" w:rsidR="00E07C4E" w:rsidRPr="00BC2D1E" w:rsidRDefault="00E07C4E" w:rsidP="00551604">
            <w:pPr>
              <w:ind w:right="142"/>
              <w:jc w:val="right"/>
              <w:rPr>
                <w:rFonts w:ascii="Arial" w:eastAsia="Arial Unicode MS" w:hAnsi="Arial" w:cs="Arial"/>
                <w:sz w:val="18"/>
                <w:szCs w:val="18"/>
                <w:lang w:val="en-GB"/>
              </w:rPr>
            </w:pPr>
            <w:r w:rsidRPr="00BC2D1E">
              <w:rPr>
                <w:rFonts w:ascii="Arial" w:eastAsia="Arial Unicode MS" w:hAnsi="Arial" w:cs="Arial"/>
                <w:sz w:val="18"/>
                <w:szCs w:val="18"/>
                <w:lang w:val="en-GB"/>
              </w:rPr>
              <w:t>-</w:t>
            </w:r>
          </w:p>
        </w:tc>
      </w:tr>
      <w:tr w:rsidR="00E07C4E" w:rsidRPr="00721663" w14:paraId="3995E2FC" w14:textId="77777777" w:rsidTr="00551604">
        <w:trPr>
          <w:trHeight w:hRule="exact" w:val="318"/>
        </w:trPr>
        <w:tc>
          <w:tcPr>
            <w:tcW w:w="4678" w:type="dxa"/>
            <w:tcBorders>
              <w:bottom w:val="nil"/>
            </w:tcBorders>
            <w:noWrap/>
            <w:vAlign w:val="center"/>
          </w:tcPr>
          <w:p w14:paraId="049838EC" w14:textId="77777777" w:rsidR="00E07C4E" w:rsidRPr="00721663" w:rsidRDefault="00E07C4E" w:rsidP="00551604">
            <w:pPr>
              <w:ind w:right="141"/>
              <w:jc w:val="left"/>
              <w:rPr>
                <w:rFonts w:ascii="Arial" w:hAnsi="Arial" w:cs="Arial"/>
                <w:sz w:val="18"/>
                <w:szCs w:val="18"/>
                <w:lang w:val="bg-BG"/>
              </w:rPr>
            </w:pPr>
            <w:r w:rsidRPr="00721663">
              <w:rPr>
                <w:rFonts w:ascii="Arial" w:hAnsi="Arial" w:cs="Arial"/>
                <w:sz w:val="18"/>
                <w:szCs w:val="18"/>
                <w:lang w:val="bg-BG"/>
              </w:rPr>
              <w:t>120+ дни</w:t>
            </w:r>
          </w:p>
        </w:tc>
        <w:tc>
          <w:tcPr>
            <w:tcW w:w="1843" w:type="dxa"/>
            <w:tcBorders>
              <w:bottom w:val="nil"/>
            </w:tcBorders>
            <w:vAlign w:val="center"/>
          </w:tcPr>
          <w:p w14:paraId="5ECC6CA8" w14:textId="77777777" w:rsidR="00E07C4E" w:rsidRPr="00BC2D1E" w:rsidRDefault="00E07C4E" w:rsidP="00551604">
            <w:pPr>
              <w:ind w:right="142"/>
              <w:jc w:val="right"/>
              <w:rPr>
                <w:rFonts w:ascii="Arial" w:eastAsia="Arial Unicode MS" w:hAnsi="Arial" w:cs="Arial"/>
                <w:sz w:val="18"/>
                <w:szCs w:val="18"/>
                <w:lang w:val="en-GB"/>
              </w:rPr>
            </w:pPr>
            <w:r w:rsidRPr="00BC2D1E">
              <w:rPr>
                <w:rFonts w:ascii="Arial" w:eastAsia="Arial Unicode MS" w:hAnsi="Arial" w:cs="Arial"/>
                <w:sz w:val="18"/>
                <w:szCs w:val="18"/>
                <w:lang w:val="en-GB"/>
              </w:rPr>
              <w:t>-</w:t>
            </w:r>
          </w:p>
        </w:tc>
        <w:tc>
          <w:tcPr>
            <w:tcW w:w="284" w:type="dxa"/>
            <w:tcBorders>
              <w:bottom w:val="nil"/>
            </w:tcBorders>
            <w:vAlign w:val="center"/>
          </w:tcPr>
          <w:p w14:paraId="63714857" w14:textId="77777777" w:rsidR="00E07C4E" w:rsidRPr="00721663" w:rsidRDefault="00E07C4E" w:rsidP="00551604">
            <w:pPr>
              <w:ind w:right="142"/>
              <w:jc w:val="right"/>
              <w:rPr>
                <w:rFonts w:ascii="Arial" w:eastAsia="Arial Unicode MS" w:hAnsi="Arial" w:cs="Arial"/>
                <w:sz w:val="18"/>
                <w:szCs w:val="18"/>
                <w:lang w:val="bg-BG"/>
              </w:rPr>
            </w:pPr>
          </w:p>
        </w:tc>
        <w:tc>
          <w:tcPr>
            <w:tcW w:w="1984" w:type="dxa"/>
            <w:tcBorders>
              <w:bottom w:val="nil"/>
            </w:tcBorders>
            <w:vAlign w:val="center"/>
          </w:tcPr>
          <w:p w14:paraId="0BF10D3F" w14:textId="77777777" w:rsidR="00E07C4E" w:rsidRPr="00BC2D1E" w:rsidRDefault="00E07C4E" w:rsidP="00551604">
            <w:pPr>
              <w:ind w:right="142"/>
              <w:jc w:val="right"/>
              <w:rPr>
                <w:rFonts w:ascii="Arial" w:eastAsia="Arial Unicode MS" w:hAnsi="Arial" w:cs="Arial"/>
                <w:sz w:val="18"/>
                <w:szCs w:val="18"/>
                <w:lang w:val="en-GB"/>
              </w:rPr>
            </w:pPr>
            <w:r w:rsidRPr="00BC2D1E">
              <w:rPr>
                <w:rFonts w:ascii="Arial" w:eastAsia="Arial Unicode MS" w:hAnsi="Arial" w:cs="Arial"/>
                <w:sz w:val="18"/>
                <w:szCs w:val="18"/>
                <w:lang w:val="en-GB"/>
              </w:rPr>
              <w:t>-</w:t>
            </w:r>
          </w:p>
        </w:tc>
      </w:tr>
      <w:tr w:rsidR="00E07C4E" w:rsidRPr="00721663" w14:paraId="03D8A9F6" w14:textId="77777777" w:rsidTr="00551604">
        <w:trPr>
          <w:trHeight w:hRule="exact" w:val="318"/>
        </w:trPr>
        <w:tc>
          <w:tcPr>
            <w:tcW w:w="4678" w:type="dxa"/>
            <w:tcBorders>
              <w:bottom w:val="nil"/>
            </w:tcBorders>
            <w:noWrap/>
            <w:vAlign w:val="bottom"/>
          </w:tcPr>
          <w:p w14:paraId="4631A0C2" w14:textId="77777777" w:rsidR="00E07C4E" w:rsidRPr="00721663" w:rsidRDefault="00E07C4E" w:rsidP="00551604">
            <w:pPr>
              <w:jc w:val="left"/>
              <w:rPr>
                <w:rFonts w:ascii="Arial" w:hAnsi="Arial" w:cs="Arial"/>
                <w:sz w:val="18"/>
                <w:szCs w:val="18"/>
                <w:lang w:val="bg-BG"/>
              </w:rPr>
            </w:pPr>
          </w:p>
        </w:tc>
        <w:tc>
          <w:tcPr>
            <w:tcW w:w="1843" w:type="dxa"/>
            <w:tcBorders>
              <w:top w:val="single" w:sz="6" w:space="0" w:color="auto"/>
              <w:bottom w:val="double" w:sz="6" w:space="0" w:color="auto"/>
            </w:tcBorders>
            <w:vAlign w:val="center"/>
          </w:tcPr>
          <w:p w14:paraId="78F109B1" w14:textId="3F2F2412" w:rsidR="00E07C4E" w:rsidRPr="008F17B6" w:rsidRDefault="008F17B6" w:rsidP="00551604">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248</w:t>
            </w:r>
          </w:p>
        </w:tc>
        <w:tc>
          <w:tcPr>
            <w:tcW w:w="284" w:type="dxa"/>
            <w:tcBorders>
              <w:top w:val="nil"/>
              <w:bottom w:val="nil"/>
            </w:tcBorders>
            <w:vAlign w:val="center"/>
          </w:tcPr>
          <w:p w14:paraId="520DB5A0" w14:textId="77777777" w:rsidR="00E07C4E" w:rsidRPr="00721663" w:rsidRDefault="00E07C4E" w:rsidP="00551604">
            <w:pPr>
              <w:ind w:right="142"/>
              <w:jc w:val="right"/>
              <w:rPr>
                <w:rFonts w:ascii="Arial" w:eastAsia="Arial Unicode MS" w:hAnsi="Arial" w:cs="Arial"/>
                <w:sz w:val="18"/>
                <w:szCs w:val="18"/>
                <w:lang w:val="bg-BG"/>
              </w:rPr>
            </w:pPr>
          </w:p>
        </w:tc>
        <w:tc>
          <w:tcPr>
            <w:tcW w:w="1984" w:type="dxa"/>
            <w:tcBorders>
              <w:top w:val="single" w:sz="6" w:space="0" w:color="auto"/>
              <w:bottom w:val="double" w:sz="6" w:space="0" w:color="auto"/>
            </w:tcBorders>
            <w:vAlign w:val="center"/>
          </w:tcPr>
          <w:p w14:paraId="72FD8B5F" w14:textId="03ECBD3E" w:rsidR="00E07C4E" w:rsidRPr="008F17B6" w:rsidRDefault="008F17B6" w:rsidP="00551604">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498</w:t>
            </w:r>
          </w:p>
        </w:tc>
      </w:tr>
    </w:tbl>
    <w:p w14:paraId="14B481D9" w14:textId="77777777" w:rsidR="008F17B6" w:rsidRDefault="008F17B6" w:rsidP="00E07C4E">
      <w:pPr>
        <w:pStyle w:val="Notesbodytext"/>
        <w:spacing w:before="120"/>
        <w:rPr>
          <w:rFonts w:ascii="Arial" w:hAnsi="Arial"/>
          <w:lang w:val="bg-BG"/>
        </w:rPr>
      </w:pPr>
    </w:p>
    <w:p w14:paraId="766FF67D" w14:textId="77777777" w:rsidR="008F17B6" w:rsidRDefault="008F17B6">
      <w:pPr>
        <w:spacing w:line="240" w:lineRule="auto"/>
        <w:jc w:val="left"/>
        <w:rPr>
          <w:rFonts w:ascii="Arial" w:hAnsi="Arial" w:cs="Arial"/>
          <w:color w:val="000000"/>
          <w:sz w:val="18"/>
          <w:lang w:val="bg-BG"/>
        </w:rPr>
      </w:pPr>
      <w:r>
        <w:rPr>
          <w:rFonts w:ascii="Arial" w:hAnsi="Arial"/>
          <w:lang w:val="bg-BG"/>
        </w:rPr>
        <w:br w:type="page"/>
      </w:r>
    </w:p>
    <w:p w14:paraId="4ADC30F0" w14:textId="7C4E455E" w:rsidR="008F17B6" w:rsidRPr="008F17B6" w:rsidRDefault="008F17B6" w:rsidP="008F17B6">
      <w:pPr>
        <w:pStyle w:val="BodyText"/>
        <w:jc w:val="left"/>
        <w:rPr>
          <w:rFonts w:ascii="Arial" w:hAnsi="Arial" w:cs="Arial"/>
          <w:b/>
          <w:lang w:val="bg-BG"/>
        </w:rPr>
      </w:pPr>
      <w:r w:rsidRPr="008F17B6">
        <w:rPr>
          <w:rFonts w:ascii="Arial" w:hAnsi="Arial" w:cs="Arial"/>
          <w:b/>
          <w:lang w:val="bg-BG"/>
        </w:rPr>
        <w:t>10. Търговски и други вземания (продължение)</w:t>
      </w:r>
    </w:p>
    <w:p w14:paraId="29FCEBF4" w14:textId="6BE6203F" w:rsidR="00E07C4E" w:rsidRPr="00721663" w:rsidRDefault="00E07C4E" w:rsidP="00E07C4E">
      <w:pPr>
        <w:pStyle w:val="Notesbodytext"/>
        <w:spacing w:before="120"/>
        <w:rPr>
          <w:rFonts w:ascii="Arial" w:hAnsi="Arial"/>
          <w:lang w:val="bg-BG"/>
        </w:rPr>
      </w:pPr>
      <w:r w:rsidRPr="00721663">
        <w:rPr>
          <w:rFonts w:ascii="Arial" w:hAnsi="Arial"/>
          <w:lang w:val="bg-BG"/>
        </w:rPr>
        <w:t xml:space="preserve">Към </w:t>
      </w:r>
      <w:r w:rsidR="00144930">
        <w:rPr>
          <w:rFonts w:ascii="Arial" w:hAnsi="Arial"/>
          <w:lang w:val="bg-BG"/>
        </w:rPr>
        <w:t>30 юни 2017</w:t>
      </w:r>
      <w:r w:rsidRPr="00721663">
        <w:rPr>
          <w:rFonts w:ascii="Arial" w:hAnsi="Arial"/>
          <w:lang w:val="bg-BG"/>
        </w:rPr>
        <w:t xml:space="preserve"> и </w:t>
      </w:r>
      <w:r w:rsidR="00144930">
        <w:rPr>
          <w:rFonts w:ascii="Arial" w:hAnsi="Arial"/>
          <w:lang w:val="bg-BG"/>
        </w:rPr>
        <w:t>31 декември 2016</w:t>
      </w:r>
      <w:r w:rsidRPr="00721663">
        <w:rPr>
          <w:rFonts w:ascii="Arial" w:hAnsi="Arial"/>
          <w:lang w:val="bg-BG"/>
        </w:rPr>
        <w:t xml:space="preserve"> г. търговските и други вземания са деноминирани в следната валута:</w:t>
      </w:r>
    </w:p>
    <w:tbl>
      <w:tblPr>
        <w:tblW w:w="8789" w:type="dxa"/>
        <w:tblBorders>
          <w:bottom w:val="double" w:sz="6" w:space="0" w:color="auto"/>
        </w:tblBorders>
        <w:tblLayout w:type="fixed"/>
        <w:tblCellMar>
          <w:left w:w="0" w:type="dxa"/>
          <w:right w:w="0" w:type="dxa"/>
        </w:tblCellMar>
        <w:tblLook w:val="0000" w:firstRow="0" w:lastRow="0" w:firstColumn="0" w:lastColumn="0" w:noHBand="0" w:noVBand="0"/>
      </w:tblPr>
      <w:tblGrid>
        <w:gridCol w:w="4678"/>
        <w:gridCol w:w="1843"/>
        <w:gridCol w:w="284"/>
        <w:gridCol w:w="1984"/>
      </w:tblGrid>
      <w:tr w:rsidR="00E07C4E" w:rsidRPr="00721663" w14:paraId="1D2BAE53" w14:textId="77777777" w:rsidTr="00551604">
        <w:trPr>
          <w:trHeight w:hRule="exact" w:val="522"/>
        </w:trPr>
        <w:tc>
          <w:tcPr>
            <w:tcW w:w="4678" w:type="dxa"/>
            <w:tcBorders>
              <w:bottom w:val="nil"/>
            </w:tcBorders>
            <w:noWrap/>
            <w:vAlign w:val="bottom"/>
          </w:tcPr>
          <w:p w14:paraId="66F4C236" w14:textId="77777777" w:rsidR="00E07C4E" w:rsidRPr="00721663" w:rsidRDefault="00E07C4E" w:rsidP="00551604">
            <w:pPr>
              <w:jc w:val="left"/>
              <w:rPr>
                <w:rFonts w:ascii="Arial" w:eastAsia="Arial Unicode MS" w:hAnsi="Arial" w:cs="Arial"/>
                <w:sz w:val="18"/>
                <w:szCs w:val="18"/>
                <w:lang w:val="bg-BG"/>
              </w:rPr>
            </w:pPr>
          </w:p>
        </w:tc>
        <w:tc>
          <w:tcPr>
            <w:tcW w:w="1843" w:type="dxa"/>
            <w:tcBorders>
              <w:bottom w:val="single" w:sz="6" w:space="0" w:color="auto"/>
            </w:tcBorders>
            <w:vAlign w:val="bottom"/>
          </w:tcPr>
          <w:p w14:paraId="56CB71E6" w14:textId="146134D4" w:rsidR="00E07C4E" w:rsidRPr="00721663" w:rsidRDefault="00144930" w:rsidP="00551604">
            <w:pPr>
              <w:jc w:val="right"/>
              <w:rPr>
                <w:rFonts w:ascii="Arial" w:hAnsi="Arial" w:cs="Arial"/>
                <w:b/>
                <w:bCs/>
                <w:sz w:val="18"/>
                <w:szCs w:val="18"/>
                <w:lang w:val="bg-BG"/>
              </w:rPr>
            </w:pPr>
            <w:r>
              <w:rPr>
                <w:rFonts w:ascii="Arial" w:hAnsi="Arial" w:cs="Arial"/>
                <w:b/>
                <w:bCs/>
                <w:sz w:val="18"/>
                <w:szCs w:val="18"/>
                <w:lang w:val="bg-BG"/>
              </w:rPr>
              <w:t>30 юни 2017</w:t>
            </w:r>
          </w:p>
        </w:tc>
        <w:tc>
          <w:tcPr>
            <w:tcW w:w="284" w:type="dxa"/>
            <w:tcBorders>
              <w:bottom w:val="nil"/>
            </w:tcBorders>
            <w:vAlign w:val="bottom"/>
          </w:tcPr>
          <w:p w14:paraId="55DD6E0D" w14:textId="77777777" w:rsidR="00E07C4E" w:rsidRPr="00721663" w:rsidRDefault="00E07C4E" w:rsidP="00551604">
            <w:pPr>
              <w:jc w:val="right"/>
              <w:rPr>
                <w:rFonts w:ascii="Arial" w:hAnsi="Arial" w:cs="Arial"/>
                <w:b/>
                <w:bCs/>
                <w:sz w:val="18"/>
                <w:szCs w:val="18"/>
                <w:lang w:val="bg-BG"/>
              </w:rPr>
            </w:pPr>
          </w:p>
        </w:tc>
        <w:tc>
          <w:tcPr>
            <w:tcW w:w="1984" w:type="dxa"/>
            <w:tcBorders>
              <w:bottom w:val="single" w:sz="6" w:space="0" w:color="auto"/>
            </w:tcBorders>
            <w:vAlign w:val="bottom"/>
          </w:tcPr>
          <w:p w14:paraId="2AD3DF56" w14:textId="2D6B09E3" w:rsidR="00E07C4E" w:rsidRPr="00721663" w:rsidRDefault="00144930" w:rsidP="00551604">
            <w:pPr>
              <w:tabs>
                <w:tab w:val="left" w:pos="1343"/>
              </w:tabs>
              <w:ind w:right="34"/>
              <w:jc w:val="right"/>
              <w:rPr>
                <w:rFonts w:ascii="Arial" w:hAnsi="Arial" w:cs="Arial"/>
                <w:b/>
                <w:bCs/>
                <w:sz w:val="18"/>
                <w:szCs w:val="18"/>
                <w:lang w:val="bg-BG"/>
              </w:rPr>
            </w:pPr>
            <w:r>
              <w:rPr>
                <w:rFonts w:ascii="Arial" w:hAnsi="Arial" w:cs="Arial"/>
                <w:b/>
                <w:bCs/>
                <w:sz w:val="18"/>
                <w:szCs w:val="18"/>
                <w:lang w:val="bg-BG"/>
              </w:rPr>
              <w:t>31 декември 2016</w:t>
            </w:r>
          </w:p>
        </w:tc>
      </w:tr>
      <w:tr w:rsidR="00E07C4E" w:rsidRPr="00721663" w14:paraId="5C86439E" w14:textId="77777777" w:rsidTr="00551604">
        <w:trPr>
          <w:trHeight w:hRule="exact" w:val="284"/>
        </w:trPr>
        <w:tc>
          <w:tcPr>
            <w:tcW w:w="4678" w:type="dxa"/>
            <w:tcBorders>
              <w:bottom w:val="nil"/>
            </w:tcBorders>
            <w:noWrap/>
            <w:vAlign w:val="bottom"/>
          </w:tcPr>
          <w:p w14:paraId="2FCB75F4" w14:textId="77777777" w:rsidR="00E07C4E" w:rsidRPr="00721663" w:rsidRDefault="00E07C4E" w:rsidP="00551604">
            <w:pPr>
              <w:jc w:val="left"/>
              <w:rPr>
                <w:rFonts w:ascii="Arial" w:eastAsia="Arial Unicode MS" w:hAnsi="Arial" w:cs="Arial"/>
                <w:sz w:val="18"/>
                <w:szCs w:val="18"/>
                <w:lang w:val="bg-BG"/>
              </w:rPr>
            </w:pPr>
            <w:r w:rsidRPr="00721663">
              <w:rPr>
                <w:rFonts w:ascii="Arial" w:eastAsia="Arial Unicode MS" w:hAnsi="Arial" w:cs="Arial"/>
                <w:sz w:val="18"/>
                <w:szCs w:val="18"/>
                <w:lang w:val="bg-BG"/>
              </w:rPr>
              <w:t xml:space="preserve"> </w:t>
            </w:r>
          </w:p>
        </w:tc>
        <w:tc>
          <w:tcPr>
            <w:tcW w:w="1843" w:type="dxa"/>
            <w:tcBorders>
              <w:top w:val="single" w:sz="6" w:space="0" w:color="auto"/>
              <w:bottom w:val="nil"/>
            </w:tcBorders>
            <w:vAlign w:val="bottom"/>
          </w:tcPr>
          <w:p w14:paraId="2B78D647" w14:textId="77777777" w:rsidR="00E07C4E" w:rsidRPr="00721663" w:rsidRDefault="00E07C4E" w:rsidP="00551604">
            <w:pPr>
              <w:jc w:val="right"/>
              <w:rPr>
                <w:rFonts w:ascii="Arial" w:eastAsia="Arial Unicode MS" w:hAnsi="Arial" w:cs="Arial"/>
                <w:b/>
                <w:sz w:val="18"/>
                <w:szCs w:val="18"/>
                <w:lang w:val="bg-BG"/>
              </w:rPr>
            </w:pPr>
            <w:r w:rsidRPr="00721663">
              <w:rPr>
                <w:rFonts w:ascii="Arial" w:hAnsi="Arial" w:cs="Arial"/>
                <w:b/>
                <w:bCs/>
                <w:sz w:val="18"/>
                <w:szCs w:val="18"/>
                <w:lang w:val="bg-BG"/>
              </w:rPr>
              <w:t>хил. лв</w:t>
            </w:r>
            <w:r>
              <w:rPr>
                <w:rFonts w:ascii="Arial" w:hAnsi="Arial" w:cs="Arial"/>
                <w:b/>
                <w:bCs/>
                <w:sz w:val="18"/>
                <w:szCs w:val="18"/>
                <w:lang w:val="bg-BG"/>
              </w:rPr>
              <w:t>.</w:t>
            </w:r>
          </w:p>
        </w:tc>
        <w:tc>
          <w:tcPr>
            <w:tcW w:w="284" w:type="dxa"/>
            <w:tcBorders>
              <w:top w:val="nil"/>
              <w:bottom w:val="nil"/>
            </w:tcBorders>
            <w:vAlign w:val="bottom"/>
          </w:tcPr>
          <w:p w14:paraId="55C123F4" w14:textId="77777777" w:rsidR="00E07C4E" w:rsidRPr="00721663" w:rsidRDefault="00E07C4E" w:rsidP="00551604">
            <w:pPr>
              <w:jc w:val="right"/>
              <w:rPr>
                <w:rFonts w:ascii="Arial" w:eastAsia="Arial Unicode MS" w:hAnsi="Arial" w:cs="Arial"/>
                <w:b/>
                <w:sz w:val="18"/>
                <w:szCs w:val="18"/>
                <w:lang w:val="bg-BG"/>
              </w:rPr>
            </w:pPr>
          </w:p>
        </w:tc>
        <w:tc>
          <w:tcPr>
            <w:tcW w:w="1984" w:type="dxa"/>
            <w:tcBorders>
              <w:top w:val="single" w:sz="6" w:space="0" w:color="auto"/>
              <w:bottom w:val="nil"/>
            </w:tcBorders>
            <w:vAlign w:val="bottom"/>
          </w:tcPr>
          <w:p w14:paraId="6D8D3063" w14:textId="77777777" w:rsidR="00E07C4E" w:rsidRPr="00721663" w:rsidRDefault="00E07C4E" w:rsidP="00551604">
            <w:pPr>
              <w:jc w:val="right"/>
              <w:rPr>
                <w:rFonts w:ascii="Arial" w:eastAsia="Arial Unicode MS" w:hAnsi="Arial" w:cs="Arial"/>
                <w:b/>
                <w:sz w:val="18"/>
                <w:szCs w:val="18"/>
                <w:lang w:val="bg-BG"/>
              </w:rPr>
            </w:pPr>
            <w:r w:rsidRPr="00721663">
              <w:rPr>
                <w:rFonts w:ascii="Arial" w:hAnsi="Arial" w:cs="Arial"/>
                <w:b/>
                <w:bCs/>
                <w:sz w:val="18"/>
                <w:szCs w:val="18"/>
                <w:lang w:val="bg-BG"/>
              </w:rPr>
              <w:t>хил. лв</w:t>
            </w:r>
            <w:r>
              <w:rPr>
                <w:rFonts w:ascii="Arial" w:hAnsi="Arial" w:cs="Arial"/>
                <w:b/>
                <w:bCs/>
                <w:sz w:val="18"/>
                <w:szCs w:val="18"/>
                <w:lang w:val="bg-BG"/>
              </w:rPr>
              <w:t>.</w:t>
            </w:r>
          </w:p>
        </w:tc>
      </w:tr>
      <w:tr w:rsidR="008F17B6" w:rsidRPr="00721663" w14:paraId="2678735D" w14:textId="77777777" w:rsidTr="00551604">
        <w:trPr>
          <w:trHeight w:hRule="exact" w:val="318"/>
        </w:trPr>
        <w:tc>
          <w:tcPr>
            <w:tcW w:w="4678" w:type="dxa"/>
            <w:tcBorders>
              <w:bottom w:val="nil"/>
            </w:tcBorders>
            <w:noWrap/>
            <w:vAlign w:val="center"/>
          </w:tcPr>
          <w:p w14:paraId="25DCF5C4" w14:textId="77777777" w:rsidR="008F17B6" w:rsidRPr="00721663" w:rsidRDefault="008F17B6" w:rsidP="008F17B6">
            <w:pPr>
              <w:ind w:right="141"/>
              <w:jc w:val="left"/>
              <w:rPr>
                <w:rFonts w:ascii="Arial" w:hAnsi="Arial" w:cs="Arial"/>
                <w:sz w:val="18"/>
                <w:szCs w:val="18"/>
                <w:lang w:val="bg-BG"/>
              </w:rPr>
            </w:pPr>
            <w:r w:rsidRPr="00721663">
              <w:rPr>
                <w:rFonts w:ascii="Arial" w:hAnsi="Arial" w:cs="Arial"/>
                <w:sz w:val="18"/>
                <w:szCs w:val="18"/>
                <w:lang w:val="bg-BG"/>
              </w:rPr>
              <w:t>Български лев</w:t>
            </w:r>
          </w:p>
        </w:tc>
        <w:tc>
          <w:tcPr>
            <w:tcW w:w="1843" w:type="dxa"/>
            <w:tcBorders>
              <w:bottom w:val="nil"/>
            </w:tcBorders>
            <w:vAlign w:val="center"/>
          </w:tcPr>
          <w:p w14:paraId="28CD333A" w14:textId="4D9D8352" w:rsidR="008F17B6" w:rsidRPr="00BC2D1E" w:rsidRDefault="008F17B6" w:rsidP="008F17B6">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252</w:t>
            </w:r>
          </w:p>
        </w:tc>
        <w:tc>
          <w:tcPr>
            <w:tcW w:w="284" w:type="dxa"/>
            <w:tcBorders>
              <w:bottom w:val="nil"/>
            </w:tcBorders>
            <w:vAlign w:val="center"/>
          </w:tcPr>
          <w:p w14:paraId="6332F56F" w14:textId="77777777" w:rsidR="008F17B6" w:rsidRPr="00721663" w:rsidRDefault="008F17B6" w:rsidP="008F17B6">
            <w:pPr>
              <w:ind w:right="142"/>
              <w:jc w:val="right"/>
              <w:rPr>
                <w:rFonts w:ascii="Arial" w:eastAsia="Arial Unicode MS" w:hAnsi="Arial" w:cs="Arial"/>
                <w:sz w:val="18"/>
                <w:szCs w:val="18"/>
                <w:lang w:val="bg-BG"/>
              </w:rPr>
            </w:pPr>
          </w:p>
        </w:tc>
        <w:tc>
          <w:tcPr>
            <w:tcW w:w="1984" w:type="dxa"/>
            <w:tcBorders>
              <w:bottom w:val="nil"/>
            </w:tcBorders>
            <w:vAlign w:val="center"/>
          </w:tcPr>
          <w:p w14:paraId="34FE9A76" w14:textId="2711F632" w:rsidR="008F17B6" w:rsidRPr="00BC2D1E" w:rsidRDefault="008F17B6" w:rsidP="008F17B6">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664</w:t>
            </w:r>
          </w:p>
        </w:tc>
      </w:tr>
      <w:tr w:rsidR="008F17B6" w:rsidRPr="00721663" w14:paraId="082947A2" w14:textId="77777777" w:rsidTr="00551604">
        <w:trPr>
          <w:trHeight w:hRule="exact" w:val="318"/>
        </w:trPr>
        <w:tc>
          <w:tcPr>
            <w:tcW w:w="4678" w:type="dxa"/>
            <w:tcBorders>
              <w:bottom w:val="nil"/>
            </w:tcBorders>
            <w:noWrap/>
            <w:vAlign w:val="center"/>
          </w:tcPr>
          <w:p w14:paraId="75EE9019" w14:textId="77777777" w:rsidR="008F17B6" w:rsidRPr="00721663" w:rsidRDefault="008F17B6" w:rsidP="008F17B6">
            <w:pPr>
              <w:ind w:right="141"/>
              <w:jc w:val="left"/>
              <w:rPr>
                <w:rFonts w:ascii="Arial" w:hAnsi="Arial" w:cs="Arial"/>
                <w:sz w:val="18"/>
                <w:szCs w:val="18"/>
                <w:lang w:val="bg-BG"/>
              </w:rPr>
            </w:pPr>
            <w:r w:rsidRPr="00721663">
              <w:rPr>
                <w:rFonts w:ascii="Arial" w:hAnsi="Arial" w:cs="Arial"/>
                <w:sz w:val="18"/>
                <w:szCs w:val="18"/>
                <w:lang w:val="bg-BG"/>
              </w:rPr>
              <w:t>Евро</w:t>
            </w:r>
          </w:p>
        </w:tc>
        <w:tc>
          <w:tcPr>
            <w:tcW w:w="1843" w:type="dxa"/>
            <w:tcBorders>
              <w:bottom w:val="nil"/>
            </w:tcBorders>
            <w:vAlign w:val="center"/>
          </w:tcPr>
          <w:p w14:paraId="5C1AFCB3" w14:textId="6CB27EA4" w:rsidR="008F17B6" w:rsidRPr="00BC2D1E" w:rsidRDefault="008F17B6" w:rsidP="008F17B6">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28</w:t>
            </w:r>
          </w:p>
        </w:tc>
        <w:tc>
          <w:tcPr>
            <w:tcW w:w="284" w:type="dxa"/>
            <w:tcBorders>
              <w:bottom w:val="nil"/>
            </w:tcBorders>
            <w:vAlign w:val="center"/>
          </w:tcPr>
          <w:p w14:paraId="125D5558" w14:textId="77777777" w:rsidR="008F17B6" w:rsidRPr="00721663" w:rsidRDefault="008F17B6" w:rsidP="008F17B6">
            <w:pPr>
              <w:ind w:right="142"/>
              <w:jc w:val="right"/>
              <w:rPr>
                <w:rFonts w:ascii="Arial" w:eastAsia="Arial Unicode MS" w:hAnsi="Arial" w:cs="Arial"/>
                <w:sz w:val="18"/>
                <w:szCs w:val="18"/>
                <w:lang w:val="bg-BG"/>
              </w:rPr>
            </w:pPr>
          </w:p>
        </w:tc>
        <w:tc>
          <w:tcPr>
            <w:tcW w:w="1984" w:type="dxa"/>
            <w:tcBorders>
              <w:bottom w:val="nil"/>
            </w:tcBorders>
            <w:vAlign w:val="center"/>
          </w:tcPr>
          <w:p w14:paraId="219FBD2E" w14:textId="2B303207" w:rsidR="008F17B6" w:rsidRPr="00BC2D1E" w:rsidRDefault="008F17B6" w:rsidP="008F17B6">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63</w:t>
            </w:r>
          </w:p>
        </w:tc>
      </w:tr>
      <w:tr w:rsidR="008F17B6" w:rsidRPr="00721663" w14:paraId="08670866" w14:textId="77777777" w:rsidTr="00551604">
        <w:trPr>
          <w:trHeight w:hRule="exact" w:val="318"/>
        </w:trPr>
        <w:tc>
          <w:tcPr>
            <w:tcW w:w="4678" w:type="dxa"/>
            <w:tcBorders>
              <w:bottom w:val="nil"/>
            </w:tcBorders>
            <w:noWrap/>
            <w:vAlign w:val="bottom"/>
          </w:tcPr>
          <w:p w14:paraId="32ADD4FD" w14:textId="77777777" w:rsidR="008F17B6" w:rsidRPr="00721663" w:rsidRDefault="008F17B6" w:rsidP="008F17B6">
            <w:pPr>
              <w:jc w:val="left"/>
              <w:rPr>
                <w:rFonts w:ascii="Arial" w:hAnsi="Arial" w:cs="Arial"/>
                <w:sz w:val="18"/>
                <w:szCs w:val="18"/>
                <w:lang w:val="bg-BG"/>
              </w:rPr>
            </w:pPr>
          </w:p>
        </w:tc>
        <w:tc>
          <w:tcPr>
            <w:tcW w:w="1843" w:type="dxa"/>
            <w:tcBorders>
              <w:top w:val="single" w:sz="6" w:space="0" w:color="auto"/>
              <w:bottom w:val="double" w:sz="6" w:space="0" w:color="auto"/>
            </w:tcBorders>
            <w:vAlign w:val="center"/>
          </w:tcPr>
          <w:p w14:paraId="51D0BE28" w14:textId="48F98933" w:rsidR="008F17B6" w:rsidRPr="00BC2D1E" w:rsidRDefault="008F17B6" w:rsidP="008F17B6">
            <w:pPr>
              <w:ind w:right="142"/>
              <w:jc w:val="right"/>
              <w:rPr>
                <w:rFonts w:ascii="Arial" w:eastAsia="Arial Unicode MS" w:hAnsi="Arial" w:cs="Arial"/>
                <w:b/>
                <w:sz w:val="18"/>
                <w:szCs w:val="18"/>
                <w:lang w:val="en-GB"/>
              </w:rPr>
            </w:pPr>
            <w:r>
              <w:rPr>
                <w:rFonts w:ascii="Arial" w:eastAsia="Arial Unicode MS" w:hAnsi="Arial" w:cs="Arial"/>
                <w:b/>
                <w:sz w:val="18"/>
                <w:szCs w:val="18"/>
                <w:lang w:val="en-GB" w:eastAsia="bg-BG"/>
              </w:rPr>
              <w:t>280</w:t>
            </w:r>
          </w:p>
        </w:tc>
        <w:tc>
          <w:tcPr>
            <w:tcW w:w="284" w:type="dxa"/>
            <w:tcBorders>
              <w:top w:val="nil"/>
              <w:bottom w:val="nil"/>
            </w:tcBorders>
            <w:vAlign w:val="center"/>
          </w:tcPr>
          <w:p w14:paraId="501BF2FA" w14:textId="77777777" w:rsidR="008F17B6" w:rsidRPr="00721663" w:rsidRDefault="008F17B6" w:rsidP="008F17B6">
            <w:pPr>
              <w:ind w:right="142"/>
              <w:jc w:val="right"/>
              <w:rPr>
                <w:rFonts w:ascii="Arial" w:eastAsia="Arial Unicode MS" w:hAnsi="Arial" w:cs="Arial"/>
                <w:sz w:val="18"/>
                <w:szCs w:val="18"/>
                <w:lang w:val="bg-BG"/>
              </w:rPr>
            </w:pPr>
          </w:p>
        </w:tc>
        <w:tc>
          <w:tcPr>
            <w:tcW w:w="1984" w:type="dxa"/>
            <w:tcBorders>
              <w:top w:val="single" w:sz="6" w:space="0" w:color="auto"/>
              <w:bottom w:val="double" w:sz="6" w:space="0" w:color="auto"/>
            </w:tcBorders>
            <w:vAlign w:val="center"/>
          </w:tcPr>
          <w:p w14:paraId="5B45309E" w14:textId="388907E0" w:rsidR="008F17B6" w:rsidRPr="00BC2D1E" w:rsidRDefault="008F17B6" w:rsidP="008F17B6">
            <w:pPr>
              <w:ind w:right="142"/>
              <w:jc w:val="right"/>
              <w:rPr>
                <w:rFonts w:ascii="Arial" w:eastAsia="Arial Unicode MS" w:hAnsi="Arial" w:cs="Arial"/>
                <w:b/>
                <w:sz w:val="18"/>
                <w:szCs w:val="18"/>
                <w:lang w:val="en-GB"/>
              </w:rPr>
            </w:pPr>
            <w:r>
              <w:rPr>
                <w:rFonts w:ascii="Arial" w:eastAsia="Arial Unicode MS" w:hAnsi="Arial" w:cs="Arial"/>
                <w:b/>
                <w:sz w:val="18"/>
                <w:szCs w:val="18"/>
                <w:lang w:val="en-GB" w:eastAsia="bg-BG"/>
              </w:rPr>
              <w:t>727</w:t>
            </w:r>
          </w:p>
        </w:tc>
      </w:tr>
    </w:tbl>
    <w:p w14:paraId="73B9F337" w14:textId="538ED25B" w:rsidR="00E07C4E" w:rsidRPr="00721663" w:rsidRDefault="00E07C4E" w:rsidP="00E07C4E">
      <w:pPr>
        <w:pStyle w:val="Notesbodytext"/>
        <w:spacing w:before="120"/>
        <w:rPr>
          <w:rFonts w:ascii="Arial" w:hAnsi="Arial"/>
          <w:lang w:val="bg-BG"/>
        </w:rPr>
      </w:pPr>
      <w:r w:rsidRPr="00721663">
        <w:rPr>
          <w:rFonts w:ascii="Arial" w:hAnsi="Arial"/>
          <w:lang w:val="bg-BG"/>
        </w:rPr>
        <w:t xml:space="preserve">Към </w:t>
      </w:r>
      <w:r w:rsidR="00144930">
        <w:rPr>
          <w:rFonts w:ascii="Arial" w:hAnsi="Arial"/>
          <w:lang w:val="bg-BG"/>
        </w:rPr>
        <w:t>30 юни 2017</w:t>
      </w:r>
      <w:r w:rsidRPr="00721663">
        <w:rPr>
          <w:rFonts w:ascii="Arial" w:hAnsi="Arial"/>
          <w:lang w:val="bg-BG"/>
        </w:rPr>
        <w:t xml:space="preserve"> и </w:t>
      </w:r>
      <w:r w:rsidR="00144930">
        <w:rPr>
          <w:rFonts w:ascii="Arial" w:hAnsi="Arial"/>
          <w:lang w:val="bg-BG"/>
        </w:rPr>
        <w:t>31 декември 2016</w:t>
      </w:r>
      <w:r w:rsidRPr="00721663">
        <w:rPr>
          <w:rFonts w:ascii="Arial" w:hAnsi="Arial"/>
          <w:lang w:val="bg-BG"/>
        </w:rPr>
        <w:t xml:space="preserve"> г. вземанията от клиенти на Групата са заложени в полза на Демир</w:t>
      </w:r>
      <w:r>
        <w:rPr>
          <w:rFonts w:ascii="Arial" w:hAnsi="Arial"/>
          <w:lang w:val="bg-BG"/>
        </w:rPr>
        <w:t xml:space="preserve"> </w:t>
      </w:r>
      <w:r w:rsidRPr="00721663">
        <w:rPr>
          <w:rFonts w:ascii="Arial" w:hAnsi="Arial"/>
          <w:lang w:val="bg-BG"/>
        </w:rPr>
        <w:t>Халк Банк (бележка 9).</w:t>
      </w:r>
    </w:p>
    <w:p w14:paraId="3FB46DBB" w14:textId="7BFFE354" w:rsidR="00E07C4E" w:rsidRPr="00721663" w:rsidRDefault="00E07C4E" w:rsidP="00E07C4E">
      <w:pPr>
        <w:spacing w:line="240" w:lineRule="auto"/>
        <w:jc w:val="left"/>
        <w:rPr>
          <w:rFonts w:ascii="Arial" w:hAnsi="Arial" w:cs="Arial"/>
          <w:b/>
          <w:lang w:val="bg-BG"/>
        </w:rPr>
      </w:pPr>
    </w:p>
    <w:p w14:paraId="07E27661" w14:textId="77777777" w:rsidR="00E07C4E" w:rsidRPr="00721663" w:rsidRDefault="00E07C4E" w:rsidP="00E07C4E">
      <w:pPr>
        <w:pStyle w:val="Heading1"/>
      </w:pPr>
      <w:bookmarkStart w:id="42" w:name="_Toc490647403"/>
      <w:r w:rsidRPr="00721663">
        <w:t xml:space="preserve">11. </w:t>
      </w:r>
      <w:bookmarkEnd w:id="37"/>
      <w:r w:rsidRPr="00721663">
        <w:t>Парични средства и парични еквиваленти</w:t>
      </w:r>
      <w:bookmarkEnd w:id="42"/>
    </w:p>
    <w:tbl>
      <w:tblPr>
        <w:tblW w:w="8789" w:type="dxa"/>
        <w:tblCellMar>
          <w:left w:w="0" w:type="dxa"/>
          <w:right w:w="0" w:type="dxa"/>
        </w:tblCellMar>
        <w:tblLook w:val="0000" w:firstRow="0" w:lastRow="0" w:firstColumn="0" w:lastColumn="0" w:noHBand="0" w:noVBand="0"/>
      </w:tblPr>
      <w:tblGrid>
        <w:gridCol w:w="4678"/>
        <w:gridCol w:w="1843"/>
        <w:gridCol w:w="283"/>
        <w:gridCol w:w="1985"/>
      </w:tblGrid>
      <w:tr w:rsidR="00E07C4E" w:rsidRPr="00721663" w14:paraId="4A82CF4E" w14:textId="77777777" w:rsidTr="00551604">
        <w:trPr>
          <w:cantSplit/>
          <w:trHeight w:hRule="exact" w:val="559"/>
        </w:trPr>
        <w:tc>
          <w:tcPr>
            <w:tcW w:w="4678" w:type="dxa"/>
            <w:tcBorders>
              <w:top w:val="nil"/>
              <w:left w:val="nil"/>
              <w:right w:val="nil"/>
            </w:tcBorders>
          </w:tcPr>
          <w:p w14:paraId="15E419BE" w14:textId="77777777" w:rsidR="00E07C4E" w:rsidRPr="00721663" w:rsidRDefault="00E07C4E" w:rsidP="00551604">
            <w:pPr>
              <w:rPr>
                <w:rFonts w:eastAsia="Calibri"/>
                <w:color w:val="000000"/>
                <w:lang w:val="bg-BG"/>
              </w:rPr>
            </w:pPr>
            <w:bookmarkStart w:id="43" w:name="_Toc292215954"/>
          </w:p>
        </w:tc>
        <w:tc>
          <w:tcPr>
            <w:tcW w:w="1843" w:type="dxa"/>
            <w:tcBorders>
              <w:top w:val="nil"/>
              <w:left w:val="nil"/>
              <w:bottom w:val="single" w:sz="4" w:space="0" w:color="auto"/>
              <w:right w:val="nil"/>
            </w:tcBorders>
            <w:vAlign w:val="bottom"/>
          </w:tcPr>
          <w:p w14:paraId="6ABC51D5" w14:textId="153301A9" w:rsidR="00E07C4E" w:rsidRPr="00721663" w:rsidRDefault="00144930" w:rsidP="00551604">
            <w:pPr>
              <w:jc w:val="right"/>
              <w:rPr>
                <w:rFonts w:ascii="Arial" w:hAnsi="Arial" w:cs="Arial"/>
                <w:b/>
                <w:bCs/>
                <w:sz w:val="18"/>
                <w:szCs w:val="18"/>
                <w:lang w:val="bg-BG"/>
              </w:rPr>
            </w:pPr>
            <w:r>
              <w:rPr>
                <w:rFonts w:ascii="Arial" w:hAnsi="Arial" w:cs="Arial"/>
                <w:b/>
                <w:bCs/>
                <w:sz w:val="18"/>
                <w:szCs w:val="18"/>
                <w:lang w:val="bg-BG"/>
              </w:rPr>
              <w:t>30 юни 2017</w:t>
            </w:r>
          </w:p>
        </w:tc>
        <w:tc>
          <w:tcPr>
            <w:tcW w:w="283" w:type="dxa"/>
            <w:tcBorders>
              <w:top w:val="nil"/>
              <w:left w:val="nil"/>
              <w:right w:val="nil"/>
            </w:tcBorders>
            <w:vAlign w:val="bottom"/>
          </w:tcPr>
          <w:p w14:paraId="559C40FA" w14:textId="77777777" w:rsidR="00E07C4E" w:rsidRPr="00721663" w:rsidRDefault="00E07C4E" w:rsidP="00551604">
            <w:pPr>
              <w:jc w:val="right"/>
              <w:rPr>
                <w:rFonts w:ascii="Arial" w:hAnsi="Arial" w:cs="Arial"/>
                <w:b/>
                <w:bCs/>
                <w:sz w:val="18"/>
                <w:szCs w:val="18"/>
                <w:lang w:val="bg-BG"/>
              </w:rPr>
            </w:pPr>
          </w:p>
        </w:tc>
        <w:tc>
          <w:tcPr>
            <w:tcW w:w="1985" w:type="dxa"/>
            <w:tcBorders>
              <w:top w:val="nil"/>
              <w:left w:val="nil"/>
              <w:bottom w:val="single" w:sz="4" w:space="0" w:color="auto"/>
              <w:right w:val="nil"/>
            </w:tcBorders>
            <w:vAlign w:val="bottom"/>
          </w:tcPr>
          <w:p w14:paraId="6675A689" w14:textId="1CA83420" w:rsidR="00E07C4E" w:rsidRPr="00721663" w:rsidRDefault="00144930" w:rsidP="00551604">
            <w:pPr>
              <w:tabs>
                <w:tab w:val="left" w:pos="1343"/>
              </w:tabs>
              <w:ind w:right="34"/>
              <w:jc w:val="right"/>
              <w:rPr>
                <w:rFonts w:ascii="Arial" w:hAnsi="Arial" w:cs="Arial"/>
                <w:b/>
                <w:bCs/>
                <w:sz w:val="18"/>
                <w:szCs w:val="18"/>
                <w:lang w:val="bg-BG"/>
              </w:rPr>
            </w:pPr>
            <w:r>
              <w:rPr>
                <w:rFonts w:ascii="Arial" w:hAnsi="Arial" w:cs="Arial"/>
                <w:b/>
                <w:bCs/>
                <w:sz w:val="18"/>
                <w:szCs w:val="18"/>
                <w:lang w:val="bg-BG"/>
              </w:rPr>
              <w:t>31 декември 2016</w:t>
            </w:r>
          </w:p>
        </w:tc>
      </w:tr>
      <w:tr w:rsidR="00E07C4E" w:rsidRPr="00721663" w14:paraId="6A4FA5D9" w14:textId="77777777" w:rsidTr="00551604">
        <w:trPr>
          <w:cantSplit/>
          <w:trHeight w:hRule="exact" w:val="243"/>
        </w:trPr>
        <w:tc>
          <w:tcPr>
            <w:tcW w:w="4678" w:type="dxa"/>
            <w:tcBorders>
              <w:top w:val="nil"/>
              <w:left w:val="nil"/>
              <w:right w:val="nil"/>
            </w:tcBorders>
          </w:tcPr>
          <w:p w14:paraId="1757AEA4" w14:textId="77777777" w:rsidR="00E07C4E" w:rsidRPr="00721663" w:rsidRDefault="00E07C4E" w:rsidP="00551604">
            <w:pPr>
              <w:rPr>
                <w:rFonts w:eastAsia="Calibri"/>
                <w:color w:val="000000"/>
                <w:lang w:val="bg-BG"/>
              </w:rPr>
            </w:pPr>
          </w:p>
        </w:tc>
        <w:tc>
          <w:tcPr>
            <w:tcW w:w="1843" w:type="dxa"/>
            <w:tcBorders>
              <w:top w:val="single" w:sz="4" w:space="0" w:color="auto"/>
              <w:left w:val="nil"/>
              <w:right w:val="nil"/>
            </w:tcBorders>
            <w:vAlign w:val="bottom"/>
          </w:tcPr>
          <w:p w14:paraId="19D3921D" w14:textId="77777777" w:rsidR="00E07C4E" w:rsidRPr="00721663" w:rsidRDefault="00E07C4E" w:rsidP="00551604">
            <w:pPr>
              <w:jc w:val="right"/>
              <w:rPr>
                <w:rFonts w:ascii="Arial" w:eastAsia="Arial Unicode MS" w:hAnsi="Arial" w:cs="Arial"/>
                <w:sz w:val="18"/>
                <w:szCs w:val="18"/>
                <w:lang w:val="bg-BG"/>
              </w:rPr>
            </w:pPr>
            <w:r w:rsidRPr="00721663">
              <w:rPr>
                <w:rFonts w:ascii="Arial" w:hAnsi="Arial" w:cs="Arial"/>
                <w:b/>
                <w:bCs/>
                <w:sz w:val="18"/>
                <w:szCs w:val="18"/>
                <w:lang w:val="bg-BG"/>
              </w:rPr>
              <w:t>хил. лв.</w:t>
            </w:r>
          </w:p>
        </w:tc>
        <w:tc>
          <w:tcPr>
            <w:tcW w:w="283" w:type="dxa"/>
            <w:tcBorders>
              <w:top w:val="nil"/>
              <w:left w:val="nil"/>
              <w:right w:val="nil"/>
            </w:tcBorders>
          </w:tcPr>
          <w:p w14:paraId="64990F6A" w14:textId="77777777" w:rsidR="00E07C4E" w:rsidRPr="00721663" w:rsidRDefault="00E07C4E" w:rsidP="00551604">
            <w:pPr>
              <w:jc w:val="left"/>
              <w:rPr>
                <w:rFonts w:ascii="Arial" w:eastAsia="Arial Unicode MS" w:hAnsi="Arial" w:cs="Arial"/>
                <w:sz w:val="18"/>
                <w:szCs w:val="18"/>
                <w:lang w:val="bg-BG"/>
              </w:rPr>
            </w:pPr>
          </w:p>
        </w:tc>
        <w:tc>
          <w:tcPr>
            <w:tcW w:w="1985" w:type="dxa"/>
            <w:tcBorders>
              <w:top w:val="single" w:sz="4" w:space="0" w:color="auto"/>
              <w:left w:val="nil"/>
              <w:right w:val="nil"/>
            </w:tcBorders>
            <w:vAlign w:val="bottom"/>
          </w:tcPr>
          <w:p w14:paraId="5EF14E24" w14:textId="77777777" w:rsidR="00E07C4E" w:rsidRPr="00721663" w:rsidRDefault="00E07C4E" w:rsidP="00551604">
            <w:pPr>
              <w:jc w:val="right"/>
              <w:rPr>
                <w:rFonts w:ascii="Arial" w:eastAsia="Arial Unicode MS" w:hAnsi="Arial" w:cs="Arial"/>
                <w:sz w:val="18"/>
                <w:szCs w:val="18"/>
                <w:lang w:val="bg-BG"/>
              </w:rPr>
            </w:pPr>
            <w:r w:rsidRPr="00721663">
              <w:rPr>
                <w:rFonts w:ascii="Arial" w:hAnsi="Arial" w:cs="Arial"/>
                <w:b/>
                <w:bCs/>
                <w:sz w:val="18"/>
                <w:szCs w:val="18"/>
                <w:lang w:val="bg-BG"/>
              </w:rPr>
              <w:t>хил. лв</w:t>
            </w:r>
            <w:r>
              <w:rPr>
                <w:rFonts w:ascii="Arial" w:hAnsi="Arial" w:cs="Arial"/>
                <w:b/>
                <w:bCs/>
                <w:sz w:val="18"/>
                <w:szCs w:val="18"/>
                <w:lang w:val="bg-BG"/>
              </w:rPr>
              <w:t>.</w:t>
            </w:r>
          </w:p>
        </w:tc>
      </w:tr>
      <w:tr w:rsidR="008F17B6" w:rsidRPr="00721663" w14:paraId="0766776C" w14:textId="77777777" w:rsidTr="00551604">
        <w:trPr>
          <w:cantSplit/>
        </w:trPr>
        <w:tc>
          <w:tcPr>
            <w:tcW w:w="4678" w:type="dxa"/>
            <w:tcBorders>
              <w:top w:val="nil"/>
              <w:left w:val="nil"/>
              <w:right w:val="nil"/>
            </w:tcBorders>
            <w:vAlign w:val="center"/>
          </w:tcPr>
          <w:p w14:paraId="0C9A6FD2" w14:textId="77777777" w:rsidR="008F17B6" w:rsidRPr="00721663" w:rsidRDefault="008F17B6" w:rsidP="008F17B6">
            <w:pPr>
              <w:ind w:right="141"/>
              <w:jc w:val="left"/>
              <w:rPr>
                <w:rFonts w:ascii="Arial" w:hAnsi="Arial" w:cs="Arial"/>
                <w:sz w:val="18"/>
                <w:szCs w:val="18"/>
                <w:lang w:val="bg-BG"/>
              </w:rPr>
            </w:pPr>
            <w:r w:rsidRPr="00721663">
              <w:rPr>
                <w:rFonts w:ascii="Arial" w:hAnsi="Arial" w:cs="Arial"/>
                <w:sz w:val="18"/>
                <w:szCs w:val="18"/>
                <w:lang w:val="bg-BG"/>
              </w:rPr>
              <w:t>Парични средства по разплащателни сметки в евро</w:t>
            </w:r>
          </w:p>
        </w:tc>
        <w:tc>
          <w:tcPr>
            <w:tcW w:w="1843" w:type="dxa"/>
            <w:tcBorders>
              <w:left w:val="nil"/>
              <w:right w:val="nil"/>
            </w:tcBorders>
            <w:vAlign w:val="bottom"/>
          </w:tcPr>
          <w:p w14:paraId="1BC073AE" w14:textId="287A8D8A" w:rsidR="008F17B6" w:rsidRPr="00BC2D1E" w:rsidRDefault="00674FCF" w:rsidP="008F17B6">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24</w:t>
            </w:r>
          </w:p>
        </w:tc>
        <w:tc>
          <w:tcPr>
            <w:tcW w:w="283" w:type="dxa"/>
            <w:tcBorders>
              <w:left w:val="nil"/>
              <w:right w:val="nil"/>
            </w:tcBorders>
          </w:tcPr>
          <w:p w14:paraId="41228A04" w14:textId="77777777" w:rsidR="008F17B6" w:rsidRPr="00721663" w:rsidRDefault="008F17B6" w:rsidP="008F17B6">
            <w:pPr>
              <w:jc w:val="center"/>
              <w:rPr>
                <w:rFonts w:eastAsia="Calibri"/>
                <w:bCs/>
                <w:color w:val="000000"/>
                <w:lang w:val="bg-BG"/>
              </w:rPr>
            </w:pPr>
          </w:p>
        </w:tc>
        <w:tc>
          <w:tcPr>
            <w:tcW w:w="1985" w:type="dxa"/>
            <w:tcBorders>
              <w:left w:val="nil"/>
              <w:right w:val="nil"/>
            </w:tcBorders>
            <w:vAlign w:val="bottom"/>
          </w:tcPr>
          <w:p w14:paraId="651590F2" w14:textId="62609505" w:rsidR="008F17B6" w:rsidRPr="00BC2D1E" w:rsidRDefault="008F17B6" w:rsidP="008F17B6">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3</w:t>
            </w:r>
          </w:p>
        </w:tc>
      </w:tr>
      <w:tr w:rsidR="008F17B6" w:rsidRPr="00721663" w14:paraId="073C8F92" w14:textId="77777777" w:rsidTr="00551604">
        <w:trPr>
          <w:cantSplit/>
        </w:trPr>
        <w:tc>
          <w:tcPr>
            <w:tcW w:w="4678" w:type="dxa"/>
            <w:tcBorders>
              <w:top w:val="nil"/>
              <w:left w:val="nil"/>
              <w:right w:val="nil"/>
            </w:tcBorders>
            <w:vAlign w:val="center"/>
          </w:tcPr>
          <w:p w14:paraId="0100261B" w14:textId="77777777" w:rsidR="008F17B6" w:rsidRPr="00721663" w:rsidRDefault="008F17B6" w:rsidP="008F17B6">
            <w:pPr>
              <w:ind w:right="141"/>
              <w:jc w:val="left"/>
              <w:rPr>
                <w:rFonts w:ascii="Arial" w:hAnsi="Arial" w:cs="Arial"/>
                <w:sz w:val="18"/>
                <w:szCs w:val="18"/>
                <w:lang w:val="bg-BG"/>
              </w:rPr>
            </w:pPr>
            <w:r w:rsidRPr="00721663">
              <w:rPr>
                <w:rFonts w:ascii="Arial" w:hAnsi="Arial" w:cs="Arial"/>
                <w:sz w:val="18"/>
                <w:szCs w:val="18"/>
                <w:lang w:val="bg-BG"/>
              </w:rPr>
              <w:t>Парични средства по разплащателни сметки в лева</w:t>
            </w:r>
          </w:p>
        </w:tc>
        <w:tc>
          <w:tcPr>
            <w:tcW w:w="1843" w:type="dxa"/>
            <w:tcBorders>
              <w:left w:val="nil"/>
              <w:right w:val="nil"/>
            </w:tcBorders>
            <w:vAlign w:val="bottom"/>
          </w:tcPr>
          <w:p w14:paraId="7DC2924D" w14:textId="2FB8B61F" w:rsidR="008F17B6" w:rsidRPr="00BC2D1E" w:rsidRDefault="008F17B6" w:rsidP="008F17B6">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w:t>
            </w:r>
          </w:p>
        </w:tc>
        <w:tc>
          <w:tcPr>
            <w:tcW w:w="283" w:type="dxa"/>
            <w:tcBorders>
              <w:left w:val="nil"/>
              <w:right w:val="nil"/>
            </w:tcBorders>
          </w:tcPr>
          <w:p w14:paraId="2C739287" w14:textId="77777777" w:rsidR="008F17B6" w:rsidRPr="00721663" w:rsidRDefault="008F17B6" w:rsidP="008F17B6">
            <w:pPr>
              <w:jc w:val="center"/>
              <w:rPr>
                <w:rFonts w:eastAsia="Calibri"/>
                <w:bCs/>
                <w:color w:val="000000"/>
                <w:lang w:val="bg-BG"/>
              </w:rPr>
            </w:pPr>
          </w:p>
        </w:tc>
        <w:tc>
          <w:tcPr>
            <w:tcW w:w="1985" w:type="dxa"/>
            <w:tcBorders>
              <w:left w:val="nil"/>
              <w:right w:val="nil"/>
            </w:tcBorders>
            <w:vAlign w:val="bottom"/>
          </w:tcPr>
          <w:p w14:paraId="68C9227A" w14:textId="25CB0CBD" w:rsidR="008F17B6" w:rsidRPr="00BC2D1E" w:rsidRDefault="008F17B6" w:rsidP="008F17B6">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w:t>
            </w:r>
          </w:p>
        </w:tc>
      </w:tr>
      <w:tr w:rsidR="008F17B6" w:rsidRPr="00721663" w14:paraId="07DCB3BC" w14:textId="77777777" w:rsidTr="00551604">
        <w:trPr>
          <w:cantSplit/>
          <w:trHeight w:hRule="exact" w:val="362"/>
        </w:trPr>
        <w:tc>
          <w:tcPr>
            <w:tcW w:w="4678" w:type="dxa"/>
            <w:tcBorders>
              <w:top w:val="nil"/>
              <w:left w:val="nil"/>
              <w:right w:val="nil"/>
            </w:tcBorders>
            <w:vAlign w:val="center"/>
          </w:tcPr>
          <w:p w14:paraId="395C8112" w14:textId="77777777" w:rsidR="008F17B6" w:rsidRPr="00721663" w:rsidRDefault="008F17B6" w:rsidP="008F17B6">
            <w:pPr>
              <w:ind w:right="141"/>
              <w:jc w:val="left"/>
              <w:rPr>
                <w:rFonts w:ascii="Arial" w:hAnsi="Arial" w:cs="Arial"/>
                <w:sz w:val="18"/>
                <w:szCs w:val="18"/>
                <w:lang w:val="bg-BG"/>
              </w:rPr>
            </w:pPr>
            <w:r w:rsidRPr="00721663">
              <w:rPr>
                <w:rFonts w:ascii="Arial" w:hAnsi="Arial" w:cs="Arial"/>
                <w:sz w:val="18"/>
                <w:szCs w:val="18"/>
                <w:lang w:val="bg-BG"/>
              </w:rPr>
              <w:t>Парични средства по депозитни сметки в евро</w:t>
            </w:r>
          </w:p>
        </w:tc>
        <w:tc>
          <w:tcPr>
            <w:tcW w:w="1843" w:type="dxa"/>
            <w:tcBorders>
              <w:left w:val="nil"/>
              <w:right w:val="nil"/>
            </w:tcBorders>
            <w:vAlign w:val="bottom"/>
          </w:tcPr>
          <w:p w14:paraId="2CD06FC0" w14:textId="186D8728" w:rsidR="008F17B6" w:rsidRPr="00BC2D1E" w:rsidRDefault="008F17B6" w:rsidP="008F17B6">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9</w:t>
            </w:r>
          </w:p>
        </w:tc>
        <w:tc>
          <w:tcPr>
            <w:tcW w:w="283" w:type="dxa"/>
            <w:tcBorders>
              <w:left w:val="nil"/>
              <w:right w:val="nil"/>
            </w:tcBorders>
          </w:tcPr>
          <w:p w14:paraId="535BD4EB" w14:textId="77777777" w:rsidR="008F17B6" w:rsidRPr="00721663" w:rsidRDefault="008F17B6" w:rsidP="008F17B6">
            <w:pPr>
              <w:ind w:right="57"/>
              <w:jc w:val="right"/>
              <w:rPr>
                <w:rFonts w:eastAsia="Calibri"/>
                <w:color w:val="000000"/>
                <w:lang w:val="bg-BG"/>
              </w:rPr>
            </w:pPr>
          </w:p>
        </w:tc>
        <w:tc>
          <w:tcPr>
            <w:tcW w:w="1985" w:type="dxa"/>
            <w:tcBorders>
              <w:left w:val="nil"/>
              <w:right w:val="nil"/>
            </w:tcBorders>
            <w:vAlign w:val="bottom"/>
          </w:tcPr>
          <w:p w14:paraId="05040FBF" w14:textId="7CAE3338" w:rsidR="008F17B6" w:rsidRPr="00BC2D1E" w:rsidRDefault="008F17B6" w:rsidP="008F17B6">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9</w:t>
            </w:r>
          </w:p>
        </w:tc>
      </w:tr>
      <w:tr w:rsidR="008F17B6" w:rsidRPr="00721663" w14:paraId="6E982F3E" w14:textId="77777777" w:rsidTr="00551604">
        <w:trPr>
          <w:cantSplit/>
          <w:trHeight w:hRule="exact" w:val="362"/>
        </w:trPr>
        <w:tc>
          <w:tcPr>
            <w:tcW w:w="4678" w:type="dxa"/>
            <w:tcBorders>
              <w:top w:val="nil"/>
              <w:left w:val="nil"/>
              <w:right w:val="nil"/>
            </w:tcBorders>
            <w:vAlign w:val="center"/>
          </w:tcPr>
          <w:p w14:paraId="38E7E041" w14:textId="77777777" w:rsidR="008F17B6" w:rsidRPr="00721663" w:rsidRDefault="008F17B6" w:rsidP="008F17B6">
            <w:pPr>
              <w:ind w:right="141"/>
              <w:jc w:val="left"/>
              <w:rPr>
                <w:rFonts w:ascii="Arial" w:hAnsi="Arial" w:cs="Arial"/>
                <w:sz w:val="18"/>
                <w:szCs w:val="18"/>
                <w:lang w:val="bg-BG"/>
              </w:rPr>
            </w:pPr>
            <w:r>
              <w:rPr>
                <w:rFonts w:ascii="Arial" w:hAnsi="Arial" w:cs="Arial"/>
                <w:sz w:val="18"/>
                <w:szCs w:val="18"/>
                <w:lang w:val="bg-BG"/>
              </w:rPr>
              <w:t>Парични средства в каса в лева</w:t>
            </w:r>
          </w:p>
        </w:tc>
        <w:tc>
          <w:tcPr>
            <w:tcW w:w="1843" w:type="dxa"/>
            <w:tcBorders>
              <w:left w:val="nil"/>
              <w:right w:val="nil"/>
            </w:tcBorders>
            <w:vAlign w:val="bottom"/>
          </w:tcPr>
          <w:p w14:paraId="3292F6DB" w14:textId="2D7F5C59" w:rsidR="008F17B6" w:rsidRPr="00BC2D1E" w:rsidRDefault="008F17B6" w:rsidP="008F17B6">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1</w:t>
            </w:r>
          </w:p>
        </w:tc>
        <w:tc>
          <w:tcPr>
            <w:tcW w:w="283" w:type="dxa"/>
            <w:tcBorders>
              <w:left w:val="nil"/>
              <w:right w:val="nil"/>
            </w:tcBorders>
          </w:tcPr>
          <w:p w14:paraId="4B14EFD9" w14:textId="77777777" w:rsidR="008F17B6" w:rsidRPr="00721663" w:rsidRDefault="008F17B6" w:rsidP="008F17B6">
            <w:pPr>
              <w:ind w:right="57"/>
              <w:jc w:val="right"/>
              <w:rPr>
                <w:rFonts w:eastAsia="Calibri"/>
                <w:color w:val="000000"/>
                <w:lang w:val="bg-BG"/>
              </w:rPr>
            </w:pPr>
          </w:p>
        </w:tc>
        <w:tc>
          <w:tcPr>
            <w:tcW w:w="1985" w:type="dxa"/>
            <w:tcBorders>
              <w:left w:val="nil"/>
              <w:right w:val="nil"/>
            </w:tcBorders>
            <w:vAlign w:val="bottom"/>
          </w:tcPr>
          <w:p w14:paraId="7D422BD3" w14:textId="37B99727" w:rsidR="008F17B6" w:rsidRPr="00BC2D1E" w:rsidRDefault="008F17B6" w:rsidP="008F17B6">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1</w:t>
            </w:r>
          </w:p>
        </w:tc>
      </w:tr>
      <w:tr w:rsidR="008F17B6" w:rsidRPr="00721663" w14:paraId="110125F1" w14:textId="77777777" w:rsidTr="00551604">
        <w:trPr>
          <w:cantSplit/>
          <w:trHeight w:hRule="exact" w:val="273"/>
        </w:trPr>
        <w:tc>
          <w:tcPr>
            <w:tcW w:w="4678" w:type="dxa"/>
            <w:tcBorders>
              <w:top w:val="nil"/>
              <w:left w:val="nil"/>
              <w:right w:val="nil"/>
            </w:tcBorders>
            <w:vAlign w:val="center"/>
          </w:tcPr>
          <w:p w14:paraId="5F594573" w14:textId="77777777" w:rsidR="008F17B6" w:rsidRPr="00721663" w:rsidRDefault="008F17B6" w:rsidP="008F17B6">
            <w:pPr>
              <w:ind w:right="141"/>
              <w:jc w:val="left"/>
              <w:rPr>
                <w:rFonts w:ascii="Arial" w:hAnsi="Arial" w:cs="Arial"/>
                <w:sz w:val="18"/>
                <w:szCs w:val="18"/>
                <w:lang w:val="bg-BG"/>
              </w:rPr>
            </w:pPr>
            <w:r w:rsidRPr="00721663">
              <w:rPr>
                <w:rFonts w:ascii="Arial" w:hAnsi="Arial" w:cs="Arial"/>
                <w:sz w:val="18"/>
                <w:szCs w:val="18"/>
                <w:lang w:val="bg-BG"/>
              </w:rPr>
              <w:t>Блокирани средства в лева</w:t>
            </w:r>
          </w:p>
        </w:tc>
        <w:tc>
          <w:tcPr>
            <w:tcW w:w="1843" w:type="dxa"/>
            <w:tcBorders>
              <w:left w:val="nil"/>
              <w:right w:val="nil"/>
            </w:tcBorders>
            <w:vAlign w:val="bottom"/>
          </w:tcPr>
          <w:p w14:paraId="7ECA2437" w14:textId="13A36694" w:rsidR="008F17B6" w:rsidRPr="00BC2D1E" w:rsidRDefault="00674FCF" w:rsidP="008F17B6">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2,062</w:t>
            </w:r>
          </w:p>
        </w:tc>
        <w:tc>
          <w:tcPr>
            <w:tcW w:w="283" w:type="dxa"/>
            <w:tcBorders>
              <w:left w:val="nil"/>
              <w:right w:val="nil"/>
            </w:tcBorders>
          </w:tcPr>
          <w:p w14:paraId="2BDC5136" w14:textId="77777777" w:rsidR="008F17B6" w:rsidRPr="00721663" w:rsidRDefault="008F17B6" w:rsidP="008F17B6">
            <w:pPr>
              <w:ind w:right="57"/>
              <w:jc w:val="right"/>
              <w:rPr>
                <w:rFonts w:eastAsia="Calibri"/>
                <w:color w:val="000000"/>
                <w:lang w:val="bg-BG"/>
              </w:rPr>
            </w:pPr>
          </w:p>
        </w:tc>
        <w:tc>
          <w:tcPr>
            <w:tcW w:w="1985" w:type="dxa"/>
            <w:tcBorders>
              <w:left w:val="nil"/>
              <w:right w:val="nil"/>
            </w:tcBorders>
            <w:vAlign w:val="bottom"/>
          </w:tcPr>
          <w:p w14:paraId="3E244894" w14:textId="129D28F9" w:rsidR="008F17B6" w:rsidRPr="00BC2D1E" w:rsidRDefault="008F17B6" w:rsidP="008F17B6">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1,824</w:t>
            </w:r>
          </w:p>
        </w:tc>
      </w:tr>
      <w:tr w:rsidR="008F17B6" w:rsidRPr="00721663" w14:paraId="353D24B9" w14:textId="77777777" w:rsidTr="00551604">
        <w:trPr>
          <w:trHeight w:hRule="exact" w:val="307"/>
        </w:trPr>
        <w:tc>
          <w:tcPr>
            <w:tcW w:w="4678" w:type="dxa"/>
            <w:tcBorders>
              <w:left w:val="nil"/>
              <w:bottom w:val="nil"/>
              <w:right w:val="nil"/>
            </w:tcBorders>
            <w:vAlign w:val="bottom"/>
          </w:tcPr>
          <w:p w14:paraId="74194FA9" w14:textId="77777777" w:rsidR="008F17B6" w:rsidRPr="00721663" w:rsidRDefault="008F17B6" w:rsidP="008F17B6">
            <w:pPr>
              <w:rPr>
                <w:rFonts w:eastAsia="Calibri"/>
                <w:color w:val="000000"/>
                <w:spacing w:val="-2"/>
                <w:lang w:val="bg-BG"/>
              </w:rPr>
            </w:pPr>
          </w:p>
        </w:tc>
        <w:tc>
          <w:tcPr>
            <w:tcW w:w="1843" w:type="dxa"/>
            <w:tcBorders>
              <w:top w:val="single" w:sz="4" w:space="0" w:color="auto"/>
              <w:left w:val="nil"/>
              <w:bottom w:val="double" w:sz="4" w:space="0" w:color="auto"/>
              <w:right w:val="nil"/>
            </w:tcBorders>
            <w:vAlign w:val="bottom"/>
          </w:tcPr>
          <w:p w14:paraId="0A1200AE" w14:textId="67D37DCD" w:rsidR="008F17B6" w:rsidRPr="00BC2D1E" w:rsidRDefault="008F17B6" w:rsidP="008F17B6">
            <w:pPr>
              <w:ind w:right="142"/>
              <w:jc w:val="right"/>
              <w:rPr>
                <w:rFonts w:ascii="Arial" w:eastAsia="Arial Unicode MS" w:hAnsi="Arial" w:cs="Arial"/>
                <w:b/>
                <w:sz w:val="18"/>
                <w:szCs w:val="18"/>
                <w:lang w:val="en-GB"/>
              </w:rPr>
            </w:pPr>
            <w:r>
              <w:rPr>
                <w:rFonts w:ascii="Arial" w:eastAsia="Arial Unicode MS" w:hAnsi="Arial" w:cs="Arial"/>
                <w:b/>
                <w:sz w:val="18"/>
                <w:szCs w:val="18"/>
                <w:lang w:val="en-GB" w:eastAsia="bg-BG"/>
              </w:rPr>
              <w:t>2,096</w:t>
            </w:r>
          </w:p>
        </w:tc>
        <w:tc>
          <w:tcPr>
            <w:tcW w:w="283" w:type="dxa"/>
            <w:tcBorders>
              <w:left w:val="nil"/>
              <w:right w:val="nil"/>
            </w:tcBorders>
          </w:tcPr>
          <w:p w14:paraId="6FB0D778" w14:textId="77777777" w:rsidR="008F17B6" w:rsidRPr="00721663" w:rsidRDefault="008F17B6" w:rsidP="008F17B6">
            <w:pPr>
              <w:jc w:val="right"/>
              <w:rPr>
                <w:rFonts w:eastAsia="Calibri"/>
                <w:b/>
                <w:color w:val="000000"/>
                <w:spacing w:val="-2"/>
                <w:lang w:val="bg-BG"/>
              </w:rPr>
            </w:pPr>
          </w:p>
        </w:tc>
        <w:tc>
          <w:tcPr>
            <w:tcW w:w="1985" w:type="dxa"/>
            <w:tcBorders>
              <w:top w:val="single" w:sz="4" w:space="0" w:color="auto"/>
              <w:left w:val="nil"/>
              <w:bottom w:val="double" w:sz="4" w:space="0" w:color="auto"/>
              <w:right w:val="nil"/>
            </w:tcBorders>
            <w:vAlign w:val="bottom"/>
          </w:tcPr>
          <w:p w14:paraId="6E4702A3" w14:textId="5EE3273B" w:rsidR="008F17B6" w:rsidRPr="00BC2D1E" w:rsidRDefault="008F17B6" w:rsidP="008F17B6">
            <w:pPr>
              <w:ind w:right="142"/>
              <w:jc w:val="right"/>
              <w:rPr>
                <w:rFonts w:ascii="Arial" w:eastAsia="Arial Unicode MS" w:hAnsi="Arial" w:cs="Arial"/>
                <w:b/>
                <w:sz w:val="18"/>
                <w:szCs w:val="18"/>
                <w:lang w:val="en-GB"/>
              </w:rPr>
            </w:pPr>
            <w:r>
              <w:rPr>
                <w:rFonts w:ascii="Arial" w:eastAsia="Arial Unicode MS" w:hAnsi="Arial" w:cs="Arial"/>
                <w:b/>
                <w:sz w:val="18"/>
                <w:szCs w:val="18"/>
                <w:lang w:val="en-GB" w:eastAsia="bg-BG"/>
              </w:rPr>
              <w:t>1,836</w:t>
            </w:r>
          </w:p>
        </w:tc>
      </w:tr>
    </w:tbl>
    <w:p w14:paraId="05B68A47" w14:textId="77777777" w:rsidR="00E07C4E" w:rsidRPr="00721663" w:rsidRDefault="00E07C4E" w:rsidP="00E07C4E">
      <w:pPr>
        <w:pStyle w:val="Notesbodytext"/>
        <w:spacing w:after="0"/>
        <w:jc w:val="both"/>
        <w:rPr>
          <w:rFonts w:ascii="Arial" w:hAnsi="Arial"/>
          <w:lang w:val="bg-BG"/>
        </w:rPr>
      </w:pPr>
    </w:p>
    <w:p w14:paraId="46E37AB1" w14:textId="77777777" w:rsidR="00E07C4E" w:rsidRPr="00721663" w:rsidRDefault="00E07C4E" w:rsidP="00E07C4E">
      <w:pPr>
        <w:spacing w:after="120"/>
        <w:jc w:val="left"/>
        <w:rPr>
          <w:rFonts w:ascii="Arial" w:hAnsi="Arial"/>
          <w:sz w:val="18"/>
          <w:szCs w:val="18"/>
          <w:lang w:val="bg-BG"/>
        </w:rPr>
      </w:pPr>
      <w:r w:rsidRPr="00721663">
        <w:rPr>
          <w:rFonts w:ascii="Arial" w:hAnsi="Arial"/>
          <w:sz w:val="18"/>
          <w:szCs w:val="18"/>
          <w:lang w:val="bg-BG"/>
        </w:rPr>
        <w:t>Съгласно договора за залог между Групата и Демир Халк Банк Групата е задължена да получава постъпления от плащания по заложените вземания по банкова сметка, открита в Уникредит Булбанк АД, като банката има право да контролира наличностите и операциите по банковата сметка (бележка 9).</w:t>
      </w:r>
    </w:p>
    <w:p w14:paraId="1FE6BB49" w14:textId="77777777" w:rsidR="00E07C4E" w:rsidRPr="00721663" w:rsidRDefault="00E07C4E" w:rsidP="00E07C4E">
      <w:pPr>
        <w:spacing w:after="120"/>
        <w:jc w:val="left"/>
        <w:rPr>
          <w:rFonts w:ascii="Arial" w:hAnsi="Arial" w:cs="Arial"/>
          <w:sz w:val="18"/>
          <w:szCs w:val="18"/>
          <w:lang w:val="bg-BG"/>
        </w:rPr>
      </w:pPr>
      <w:r w:rsidRPr="00721663">
        <w:rPr>
          <w:rFonts w:ascii="Arial" w:hAnsi="Arial" w:cs="Arial"/>
          <w:sz w:val="18"/>
          <w:szCs w:val="18"/>
          <w:lang w:val="bg-BG"/>
        </w:rPr>
        <w:t>За целите на отчета за паричните потоци паричните средства и парични еквиваленти включват:</w:t>
      </w:r>
    </w:p>
    <w:tbl>
      <w:tblPr>
        <w:tblW w:w="8789" w:type="dxa"/>
        <w:tblCellMar>
          <w:left w:w="0" w:type="dxa"/>
          <w:right w:w="0" w:type="dxa"/>
        </w:tblCellMar>
        <w:tblLook w:val="0000" w:firstRow="0" w:lastRow="0" w:firstColumn="0" w:lastColumn="0" w:noHBand="0" w:noVBand="0"/>
      </w:tblPr>
      <w:tblGrid>
        <w:gridCol w:w="4678"/>
        <w:gridCol w:w="1843"/>
        <w:gridCol w:w="283"/>
        <w:gridCol w:w="1985"/>
      </w:tblGrid>
      <w:tr w:rsidR="00E07C4E" w:rsidRPr="00721663" w14:paraId="21FB90CF" w14:textId="77777777" w:rsidTr="00551604">
        <w:trPr>
          <w:cantSplit/>
          <w:trHeight w:hRule="exact" w:val="559"/>
        </w:trPr>
        <w:tc>
          <w:tcPr>
            <w:tcW w:w="4678" w:type="dxa"/>
            <w:tcBorders>
              <w:top w:val="nil"/>
              <w:left w:val="nil"/>
              <w:right w:val="nil"/>
            </w:tcBorders>
          </w:tcPr>
          <w:p w14:paraId="71AB90F8" w14:textId="77777777" w:rsidR="00E07C4E" w:rsidRPr="00721663" w:rsidRDefault="00E07C4E" w:rsidP="00551604">
            <w:pPr>
              <w:rPr>
                <w:rFonts w:eastAsia="Calibri"/>
                <w:color w:val="000000"/>
                <w:lang w:val="bg-BG"/>
              </w:rPr>
            </w:pPr>
          </w:p>
          <w:p w14:paraId="5DE575CD" w14:textId="77777777" w:rsidR="00E07C4E" w:rsidRPr="00721663" w:rsidRDefault="00E07C4E" w:rsidP="00551604">
            <w:pPr>
              <w:rPr>
                <w:rFonts w:eastAsia="Calibri"/>
                <w:color w:val="000000"/>
                <w:lang w:val="bg-BG"/>
              </w:rPr>
            </w:pPr>
          </w:p>
        </w:tc>
        <w:tc>
          <w:tcPr>
            <w:tcW w:w="1843" w:type="dxa"/>
            <w:tcBorders>
              <w:top w:val="nil"/>
              <w:left w:val="nil"/>
              <w:bottom w:val="single" w:sz="4" w:space="0" w:color="auto"/>
              <w:right w:val="nil"/>
            </w:tcBorders>
            <w:vAlign w:val="bottom"/>
          </w:tcPr>
          <w:p w14:paraId="46E50F1E" w14:textId="2774C1A7" w:rsidR="00E07C4E" w:rsidRPr="00721663" w:rsidRDefault="00144930" w:rsidP="00551604">
            <w:pPr>
              <w:jc w:val="right"/>
              <w:rPr>
                <w:rFonts w:ascii="Arial" w:hAnsi="Arial" w:cs="Arial"/>
                <w:b/>
                <w:bCs/>
                <w:sz w:val="18"/>
                <w:szCs w:val="18"/>
                <w:lang w:val="bg-BG"/>
              </w:rPr>
            </w:pPr>
            <w:r>
              <w:rPr>
                <w:rFonts w:ascii="Arial" w:hAnsi="Arial" w:cs="Arial"/>
                <w:b/>
                <w:bCs/>
                <w:sz w:val="18"/>
                <w:szCs w:val="18"/>
                <w:lang w:val="bg-BG"/>
              </w:rPr>
              <w:t>30 юни 2017</w:t>
            </w:r>
          </w:p>
        </w:tc>
        <w:tc>
          <w:tcPr>
            <w:tcW w:w="283" w:type="dxa"/>
            <w:tcBorders>
              <w:top w:val="nil"/>
              <w:left w:val="nil"/>
              <w:right w:val="nil"/>
            </w:tcBorders>
            <w:vAlign w:val="bottom"/>
          </w:tcPr>
          <w:p w14:paraId="5C81BCFA" w14:textId="77777777" w:rsidR="00E07C4E" w:rsidRPr="00721663" w:rsidRDefault="00E07C4E" w:rsidP="00551604">
            <w:pPr>
              <w:jc w:val="right"/>
              <w:rPr>
                <w:rFonts w:ascii="Arial" w:hAnsi="Arial" w:cs="Arial"/>
                <w:b/>
                <w:bCs/>
                <w:sz w:val="18"/>
                <w:szCs w:val="18"/>
                <w:lang w:val="bg-BG"/>
              </w:rPr>
            </w:pPr>
          </w:p>
        </w:tc>
        <w:tc>
          <w:tcPr>
            <w:tcW w:w="1985" w:type="dxa"/>
            <w:tcBorders>
              <w:top w:val="nil"/>
              <w:left w:val="nil"/>
              <w:bottom w:val="single" w:sz="4" w:space="0" w:color="auto"/>
              <w:right w:val="nil"/>
            </w:tcBorders>
            <w:vAlign w:val="bottom"/>
          </w:tcPr>
          <w:p w14:paraId="783B9CCE" w14:textId="12F2926B" w:rsidR="00E07C4E" w:rsidRPr="00721663" w:rsidRDefault="00144930" w:rsidP="00551604">
            <w:pPr>
              <w:tabs>
                <w:tab w:val="left" w:pos="1343"/>
              </w:tabs>
              <w:ind w:right="34"/>
              <w:jc w:val="right"/>
              <w:rPr>
                <w:rFonts w:ascii="Arial" w:hAnsi="Arial" w:cs="Arial"/>
                <w:b/>
                <w:bCs/>
                <w:sz w:val="18"/>
                <w:szCs w:val="18"/>
                <w:lang w:val="bg-BG"/>
              </w:rPr>
            </w:pPr>
            <w:r>
              <w:rPr>
                <w:rFonts w:ascii="Arial" w:hAnsi="Arial" w:cs="Arial"/>
                <w:b/>
                <w:bCs/>
                <w:sz w:val="18"/>
                <w:szCs w:val="18"/>
                <w:lang w:val="bg-BG"/>
              </w:rPr>
              <w:t>30 юни 2016</w:t>
            </w:r>
          </w:p>
        </w:tc>
      </w:tr>
      <w:tr w:rsidR="00E07C4E" w:rsidRPr="00721663" w14:paraId="5EE5250F" w14:textId="77777777" w:rsidTr="00551604">
        <w:trPr>
          <w:cantSplit/>
          <w:trHeight w:hRule="exact" w:val="268"/>
        </w:trPr>
        <w:tc>
          <w:tcPr>
            <w:tcW w:w="4678" w:type="dxa"/>
            <w:tcBorders>
              <w:top w:val="nil"/>
              <w:left w:val="nil"/>
              <w:right w:val="nil"/>
            </w:tcBorders>
          </w:tcPr>
          <w:p w14:paraId="4AEF2659" w14:textId="77777777" w:rsidR="00E07C4E" w:rsidRPr="00721663" w:rsidRDefault="00E07C4E" w:rsidP="00551604">
            <w:pPr>
              <w:rPr>
                <w:rFonts w:eastAsia="Calibri"/>
                <w:color w:val="000000"/>
                <w:lang w:val="bg-BG"/>
              </w:rPr>
            </w:pPr>
          </w:p>
        </w:tc>
        <w:tc>
          <w:tcPr>
            <w:tcW w:w="1843" w:type="dxa"/>
            <w:tcBorders>
              <w:top w:val="single" w:sz="4" w:space="0" w:color="auto"/>
              <w:left w:val="nil"/>
              <w:right w:val="nil"/>
            </w:tcBorders>
            <w:vAlign w:val="bottom"/>
          </w:tcPr>
          <w:p w14:paraId="539EF34E" w14:textId="77777777" w:rsidR="00E07C4E" w:rsidRPr="00721663" w:rsidRDefault="00E07C4E" w:rsidP="00551604">
            <w:pPr>
              <w:jc w:val="right"/>
              <w:rPr>
                <w:rFonts w:ascii="Arial" w:eastAsia="Arial Unicode MS" w:hAnsi="Arial" w:cs="Arial"/>
                <w:sz w:val="18"/>
                <w:szCs w:val="18"/>
                <w:lang w:val="bg-BG"/>
              </w:rPr>
            </w:pPr>
            <w:r w:rsidRPr="00721663">
              <w:rPr>
                <w:rFonts w:ascii="Arial" w:hAnsi="Arial" w:cs="Arial"/>
                <w:b/>
                <w:bCs/>
                <w:sz w:val="18"/>
                <w:szCs w:val="18"/>
                <w:lang w:val="bg-BG"/>
              </w:rPr>
              <w:t>хил. лв.</w:t>
            </w:r>
          </w:p>
        </w:tc>
        <w:tc>
          <w:tcPr>
            <w:tcW w:w="283" w:type="dxa"/>
            <w:tcBorders>
              <w:top w:val="nil"/>
              <w:left w:val="nil"/>
              <w:right w:val="nil"/>
            </w:tcBorders>
          </w:tcPr>
          <w:p w14:paraId="13E8E269" w14:textId="77777777" w:rsidR="00E07C4E" w:rsidRPr="00721663" w:rsidRDefault="00E07C4E" w:rsidP="00551604">
            <w:pPr>
              <w:jc w:val="left"/>
              <w:rPr>
                <w:rFonts w:ascii="Arial" w:eastAsia="Arial Unicode MS" w:hAnsi="Arial" w:cs="Arial"/>
                <w:sz w:val="18"/>
                <w:szCs w:val="18"/>
                <w:lang w:val="bg-BG"/>
              </w:rPr>
            </w:pPr>
          </w:p>
        </w:tc>
        <w:tc>
          <w:tcPr>
            <w:tcW w:w="1985" w:type="dxa"/>
            <w:tcBorders>
              <w:top w:val="single" w:sz="4" w:space="0" w:color="auto"/>
              <w:left w:val="nil"/>
              <w:right w:val="nil"/>
            </w:tcBorders>
            <w:vAlign w:val="bottom"/>
          </w:tcPr>
          <w:p w14:paraId="68429F46" w14:textId="77777777" w:rsidR="00E07C4E" w:rsidRPr="00721663" w:rsidRDefault="00E07C4E" w:rsidP="00551604">
            <w:pPr>
              <w:jc w:val="right"/>
              <w:rPr>
                <w:rFonts w:ascii="Arial" w:eastAsia="Arial Unicode MS" w:hAnsi="Arial" w:cs="Arial"/>
                <w:sz w:val="18"/>
                <w:szCs w:val="18"/>
                <w:lang w:val="bg-BG"/>
              </w:rPr>
            </w:pPr>
            <w:r w:rsidRPr="00721663">
              <w:rPr>
                <w:rFonts w:ascii="Arial" w:hAnsi="Arial" w:cs="Arial"/>
                <w:b/>
                <w:bCs/>
                <w:sz w:val="18"/>
                <w:szCs w:val="18"/>
                <w:lang w:val="bg-BG"/>
              </w:rPr>
              <w:t>хил. лв</w:t>
            </w:r>
            <w:r>
              <w:rPr>
                <w:rFonts w:ascii="Arial" w:hAnsi="Arial" w:cs="Arial"/>
                <w:b/>
                <w:bCs/>
                <w:sz w:val="18"/>
                <w:szCs w:val="18"/>
                <w:lang w:val="bg-BG"/>
              </w:rPr>
              <w:t>.</w:t>
            </w:r>
          </w:p>
        </w:tc>
      </w:tr>
      <w:tr w:rsidR="008F17B6" w:rsidRPr="00721663" w14:paraId="102B957D" w14:textId="77777777" w:rsidTr="00551604">
        <w:trPr>
          <w:cantSplit/>
          <w:trHeight w:val="70"/>
        </w:trPr>
        <w:tc>
          <w:tcPr>
            <w:tcW w:w="4678" w:type="dxa"/>
            <w:tcBorders>
              <w:top w:val="nil"/>
              <w:left w:val="nil"/>
              <w:right w:val="nil"/>
            </w:tcBorders>
            <w:vAlign w:val="bottom"/>
          </w:tcPr>
          <w:p w14:paraId="17CB881E" w14:textId="77777777" w:rsidR="008F17B6" w:rsidRPr="00721663" w:rsidRDefault="008F17B6" w:rsidP="008F17B6">
            <w:pPr>
              <w:ind w:right="141"/>
              <w:jc w:val="left"/>
              <w:rPr>
                <w:rFonts w:ascii="Arial" w:hAnsi="Arial" w:cs="Arial"/>
                <w:sz w:val="18"/>
                <w:szCs w:val="18"/>
                <w:lang w:val="bg-BG"/>
              </w:rPr>
            </w:pPr>
            <w:r w:rsidRPr="00721663">
              <w:rPr>
                <w:rFonts w:ascii="Arial" w:hAnsi="Arial" w:cs="Arial"/>
                <w:sz w:val="18"/>
                <w:szCs w:val="18"/>
                <w:lang w:val="bg-BG"/>
              </w:rPr>
              <w:t>Парични средства по разплащателни и депозитни сметки</w:t>
            </w:r>
          </w:p>
        </w:tc>
        <w:tc>
          <w:tcPr>
            <w:tcW w:w="1843" w:type="dxa"/>
            <w:tcBorders>
              <w:left w:val="nil"/>
              <w:right w:val="nil"/>
            </w:tcBorders>
            <w:vAlign w:val="bottom"/>
          </w:tcPr>
          <w:p w14:paraId="7631AE4D" w14:textId="0553A8B9" w:rsidR="008F17B6" w:rsidRPr="00721663" w:rsidRDefault="00674FCF" w:rsidP="00674FCF">
            <w:pPr>
              <w:ind w:right="142"/>
              <w:jc w:val="right"/>
              <w:rPr>
                <w:rFonts w:ascii="Arial" w:eastAsia="Arial Unicode MS" w:hAnsi="Arial" w:cs="Arial"/>
                <w:sz w:val="18"/>
                <w:szCs w:val="18"/>
                <w:lang w:val="bg-BG"/>
              </w:rPr>
            </w:pPr>
            <w:r>
              <w:rPr>
                <w:rFonts w:ascii="Arial" w:eastAsia="Arial Unicode MS" w:hAnsi="Arial" w:cs="Arial"/>
                <w:sz w:val="18"/>
                <w:szCs w:val="18"/>
                <w:lang w:val="en-GB" w:eastAsia="bg-BG"/>
              </w:rPr>
              <w:t>34</w:t>
            </w:r>
          </w:p>
        </w:tc>
        <w:tc>
          <w:tcPr>
            <w:tcW w:w="283" w:type="dxa"/>
            <w:tcBorders>
              <w:left w:val="nil"/>
              <w:right w:val="nil"/>
            </w:tcBorders>
          </w:tcPr>
          <w:p w14:paraId="6AF8C425" w14:textId="77777777" w:rsidR="008F17B6" w:rsidRPr="00721663" w:rsidRDefault="008F17B6" w:rsidP="008F17B6">
            <w:pPr>
              <w:rPr>
                <w:rFonts w:eastAsia="Calibri"/>
                <w:bCs/>
                <w:color w:val="000000"/>
                <w:lang w:val="bg-BG"/>
              </w:rPr>
            </w:pPr>
          </w:p>
        </w:tc>
        <w:tc>
          <w:tcPr>
            <w:tcW w:w="1985" w:type="dxa"/>
            <w:tcBorders>
              <w:left w:val="nil"/>
              <w:right w:val="nil"/>
            </w:tcBorders>
            <w:vAlign w:val="bottom"/>
          </w:tcPr>
          <w:p w14:paraId="6489A92A" w14:textId="40A08809" w:rsidR="008F17B6" w:rsidRPr="00721663" w:rsidRDefault="008F17B6" w:rsidP="008F17B6">
            <w:pPr>
              <w:ind w:right="142"/>
              <w:jc w:val="right"/>
              <w:rPr>
                <w:rFonts w:ascii="Arial" w:eastAsia="Arial Unicode MS" w:hAnsi="Arial" w:cs="Arial"/>
                <w:sz w:val="18"/>
                <w:szCs w:val="18"/>
                <w:lang w:val="bg-BG"/>
              </w:rPr>
            </w:pPr>
            <w:r>
              <w:rPr>
                <w:rFonts w:ascii="Arial" w:eastAsia="Arial Unicode MS" w:hAnsi="Arial" w:cs="Arial"/>
                <w:sz w:val="18"/>
                <w:szCs w:val="18"/>
                <w:lang w:val="en-GB" w:eastAsia="bg-BG"/>
              </w:rPr>
              <w:t>12</w:t>
            </w:r>
          </w:p>
        </w:tc>
      </w:tr>
      <w:tr w:rsidR="008F17B6" w:rsidRPr="00721663" w14:paraId="70114DD1" w14:textId="77777777" w:rsidTr="00551604">
        <w:trPr>
          <w:trHeight w:hRule="exact" w:val="307"/>
        </w:trPr>
        <w:tc>
          <w:tcPr>
            <w:tcW w:w="4678" w:type="dxa"/>
            <w:tcBorders>
              <w:left w:val="nil"/>
              <w:bottom w:val="nil"/>
              <w:right w:val="nil"/>
            </w:tcBorders>
            <w:vAlign w:val="bottom"/>
          </w:tcPr>
          <w:p w14:paraId="73129F18" w14:textId="77777777" w:rsidR="008F17B6" w:rsidRPr="00721663" w:rsidRDefault="008F17B6" w:rsidP="008F17B6">
            <w:pPr>
              <w:rPr>
                <w:rFonts w:eastAsia="Calibri"/>
                <w:color w:val="000000"/>
                <w:spacing w:val="-2"/>
                <w:lang w:val="bg-BG"/>
              </w:rPr>
            </w:pPr>
          </w:p>
        </w:tc>
        <w:tc>
          <w:tcPr>
            <w:tcW w:w="1843" w:type="dxa"/>
            <w:tcBorders>
              <w:top w:val="single" w:sz="4" w:space="0" w:color="auto"/>
              <w:left w:val="nil"/>
              <w:bottom w:val="double" w:sz="4" w:space="0" w:color="auto"/>
              <w:right w:val="nil"/>
            </w:tcBorders>
            <w:vAlign w:val="bottom"/>
          </w:tcPr>
          <w:p w14:paraId="2C6E4EE3" w14:textId="568FDFBD" w:rsidR="008F17B6" w:rsidRPr="00721663" w:rsidRDefault="00674FCF" w:rsidP="008F17B6">
            <w:pPr>
              <w:ind w:right="142"/>
              <w:jc w:val="right"/>
              <w:rPr>
                <w:rFonts w:ascii="Arial" w:eastAsia="Arial Unicode MS" w:hAnsi="Arial" w:cs="Arial"/>
                <w:b/>
                <w:sz w:val="18"/>
                <w:szCs w:val="18"/>
                <w:lang w:val="bg-BG"/>
              </w:rPr>
            </w:pPr>
            <w:r>
              <w:rPr>
                <w:rFonts w:ascii="Arial" w:eastAsia="Arial Unicode MS" w:hAnsi="Arial" w:cs="Arial"/>
                <w:b/>
                <w:sz w:val="18"/>
                <w:szCs w:val="18"/>
                <w:lang w:val="en-GB" w:eastAsia="bg-BG"/>
              </w:rPr>
              <w:t>34</w:t>
            </w:r>
          </w:p>
        </w:tc>
        <w:tc>
          <w:tcPr>
            <w:tcW w:w="283" w:type="dxa"/>
            <w:tcBorders>
              <w:left w:val="nil"/>
              <w:right w:val="nil"/>
            </w:tcBorders>
          </w:tcPr>
          <w:p w14:paraId="1ED514FC" w14:textId="77777777" w:rsidR="008F17B6" w:rsidRPr="00721663" w:rsidRDefault="008F17B6" w:rsidP="008F17B6">
            <w:pPr>
              <w:rPr>
                <w:rFonts w:eastAsia="Calibri"/>
                <w:b/>
                <w:bCs/>
                <w:color w:val="000000"/>
                <w:lang w:val="bg-BG"/>
              </w:rPr>
            </w:pPr>
          </w:p>
        </w:tc>
        <w:tc>
          <w:tcPr>
            <w:tcW w:w="1985" w:type="dxa"/>
            <w:tcBorders>
              <w:top w:val="single" w:sz="4" w:space="0" w:color="auto"/>
              <w:left w:val="nil"/>
              <w:bottom w:val="double" w:sz="4" w:space="0" w:color="auto"/>
              <w:right w:val="nil"/>
            </w:tcBorders>
            <w:vAlign w:val="bottom"/>
          </w:tcPr>
          <w:p w14:paraId="6F92DC10" w14:textId="0AED1F27" w:rsidR="008F17B6" w:rsidRPr="00721663" w:rsidRDefault="008F17B6" w:rsidP="008F17B6">
            <w:pPr>
              <w:ind w:right="142"/>
              <w:jc w:val="right"/>
              <w:rPr>
                <w:rFonts w:ascii="Arial" w:eastAsia="Arial Unicode MS" w:hAnsi="Arial" w:cs="Arial"/>
                <w:b/>
                <w:sz w:val="18"/>
                <w:szCs w:val="18"/>
                <w:lang w:val="bg-BG"/>
              </w:rPr>
            </w:pPr>
            <w:r>
              <w:rPr>
                <w:rFonts w:ascii="Arial" w:eastAsia="Arial Unicode MS" w:hAnsi="Arial" w:cs="Arial"/>
                <w:b/>
                <w:sz w:val="18"/>
                <w:szCs w:val="18"/>
                <w:lang w:val="en-GB" w:eastAsia="bg-BG"/>
              </w:rPr>
              <w:t>12</w:t>
            </w:r>
          </w:p>
        </w:tc>
      </w:tr>
    </w:tbl>
    <w:p w14:paraId="440E39E0" w14:textId="77777777" w:rsidR="00680E2F" w:rsidRDefault="00680E2F" w:rsidP="00E07C4E">
      <w:pPr>
        <w:pStyle w:val="Heading1"/>
      </w:pPr>
      <w:bookmarkStart w:id="44" w:name="_Toc490647404"/>
    </w:p>
    <w:p w14:paraId="62E33C71" w14:textId="77777777" w:rsidR="00E07C4E" w:rsidRPr="00721663" w:rsidRDefault="00E07C4E" w:rsidP="00E07C4E">
      <w:pPr>
        <w:pStyle w:val="Heading1"/>
      </w:pPr>
      <w:r w:rsidRPr="00721663">
        <w:t>12. Регистриран основен капита</w:t>
      </w:r>
      <w:bookmarkEnd w:id="43"/>
      <w:r>
        <w:t>л</w:t>
      </w:r>
      <w:bookmarkEnd w:id="44"/>
    </w:p>
    <w:p w14:paraId="42929C15" w14:textId="4A1745B0" w:rsidR="00E07C4E" w:rsidRPr="00721663" w:rsidRDefault="00E07C4E" w:rsidP="00E07C4E">
      <w:pPr>
        <w:pStyle w:val="Notesbodytext"/>
        <w:spacing w:before="80" w:line="240" w:lineRule="atLeast"/>
        <w:rPr>
          <w:rFonts w:ascii="Arial" w:hAnsi="Arial"/>
          <w:lang w:val="bg-BG"/>
        </w:rPr>
      </w:pPr>
      <w:r w:rsidRPr="00721663">
        <w:rPr>
          <w:rFonts w:ascii="Arial" w:hAnsi="Arial"/>
          <w:lang w:val="bg-BG"/>
        </w:rPr>
        <w:t xml:space="preserve">Към </w:t>
      </w:r>
      <w:r w:rsidR="00144930">
        <w:rPr>
          <w:rFonts w:ascii="Arial" w:hAnsi="Arial"/>
          <w:lang w:val="bg-BG"/>
        </w:rPr>
        <w:t>30 юни 2017</w:t>
      </w:r>
      <w:r w:rsidRPr="00721663">
        <w:rPr>
          <w:rFonts w:ascii="Arial" w:hAnsi="Arial"/>
          <w:lang w:val="bg-BG"/>
        </w:rPr>
        <w:t xml:space="preserve"> и </w:t>
      </w:r>
      <w:r w:rsidR="00144930">
        <w:rPr>
          <w:rFonts w:ascii="Arial" w:hAnsi="Arial"/>
          <w:lang w:val="bg-BG"/>
        </w:rPr>
        <w:t>31 декември 2016</w:t>
      </w:r>
      <w:r w:rsidRPr="00721663">
        <w:rPr>
          <w:rFonts w:ascii="Arial" w:hAnsi="Arial"/>
          <w:lang w:val="bg-BG"/>
        </w:rPr>
        <w:t xml:space="preserve"> г.</w:t>
      </w:r>
      <w:r w:rsidRPr="00721663">
        <w:rPr>
          <w:rFonts w:ascii="Arial" w:hAnsi="Arial"/>
          <w:szCs w:val="18"/>
          <w:lang w:val="bg-BG"/>
        </w:rPr>
        <w:t xml:space="preserve"> </w:t>
      </w:r>
      <w:r w:rsidRPr="00721663">
        <w:rPr>
          <w:rFonts w:ascii="Arial" w:hAnsi="Arial"/>
          <w:lang w:val="bg-BG"/>
        </w:rPr>
        <w:t xml:space="preserve">записаният и регистриран капитал на Групата възлиза на 10 лв., разделен на 10 дяла с номинална стойност 1 лв. всеки. Към </w:t>
      </w:r>
      <w:r w:rsidR="00144930">
        <w:rPr>
          <w:rFonts w:ascii="Arial" w:hAnsi="Arial"/>
          <w:lang w:val="bg-BG"/>
        </w:rPr>
        <w:t>30 юни 2017</w:t>
      </w:r>
      <w:r w:rsidRPr="00721663">
        <w:rPr>
          <w:rFonts w:ascii="Arial" w:hAnsi="Arial"/>
          <w:lang w:val="bg-BG"/>
        </w:rPr>
        <w:t xml:space="preserve"> и </w:t>
      </w:r>
      <w:r w:rsidR="00144930">
        <w:rPr>
          <w:rFonts w:ascii="Arial" w:hAnsi="Arial"/>
          <w:lang w:val="bg-BG"/>
        </w:rPr>
        <w:t>31 декември 2016</w:t>
      </w:r>
      <w:r w:rsidRPr="00721663">
        <w:rPr>
          <w:rFonts w:ascii="Arial" w:hAnsi="Arial"/>
          <w:lang w:val="bg-BG"/>
        </w:rPr>
        <w:t xml:space="preserve"> г.</w:t>
      </w:r>
      <w:r w:rsidRPr="00721663">
        <w:rPr>
          <w:rFonts w:ascii="Arial" w:hAnsi="Arial"/>
          <w:szCs w:val="18"/>
          <w:lang w:val="bg-BG"/>
        </w:rPr>
        <w:t xml:space="preserve"> </w:t>
      </w:r>
      <w:r w:rsidRPr="00721663">
        <w:rPr>
          <w:rFonts w:ascii="Arial" w:hAnsi="Arial"/>
          <w:lang w:val="bg-BG"/>
        </w:rPr>
        <w:t>регистрираният капитал на Групата е изцяло внесен.</w:t>
      </w:r>
    </w:p>
    <w:p w14:paraId="0D7AB417" w14:textId="2221AE6E" w:rsidR="00E07C4E" w:rsidRPr="00721663" w:rsidRDefault="00E07C4E" w:rsidP="00E07C4E">
      <w:pPr>
        <w:pStyle w:val="Notesbodytext"/>
        <w:spacing w:line="240" w:lineRule="atLeast"/>
        <w:rPr>
          <w:rFonts w:ascii="Arial" w:hAnsi="Arial"/>
          <w:lang w:val="bg-BG"/>
        </w:rPr>
      </w:pPr>
      <w:r w:rsidRPr="00721663">
        <w:rPr>
          <w:rFonts w:ascii="Arial" w:hAnsi="Arial"/>
          <w:lang w:val="bg-BG"/>
        </w:rPr>
        <w:t xml:space="preserve">Към </w:t>
      </w:r>
      <w:r w:rsidR="00144930">
        <w:rPr>
          <w:rFonts w:ascii="Arial" w:hAnsi="Arial"/>
          <w:lang w:val="bg-BG"/>
        </w:rPr>
        <w:t>30 юни 2017</w:t>
      </w:r>
      <w:r w:rsidRPr="00721663">
        <w:rPr>
          <w:rFonts w:ascii="Arial" w:hAnsi="Arial"/>
          <w:lang w:val="bg-BG"/>
        </w:rPr>
        <w:t xml:space="preserve"> и </w:t>
      </w:r>
      <w:r w:rsidR="00144930">
        <w:rPr>
          <w:rFonts w:ascii="Arial" w:hAnsi="Arial"/>
          <w:lang w:val="bg-BG"/>
        </w:rPr>
        <w:t>31 декември 2016</w:t>
      </w:r>
      <w:r w:rsidRPr="00721663">
        <w:rPr>
          <w:rFonts w:ascii="Arial" w:hAnsi="Arial"/>
          <w:lang w:val="bg-BG"/>
        </w:rPr>
        <w:t xml:space="preserve"> г.</w:t>
      </w:r>
      <w:r w:rsidRPr="00721663">
        <w:rPr>
          <w:rFonts w:ascii="Arial" w:hAnsi="Arial"/>
          <w:szCs w:val="18"/>
          <w:lang w:val="bg-BG"/>
        </w:rPr>
        <w:t xml:space="preserve"> </w:t>
      </w:r>
      <w:r w:rsidRPr="00721663">
        <w:rPr>
          <w:rFonts w:ascii="Arial" w:hAnsi="Arial"/>
          <w:lang w:val="bg-BG"/>
        </w:rPr>
        <w:t>едноличен собственик на Групата е Юнит Инвестмънтс Н.В.</w:t>
      </w:r>
    </w:p>
    <w:p w14:paraId="375B7D65" w14:textId="481D2E64" w:rsidR="00E07C4E" w:rsidRPr="00721663" w:rsidRDefault="00E07C4E" w:rsidP="00E07C4E">
      <w:pPr>
        <w:pStyle w:val="Notesbodytext"/>
        <w:spacing w:line="240" w:lineRule="atLeast"/>
        <w:rPr>
          <w:rFonts w:ascii="Arial" w:hAnsi="Arial"/>
          <w:lang w:val="bg-BG"/>
        </w:rPr>
      </w:pPr>
      <w:r w:rsidRPr="00721663">
        <w:rPr>
          <w:rFonts w:ascii="Arial" w:hAnsi="Arial"/>
          <w:lang w:val="bg-BG"/>
        </w:rPr>
        <w:t xml:space="preserve">Към </w:t>
      </w:r>
      <w:r w:rsidR="00144930">
        <w:rPr>
          <w:rFonts w:ascii="Arial" w:hAnsi="Arial"/>
          <w:lang w:val="bg-BG"/>
        </w:rPr>
        <w:t>30 юни 2017</w:t>
      </w:r>
      <w:r w:rsidRPr="00721663">
        <w:rPr>
          <w:rFonts w:ascii="Arial" w:hAnsi="Arial"/>
          <w:lang w:val="bg-BG"/>
        </w:rPr>
        <w:t xml:space="preserve"> и </w:t>
      </w:r>
      <w:r w:rsidR="00144930">
        <w:rPr>
          <w:rFonts w:ascii="Arial" w:hAnsi="Arial"/>
          <w:lang w:val="bg-BG"/>
        </w:rPr>
        <w:t>31 декември 2016</w:t>
      </w:r>
      <w:r w:rsidRPr="00721663">
        <w:rPr>
          <w:rFonts w:ascii="Arial" w:hAnsi="Arial"/>
          <w:lang w:val="bg-BG"/>
        </w:rPr>
        <w:t xml:space="preserve"> г.</w:t>
      </w:r>
      <w:r w:rsidRPr="00721663">
        <w:rPr>
          <w:rFonts w:ascii="Arial" w:hAnsi="Arial"/>
          <w:szCs w:val="18"/>
          <w:lang w:val="bg-BG"/>
        </w:rPr>
        <w:t xml:space="preserve"> </w:t>
      </w:r>
      <w:r w:rsidRPr="00721663">
        <w:rPr>
          <w:rFonts w:ascii="Arial" w:hAnsi="Arial"/>
          <w:lang w:val="bg-BG"/>
        </w:rPr>
        <w:t xml:space="preserve">дяловете на Групата са заложени в полза на </w:t>
      </w:r>
      <w:r>
        <w:rPr>
          <w:rFonts w:ascii="Arial" w:hAnsi="Arial"/>
          <w:lang w:val="bg-BG"/>
        </w:rPr>
        <w:t>Демир Халк Банк.</w:t>
      </w:r>
      <w:r w:rsidRPr="00721663">
        <w:rPr>
          <w:rFonts w:ascii="Arial" w:hAnsi="Arial"/>
          <w:lang w:val="bg-BG"/>
        </w:rPr>
        <w:t>.</w:t>
      </w:r>
    </w:p>
    <w:p w14:paraId="74F0B47E" w14:textId="77777777" w:rsidR="008F17B6" w:rsidRDefault="008F17B6">
      <w:pPr>
        <w:spacing w:line="240" w:lineRule="auto"/>
        <w:jc w:val="left"/>
        <w:rPr>
          <w:rFonts w:ascii="Arial" w:hAnsi="Arial" w:cs="Arial"/>
          <w:b/>
          <w:lang w:val="bg-BG"/>
        </w:rPr>
      </w:pPr>
      <w:r>
        <w:br w:type="page"/>
      </w:r>
    </w:p>
    <w:p w14:paraId="4BE65785" w14:textId="45D0C3B4" w:rsidR="00E07C4E" w:rsidRPr="00721663" w:rsidRDefault="00E07C4E" w:rsidP="00E07C4E">
      <w:pPr>
        <w:pStyle w:val="Heading1"/>
      </w:pPr>
      <w:bookmarkStart w:id="45" w:name="_Toc490647405"/>
      <w:r w:rsidRPr="00721663">
        <w:t>13. Провизии</w:t>
      </w:r>
      <w:bookmarkEnd w:id="45"/>
    </w:p>
    <w:p w14:paraId="5EB85C43" w14:textId="426D4AB6" w:rsidR="00E07C4E" w:rsidRPr="00721663" w:rsidRDefault="00E07C4E" w:rsidP="00E07C4E">
      <w:pPr>
        <w:spacing w:before="80" w:after="120"/>
        <w:jc w:val="left"/>
        <w:rPr>
          <w:rFonts w:ascii="Arial" w:hAnsi="Arial" w:cs="Arial"/>
          <w:sz w:val="18"/>
          <w:szCs w:val="18"/>
          <w:lang w:val="bg-BG"/>
        </w:rPr>
      </w:pPr>
      <w:r w:rsidRPr="00721663">
        <w:rPr>
          <w:rFonts w:ascii="Arial" w:hAnsi="Arial" w:cs="Arial"/>
          <w:sz w:val="18"/>
          <w:szCs w:val="18"/>
          <w:lang w:val="bg-BG"/>
        </w:rPr>
        <w:t>Групата е признала провизии за разходи за извеждане от експлоатация, свързани с парцелите на ветрогенераторите, изградени през ноември 2010 г. Провизиите (81 хил.лв</w:t>
      </w:r>
      <w:r>
        <w:rPr>
          <w:rFonts w:ascii="Arial" w:hAnsi="Arial" w:cs="Arial"/>
          <w:sz w:val="18"/>
          <w:szCs w:val="18"/>
          <w:lang w:val="bg-BG"/>
        </w:rPr>
        <w:t>.</w:t>
      </w:r>
      <w:r w:rsidRPr="00721663">
        <w:rPr>
          <w:rFonts w:ascii="Arial" w:hAnsi="Arial" w:cs="Arial"/>
          <w:sz w:val="18"/>
          <w:szCs w:val="18"/>
          <w:lang w:val="bg-BG"/>
        </w:rPr>
        <w:t>) са капитализиран</w:t>
      </w:r>
      <w:r>
        <w:rPr>
          <w:rFonts w:ascii="Arial" w:hAnsi="Arial" w:cs="Arial"/>
          <w:sz w:val="18"/>
          <w:szCs w:val="18"/>
          <w:lang w:val="bg-BG"/>
        </w:rPr>
        <w:t>и</w:t>
      </w:r>
      <w:r w:rsidRPr="00721663">
        <w:rPr>
          <w:rFonts w:ascii="Arial" w:hAnsi="Arial" w:cs="Arial"/>
          <w:sz w:val="18"/>
          <w:szCs w:val="18"/>
          <w:lang w:val="bg-BG"/>
        </w:rPr>
        <w:t xml:space="preserve"> в стойността на активите до размера на настоящата стойност на задължението за извеждане от експлоатация след прекратяване на дейността. Настоящата стойност на очакваната цена за извеждане от експлоатация към </w:t>
      </w:r>
      <w:r w:rsidR="00144930">
        <w:rPr>
          <w:rFonts w:ascii="Arial" w:hAnsi="Arial" w:cs="Arial"/>
          <w:sz w:val="18"/>
          <w:szCs w:val="18"/>
          <w:lang w:val="bg-BG"/>
        </w:rPr>
        <w:t>30 юни 2017</w:t>
      </w:r>
      <w:r w:rsidRPr="00721663">
        <w:rPr>
          <w:rFonts w:ascii="Arial" w:hAnsi="Arial" w:cs="Arial"/>
          <w:sz w:val="18"/>
          <w:szCs w:val="18"/>
          <w:lang w:val="bg-BG"/>
        </w:rPr>
        <w:t xml:space="preserve"> г. е </w:t>
      </w:r>
      <w:r w:rsidR="008F17B6">
        <w:rPr>
          <w:rFonts w:ascii="Arial" w:hAnsi="Arial" w:cs="Arial"/>
          <w:sz w:val="18"/>
          <w:szCs w:val="18"/>
          <w:lang w:val="bg-BG"/>
        </w:rPr>
        <w:t>132</w:t>
      </w:r>
      <w:r w:rsidRPr="00721663">
        <w:rPr>
          <w:rFonts w:ascii="Arial" w:hAnsi="Arial" w:cs="Arial"/>
          <w:sz w:val="18"/>
          <w:szCs w:val="18"/>
          <w:lang w:val="bg-BG"/>
        </w:rPr>
        <w:t xml:space="preserve"> хил. лв. (</w:t>
      </w:r>
      <w:r w:rsidR="00144930">
        <w:rPr>
          <w:rFonts w:ascii="Arial" w:hAnsi="Arial" w:cs="Arial"/>
          <w:sz w:val="18"/>
          <w:szCs w:val="18"/>
          <w:lang w:val="bg-BG"/>
        </w:rPr>
        <w:t>31 декември 2016</w:t>
      </w:r>
      <w:r w:rsidRPr="00721663">
        <w:rPr>
          <w:rFonts w:ascii="Arial" w:hAnsi="Arial" w:cs="Arial"/>
          <w:sz w:val="18"/>
          <w:szCs w:val="18"/>
          <w:lang w:val="bg-BG"/>
        </w:rPr>
        <w:t xml:space="preserve"> г.: </w:t>
      </w:r>
      <w:r w:rsidR="008F17B6">
        <w:rPr>
          <w:rFonts w:ascii="Arial" w:hAnsi="Arial" w:cs="Arial"/>
          <w:sz w:val="18"/>
          <w:szCs w:val="18"/>
          <w:lang w:val="bg-BG"/>
        </w:rPr>
        <w:t>129</w:t>
      </w:r>
      <w:r w:rsidRPr="00721663">
        <w:rPr>
          <w:rFonts w:ascii="Arial" w:hAnsi="Arial" w:cs="Arial"/>
          <w:sz w:val="18"/>
          <w:szCs w:val="18"/>
          <w:lang w:val="bg-BG"/>
        </w:rPr>
        <w:t xml:space="preserve"> хил.лв.)</w:t>
      </w:r>
    </w:p>
    <w:p w14:paraId="61B85319" w14:textId="77777777" w:rsidR="00E07C4E" w:rsidRPr="00721663" w:rsidRDefault="00E07C4E" w:rsidP="00E07C4E">
      <w:pPr>
        <w:spacing w:after="120"/>
        <w:jc w:val="left"/>
        <w:rPr>
          <w:rFonts w:ascii="Arial" w:hAnsi="Arial" w:cs="Arial"/>
          <w:sz w:val="18"/>
          <w:szCs w:val="18"/>
          <w:lang w:val="bg-BG"/>
        </w:rPr>
      </w:pPr>
      <w:r w:rsidRPr="00721663">
        <w:rPr>
          <w:rFonts w:ascii="Arial" w:hAnsi="Arial" w:cs="Arial"/>
          <w:sz w:val="18"/>
          <w:szCs w:val="18"/>
          <w:lang w:val="bg-BG"/>
        </w:rPr>
        <w:t>Движението в провизиите е както следва:</w:t>
      </w:r>
    </w:p>
    <w:tbl>
      <w:tblPr>
        <w:tblW w:w="8505" w:type="dxa"/>
        <w:tblInd w:w="108" w:type="dxa"/>
        <w:tblLayout w:type="fixed"/>
        <w:tblLook w:val="0000" w:firstRow="0" w:lastRow="0" w:firstColumn="0" w:lastColumn="0" w:noHBand="0" w:noVBand="0"/>
      </w:tblPr>
      <w:tblGrid>
        <w:gridCol w:w="4395"/>
        <w:gridCol w:w="1559"/>
        <w:gridCol w:w="284"/>
        <w:gridCol w:w="1984"/>
        <w:gridCol w:w="283"/>
      </w:tblGrid>
      <w:tr w:rsidR="00E07C4E" w:rsidRPr="00721663" w14:paraId="080D4295" w14:textId="77777777" w:rsidTr="00551604">
        <w:trPr>
          <w:trHeight w:val="408"/>
        </w:trPr>
        <w:tc>
          <w:tcPr>
            <w:tcW w:w="4395" w:type="dxa"/>
            <w:tcBorders>
              <w:top w:val="nil"/>
              <w:left w:val="nil"/>
              <w:bottom w:val="nil"/>
              <w:right w:val="nil"/>
            </w:tcBorders>
            <w:noWrap/>
            <w:vAlign w:val="bottom"/>
          </w:tcPr>
          <w:p w14:paraId="7758E156" w14:textId="77777777" w:rsidR="00E07C4E" w:rsidRPr="00721663" w:rsidRDefault="00E07C4E" w:rsidP="00551604">
            <w:pPr>
              <w:spacing w:line="240" w:lineRule="auto"/>
              <w:jc w:val="left"/>
              <w:rPr>
                <w:rFonts w:ascii="Arial" w:hAnsi="Arial" w:cs="Arial"/>
                <w:b/>
                <w:bCs/>
                <w:i/>
                <w:iCs/>
                <w:sz w:val="18"/>
                <w:szCs w:val="18"/>
                <w:lang w:val="bg-BG"/>
              </w:rPr>
            </w:pPr>
          </w:p>
        </w:tc>
        <w:tc>
          <w:tcPr>
            <w:tcW w:w="1559" w:type="dxa"/>
            <w:tcBorders>
              <w:top w:val="nil"/>
              <w:left w:val="nil"/>
              <w:bottom w:val="single" w:sz="6" w:space="0" w:color="auto"/>
              <w:right w:val="nil"/>
            </w:tcBorders>
            <w:vAlign w:val="bottom"/>
          </w:tcPr>
          <w:p w14:paraId="27C998BB" w14:textId="7967F6C2" w:rsidR="00E07C4E" w:rsidRPr="00721663" w:rsidRDefault="00144930" w:rsidP="00551604">
            <w:pPr>
              <w:jc w:val="right"/>
              <w:rPr>
                <w:rFonts w:ascii="Arial" w:hAnsi="Arial" w:cs="Arial"/>
                <w:b/>
                <w:bCs/>
                <w:sz w:val="18"/>
                <w:szCs w:val="18"/>
                <w:lang w:val="bg-BG"/>
              </w:rPr>
            </w:pPr>
            <w:r>
              <w:rPr>
                <w:rFonts w:ascii="Arial" w:hAnsi="Arial" w:cs="Arial"/>
                <w:b/>
                <w:bCs/>
                <w:sz w:val="18"/>
                <w:szCs w:val="18"/>
                <w:lang w:val="bg-BG"/>
              </w:rPr>
              <w:t>30 юни 2017</w:t>
            </w:r>
          </w:p>
        </w:tc>
        <w:tc>
          <w:tcPr>
            <w:tcW w:w="284" w:type="dxa"/>
            <w:tcBorders>
              <w:top w:val="nil"/>
              <w:left w:val="nil"/>
              <w:bottom w:val="nil"/>
              <w:right w:val="nil"/>
            </w:tcBorders>
            <w:vAlign w:val="bottom"/>
          </w:tcPr>
          <w:p w14:paraId="7BF4F467" w14:textId="77777777" w:rsidR="00E07C4E" w:rsidRPr="00721663" w:rsidRDefault="00E07C4E" w:rsidP="00551604">
            <w:pPr>
              <w:jc w:val="right"/>
              <w:rPr>
                <w:rFonts w:ascii="Arial" w:hAnsi="Arial" w:cs="Arial"/>
                <w:b/>
                <w:bCs/>
                <w:sz w:val="18"/>
                <w:szCs w:val="18"/>
                <w:lang w:val="bg-BG"/>
              </w:rPr>
            </w:pPr>
          </w:p>
        </w:tc>
        <w:tc>
          <w:tcPr>
            <w:tcW w:w="1984" w:type="dxa"/>
            <w:tcBorders>
              <w:top w:val="nil"/>
              <w:left w:val="nil"/>
              <w:bottom w:val="single" w:sz="6" w:space="0" w:color="auto"/>
              <w:right w:val="nil"/>
            </w:tcBorders>
            <w:vAlign w:val="bottom"/>
          </w:tcPr>
          <w:p w14:paraId="7F5115A4" w14:textId="6E90F201" w:rsidR="00E07C4E" w:rsidRPr="00721663" w:rsidRDefault="00144930" w:rsidP="00551604">
            <w:pPr>
              <w:tabs>
                <w:tab w:val="left" w:pos="1343"/>
              </w:tabs>
              <w:ind w:right="34"/>
              <w:jc w:val="right"/>
              <w:rPr>
                <w:rFonts w:ascii="Arial" w:hAnsi="Arial" w:cs="Arial"/>
                <w:b/>
                <w:bCs/>
                <w:sz w:val="18"/>
                <w:szCs w:val="18"/>
                <w:lang w:val="bg-BG"/>
              </w:rPr>
            </w:pPr>
            <w:r>
              <w:rPr>
                <w:rFonts w:ascii="Arial" w:hAnsi="Arial" w:cs="Arial"/>
                <w:b/>
                <w:bCs/>
                <w:sz w:val="18"/>
                <w:szCs w:val="18"/>
                <w:lang w:val="bg-BG"/>
              </w:rPr>
              <w:t>31 декември 2016</w:t>
            </w:r>
          </w:p>
        </w:tc>
        <w:tc>
          <w:tcPr>
            <w:tcW w:w="283" w:type="dxa"/>
            <w:tcBorders>
              <w:top w:val="nil"/>
              <w:left w:val="nil"/>
              <w:bottom w:val="nil"/>
              <w:right w:val="nil"/>
            </w:tcBorders>
            <w:vAlign w:val="center"/>
          </w:tcPr>
          <w:p w14:paraId="64B82917" w14:textId="77777777" w:rsidR="00E07C4E" w:rsidRPr="00721663" w:rsidRDefault="00E07C4E" w:rsidP="00551604">
            <w:pPr>
              <w:jc w:val="right"/>
              <w:rPr>
                <w:rFonts w:ascii="Arial" w:hAnsi="Arial" w:cs="Arial"/>
                <w:b/>
                <w:bCs/>
                <w:lang w:val="bg-BG"/>
              </w:rPr>
            </w:pPr>
          </w:p>
        </w:tc>
      </w:tr>
      <w:tr w:rsidR="00E07C4E" w:rsidRPr="00721663" w14:paraId="2229EA3E" w14:textId="77777777" w:rsidTr="00551604">
        <w:trPr>
          <w:trHeight w:hRule="exact" w:val="284"/>
        </w:trPr>
        <w:tc>
          <w:tcPr>
            <w:tcW w:w="4395" w:type="dxa"/>
            <w:tcBorders>
              <w:top w:val="nil"/>
              <w:left w:val="nil"/>
              <w:bottom w:val="nil"/>
              <w:right w:val="nil"/>
            </w:tcBorders>
            <w:noWrap/>
            <w:vAlign w:val="bottom"/>
          </w:tcPr>
          <w:p w14:paraId="7FBFFED4" w14:textId="77777777" w:rsidR="00E07C4E" w:rsidRPr="00721663" w:rsidRDefault="00E07C4E" w:rsidP="00551604">
            <w:pPr>
              <w:spacing w:line="240" w:lineRule="auto"/>
              <w:jc w:val="left"/>
              <w:rPr>
                <w:rFonts w:ascii="Arial" w:hAnsi="Arial" w:cs="Arial"/>
                <w:b/>
                <w:i/>
                <w:sz w:val="18"/>
                <w:szCs w:val="18"/>
                <w:lang w:val="bg-BG"/>
              </w:rPr>
            </w:pPr>
          </w:p>
        </w:tc>
        <w:tc>
          <w:tcPr>
            <w:tcW w:w="1559" w:type="dxa"/>
            <w:tcBorders>
              <w:top w:val="single" w:sz="6" w:space="0" w:color="auto"/>
              <w:left w:val="nil"/>
              <w:right w:val="nil"/>
            </w:tcBorders>
            <w:vAlign w:val="bottom"/>
          </w:tcPr>
          <w:p w14:paraId="03A00DC5" w14:textId="77777777" w:rsidR="00E07C4E" w:rsidRPr="00721663" w:rsidRDefault="00E07C4E" w:rsidP="00551604">
            <w:pPr>
              <w:spacing w:line="240" w:lineRule="auto"/>
              <w:jc w:val="right"/>
              <w:rPr>
                <w:rFonts w:ascii="Arial" w:hAnsi="Arial" w:cs="Arial"/>
                <w:sz w:val="18"/>
                <w:szCs w:val="18"/>
                <w:lang w:val="bg-BG"/>
              </w:rPr>
            </w:pPr>
            <w:r w:rsidRPr="00721663">
              <w:rPr>
                <w:rFonts w:ascii="Arial" w:hAnsi="Arial" w:cs="Arial"/>
                <w:b/>
                <w:bCs/>
                <w:sz w:val="18"/>
                <w:szCs w:val="18"/>
                <w:lang w:val="bg-BG"/>
              </w:rPr>
              <w:t>хил. лв.</w:t>
            </w:r>
          </w:p>
        </w:tc>
        <w:tc>
          <w:tcPr>
            <w:tcW w:w="284" w:type="dxa"/>
            <w:tcBorders>
              <w:top w:val="nil"/>
              <w:left w:val="nil"/>
              <w:right w:val="nil"/>
            </w:tcBorders>
            <w:vAlign w:val="center"/>
          </w:tcPr>
          <w:p w14:paraId="2E3CF0B2" w14:textId="77777777" w:rsidR="00E07C4E" w:rsidRPr="00721663" w:rsidRDefault="00E07C4E" w:rsidP="00551604">
            <w:pPr>
              <w:spacing w:line="240" w:lineRule="auto"/>
              <w:jc w:val="right"/>
              <w:rPr>
                <w:rFonts w:ascii="Arial" w:hAnsi="Arial" w:cs="Arial"/>
                <w:sz w:val="18"/>
                <w:szCs w:val="18"/>
                <w:lang w:val="bg-BG"/>
              </w:rPr>
            </w:pPr>
          </w:p>
        </w:tc>
        <w:tc>
          <w:tcPr>
            <w:tcW w:w="1984" w:type="dxa"/>
            <w:tcBorders>
              <w:top w:val="single" w:sz="6" w:space="0" w:color="auto"/>
              <w:left w:val="nil"/>
              <w:right w:val="nil"/>
            </w:tcBorders>
            <w:vAlign w:val="bottom"/>
          </w:tcPr>
          <w:p w14:paraId="72EAA3FE" w14:textId="77777777" w:rsidR="00E07C4E" w:rsidRPr="00721663" w:rsidRDefault="00E07C4E" w:rsidP="00551604">
            <w:pPr>
              <w:spacing w:line="240" w:lineRule="auto"/>
              <w:jc w:val="right"/>
              <w:rPr>
                <w:rFonts w:ascii="Arial" w:hAnsi="Arial" w:cs="Arial"/>
                <w:sz w:val="18"/>
                <w:szCs w:val="18"/>
                <w:lang w:val="bg-BG"/>
              </w:rPr>
            </w:pPr>
            <w:r w:rsidRPr="00721663">
              <w:rPr>
                <w:rFonts w:ascii="Arial" w:hAnsi="Arial" w:cs="Arial"/>
                <w:b/>
                <w:bCs/>
                <w:sz w:val="18"/>
                <w:szCs w:val="18"/>
                <w:lang w:val="bg-BG"/>
              </w:rPr>
              <w:t>хил. лв.</w:t>
            </w:r>
          </w:p>
        </w:tc>
        <w:tc>
          <w:tcPr>
            <w:tcW w:w="283" w:type="dxa"/>
            <w:tcBorders>
              <w:top w:val="nil"/>
              <w:left w:val="nil"/>
              <w:bottom w:val="nil"/>
              <w:right w:val="nil"/>
            </w:tcBorders>
            <w:vAlign w:val="center"/>
          </w:tcPr>
          <w:p w14:paraId="2EA2447B" w14:textId="77777777" w:rsidR="00E07C4E" w:rsidRPr="00721663" w:rsidRDefault="00E07C4E" w:rsidP="00551604">
            <w:pPr>
              <w:spacing w:line="240" w:lineRule="auto"/>
              <w:jc w:val="right"/>
              <w:rPr>
                <w:rFonts w:ascii="Arial" w:hAnsi="Arial" w:cs="Arial"/>
                <w:sz w:val="18"/>
                <w:szCs w:val="18"/>
                <w:lang w:val="bg-BG"/>
              </w:rPr>
            </w:pPr>
          </w:p>
        </w:tc>
      </w:tr>
      <w:tr w:rsidR="008F17B6" w:rsidRPr="00721663" w14:paraId="48F06BCB" w14:textId="77777777" w:rsidTr="00551604">
        <w:trPr>
          <w:trHeight w:val="300"/>
        </w:trPr>
        <w:tc>
          <w:tcPr>
            <w:tcW w:w="4395" w:type="dxa"/>
            <w:tcBorders>
              <w:top w:val="nil"/>
              <w:left w:val="nil"/>
              <w:right w:val="nil"/>
            </w:tcBorders>
            <w:noWrap/>
            <w:vAlign w:val="center"/>
          </w:tcPr>
          <w:p w14:paraId="3D0C11E8" w14:textId="77777777" w:rsidR="008F17B6" w:rsidRPr="00721663" w:rsidRDefault="008F17B6" w:rsidP="008F17B6">
            <w:pPr>
              <w:spacing w:line="240" w:lineRule="auto"/>
              <w:jc w:val="left"/>
              <w:rPr>
                <w:rFonts w:ascii="Arial" w:hAnsi="Arial" w:cs="Arial"/>
                <w:sz w:val="18"/>
                <w:szCs w:val="18"/>
                <w:lang w:val="bg-BG"/>
              </w:rPr>
            </w:pPr>
            <w:r w:rsidRPr="00721663">
              <w:rPr>
                <w:rFonts w:ascii="Arial" w:hAnsi="Arial" w:cs="Arial"/>
                <w:sz w:val="18"/>
                <w:szCs w:val="18"/>
                <w:lang w:val="bg-BG"/>
              </w:rPr>
              <w:t>В началото на периода</w:t>
            </w:r>
          </w:p>
        </w:tc>
        <w:tc>
          <w:tcPr>
            <w:tcW w:w="1559" w:type="dxa"/>
            <w:tcBorders>
              <w:top w:val="nil"/>
              <w:left w:val="nil"/>
              <w:right w:val="nil"/>
            </w:tcBorders>
            <w:vAlign w:val="center"/>
          </w:tcPr>
          <w:p w14:paraId="1317D2C4" w14:textId="1C0182BA" w:rsidR="008F17B6" w:rsidRPr="00BC2D1E" w:rsidRDefault="008F17B6" w:rsidP="008F17B6">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129</w:t>
            </w:r>
          </w:p>
        </w:tc>
        <w:tc>
          <w:tcPr>
            <w:tcW w:w="284" w:type="dxa"/>
            <w:tcBorders>
              <w:top w:val="nil"/>
              <w:left w:val="nil"/>
              <w:right w:val="nil"/>
            </w:tcBorders>
            <w:vAlign w:val="center"/>
          </w:tcPr>
          <w:p w14:paraId="13FD68BF" w14:textId="77777777" w:rsidR="008F17B6" w:rsidRPr="00721663" w:rsidRDefault="008F17B6" w:rsidP="008F17B6">
            <w:pPr>
              <w:ind w:right="142"/>
              <w:jc w:val="right"/>
              <w:rPr>
                <w:rFonts w:ascii="Arial" w:eastAsia="Arial Unicode MS" w:hAnsi="Arial" w:cs="Arial"/>
                <w:sz w:val="18"/>
                <w:szCs w:val="18"/>
                <w:lang w:val="bg-BG"/>
              </w:rPr>
            </w:pPr>
          </w:p>
        </w:tc>
        <w:tc>
          <w:tcPr>
            <w:tcW w:w="1984" w:type="dxa"/>
            <w:tcBorders>
              <w:top w:val="nil"/>
              <w:left w:val="nil"/>
              <w:right w:val="nil"/>
            </w:tcBorders>
            <w:vAlign w:val="center"/>
          </w:tcPr>
          <w:p w14:paraId="7BA81C0F" w14:textId="1B16E55F" w:rsidR="008F17B6" w:rsidRPr="00BC2D1E" w:rsidRDefault="008F17B6" w:rsidP="008F17B6">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120</w:t>
            </w:r>
          </w:p>
        </w:tc>
        <w:tc>
          <w:tcPr>
            <w:tcW w:w="283" w:type="dxa"/>
            <w:tcBorders>
              <w:top w:val="nil"/>
              <w:left w:val="nil"/>
              <w:right w:val="nil"/>
            </w:tcBorders>
            <w:vAlign w:val="center"/>
          </w:tcPr>
          <w:p w14:paraId="7B495FE2" w14:textId="77777777" w:rsidR="008F17B6" w:rsidRPr="00721663" w:rsidRDefault="008F17B6" w:rsidP="008F17B6">
            <w:pPr>
              <w:spacing w:line="240" w:lineRule="auto"/>
              <w:ind w:left="-108" w:firstLine="108"/>
              <w:jc w:val="right"/>
              <w:rPr>
                <w:rFonts w:ascii="Arial" w:hAnsi="Arial" w:cs="Arial"/>
                <w:sz w:val="18"/>
                <w:szCs w:val="18"/>
                <w:lang w:val="bg-BG"/>
              </w:rPr>
            </w:pPr>
          </w:p>
        </w:tc>
      </w:tr>
      <w:tr w:rsidR="008F17B6" w:rsidRPr="00721663" w14:paraId="69C9288F" w14:textId="77777777" w:rsidTr="00551604">
        <w:trPr>
          <w:trHeight w:val="300"/>
        </w:trPr>
        <w:tc>
          <w:tcPr>
            <w:tcW w:w="4395" w:type="dxa"/>
            <w:tcBorders>
              <w:top w:val="nil"/>
              <w:left w:val="nil"/>
              <w:right w:val="nil"/>
            </w:tcBorders>
            <w:noWrap/>
            <w:vAlign w:val="center"/>
          </w:tcPr>
          <w:p w14:paraId="4A642CFA" w14:textId="77777777" w:rsidR="008F17B6" w:rsidRPr="00721663" w:rsidRDefault="008F17B6" w:rsidP="008F17B6">
            <w:pPr>
              <w:spacing w:line="240" w:lineRule="auto"/>
              <w:jc w:val="left"/>
              <w:rPr>
                <w:rFonts w:ascii="Arial" w:hAnsi="Arial" w:cs="Arial"/>
                <w:sz w:val="18"/>
                <w:szCs w:val="18"/>
                <w:lang w:val="bg-BG"/>
              </w:rPr>
            </w:pPr>
            <w:r w:rsidRPr="00721663">
              <w:rPr>
                <w:rFonts w:ascii="Arial" w:hAnsi="Arial" w:cs="Arial"/>
                <w:sz w:val="18"/>
                <w:szCs w:val="18"/>
                <w:lang w:val="bg-BG"/>
              </w:rPr>
              <w:t>Начислени (виж бележка 5.6)</w:t>
            </w:r>
          </w:p>
        </w:tc>
        <w:tc>
          <w:tcPr>
            <w:tcW w:w="1559" w:type="dxa"/>
            <w:tcBorders>
              <w:top w:val="nil"/>
              <w:left w:val="nil"/>
              <w:right w:val="nil"/>
            </w:tcBorders>
            <w:vAlign w:val="center"/>
          </w:tcPr>
          <w:p w14:paraId="001E51AF" w14:textId="7EBEF632" w:rsidR="008F17B6" w:rsidRPr="00BC2D1E" w:rsidRDefault="008F17B6" w:rsidP="008F17B6">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3</w:t>
            </w:r>
          </w:p>
        </w:tc>
        <w:tc>
          <w:tcPr>
            <w:tcW w:w="284" w:type="dxa"/>
            <w:tcBorders>
              <w:top w:val="nil"/>
              <w:left w:val="nil"/>
              <w:right w:val="nil"/>
            </w:tcBorders>
            <w:vAlign w:val="center"/>
          </w:tcPr>
          <w:p w14:paraId="26305867" w14:textId="77777777" w:rsidR="008F17B6" w:rsidRPr="00721663" w:rsidRDefault="008F17B6" w:rsidP="008F17B6">
            <w:pPr>
              <w:ind w:right="142"/>
              <w:jc w:val="right"/>
              <w:rPr>
                <w:rFonts w:ascii="Arial" w:eastAsia="Arial Unicode MS" w:hAnsi="Arial" w:cs="Arial"/>
                <w:sz w:val="18"/>
                <w:szCs w:val="18"/>
                <w:lang w:val="bg-BG"/>
              </w:rPr>
            </w:pPr>
          </w:p>
        </w:tc>
        <w:tc>
          <w:tcPr>
            <w:tcW w:w="1984" w:type="dxa"/>
            <w:tcBorders>
              <w:top w:val="nil"/>
              <w:left w:val="nil"/>
              <w:right w:val="nil"/>
            </w:tcBorders>
            <w:vAlign w:val="center"/>
          </w:tcPr>
          <w:p w14:paraId="27BC393E" w14:textId="0472039F" w:rsidR="008F17B6" w:rsidRPr="00BC2D1E" w:rsidRDefault="008F17B6" w:rsidP="008F17B6">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9</w:t>
            </w:r>
          </w:p>
        </w:tc>
        <w:tc>
          <w:tcPr>
            <w:tcW w:w="283" w:type="dxa"/>
            <w:tcBorders>
              <w:top w:val="nil"/>
              <w:left w:val="nil"/>
              <w:right w:val="nil"/>
            </w:tcBorders>
            <w:vAlign w:val="center"/>
          </w:tcPr>
          <w:p w14:paraId="7AECCEDF" w14:textId="77777777" w:rsidR="008F17B6" w:rsidRPr="00721663" w:rsidRDefault="008F17B6" w:rsidP="008F17B6">
            <w:pPr>
              <w:spacing w:line="240" w:lineRule="auto"/>
              <w:ind w:left="-108" w:firstLine="108"/>
              <w:jc w:val="right"/>
              <w:rPr>
                <w:rFonts w:ascii="Arial" w:hAnsi="Arial" w:cs="Arial"/>
                <w:sz w:val="18"/>
                <w:szCs w:val="18"/>
                <w:lang w:val="bg-BG"/>
              </w:rPr>
            </w:pPr>
          </w:p>
        </w:tc>
      </w:tr>
      <w:tr w:rsidR="008F17B6" w:rsidRPr="00721663" w14:paraId="0C721382" w14:textId="77777777" w:rsidTr="00551604">
        <w:trPr>
          <w:trHeight w:val="340"/>
        </w:trPr>
        <w:tc>
          <w:tcPr>
            <w:tcW w:w="4395" w:type="dxa"/>
            <w:tcBorders>
              <w:left w:val="nil"/>
              <w:bottom w:val="nil"/>
              <w:right w:val="nil"/>
            </w:tcBorders>
            <w:noWrap/>
            <w:vAlign w:val="center"/>
          </w:tcPr>
          <w:p w14:paraId="6525F759" w14:textId="77777777" w:rsidR="008F17B6" w:rsidRPr="00721663" w:rsidRDefault="008F17B6" w:rsidP="008F17B6">
            <w:pPr>
              <w:spacing w:line="240" w:lineRule="auto"/>
              <w:jc w:val="left"/>
              <w:rPr>
                <w:rFonts w:ascii="Arial" w:hAnsi="Arial" w:cs="Arial"/>
                <w:b/>
                <w:bCs/>
                <w:sz w:val="18"/>
                <w:szCs w:val="18"/>
                <w:lang w:val="bg-BG"/>
              </w:rPr>
            </w:pPr>
            <w:r w:rsidRPr="00721663">
              <w:rPr>
                <w:rFonts w:ascii="Arial" w:hAnsi="Arial" w:cs="Arial"/>
                <w:sz w:val="18"/>
                <w:szCs w:val="18"/>
                <w:lang w:val="bg-BG"/>
              </w:rPr>
              <w:t>В края на периода</w:t>
            </w:r>
          </w:p>
        </w:tc>
        <w:tc>
          <w:tcPr>
            <w:tcW w:w="1559" w:type="dxa"/>
            <w:tcBorders>
              <w:top w:val="single" w:sz="6" w:space="0" w:color="auto"/>
              <w:left w:val="nil"/>
              <w:bottom w:val="double" w:sz="6" w:space="0" w:color="auto"/>
              <w:right w:val="nil"/>
            </w:tcBorders>
            <w:vAlign w:val="center"/>
          </w:tcPr>
          <w:p w14:paraId="7C8F05C4" w14:textId="4C25C48E" w:rsidR="008F17B6" w:rsidRPr="00BC2D1E" w:rsidRDefault="008F17B6" w:rsidP="008F17B6">
            <w:pPr>
              <w:ind w:right="142"/>
              <w:jc w:val="right"/>
              <w:rPr>
                <w:rFonts w:ascii="Arial" w:eastAsia="Arial Unicode MS" w:hAnsi="Arial" w:cs="Arial"/>
                <w:b/>
                <w:sz w:val="18"/>
                <w:szCs w:val="18"/>
                <w:lang w:val="en-GB"/>
              </w:rPr>
            </w:pPr>
            <w:r>
              <w:rPr>
                <w:rFonts w:ascii="Arial" w:eastAsia="Arial Unicode MS" w:hAnsi="Arial" w:cs="Arial"/>
                <w:b/>
                <w:sz w:val="18"/>
                <w:szCs w:val="18"/>
                <w:lang w:val="en-GB" w:eastAsia="bg-BG"/>
              </w:rPr>
              <w:t>132</w:t>
            </w:r>
          </w:p>
        </w:tc>
        <w:tc>
          <w:tcPr>
            <w:tcW w:w="284" w:type="dxa"/>
            <w:tcBorders>
              <w:left w:val="nil"/>
              <w:bottom w:val="nil"/>
              <w:right w:val="nil"/>
            </w:tcBorders>
            <w:vAlign w:val="center"/>
          </w:tcPr>
          <w:p w14:paraId="15DD3AC0" w14:textId="77777777" w:rsidR="008F17B6" w:rsidRPr="00721663" w:rsidRDefault="008F17B6" w:rsidP="008F17B6">
            <w:pPr>
              <w:ind w:right="142"/>
              <w:jc w:val="right"/>
              <w:rPr>
                <w:rFonts w:ascii="Arial" w:eastAsia="Arial Unicode MS" w:hAnsi="Arial" w:cs="Arial"/>
                <w:sz w:val="18"/>
                <w:szCs w:val="18"/>
                <w:lang w:val="bg-BG"/>
              </w:rPr>
            </w:pPr>
          </w:p>
        </w:tc>
        <w:tc>
          <w:tcPr>
            <w:tcW w:w="1984" w:type="dxa"/>
            <w:tcBorders>
              <w:top w:val="single" w:sz="6" w:space="0" w:color="auto"/>
              <w:left w:val="nil"/>
              <w:bottom w:val="double" w:sz="6" w:space="0" w:color="auto"/>
              <w:right w:val="nil"/>
            </w:tcBorders>
            <w:vAlign w:val="center"/>
          </w:tcPr>
          <w:p w14:paraId="632385AE" w14:textId="6CC45F49" w:rsidR="008F17B6" w:rsidRPr="00BC2D1E" w:rsidRDefault="008F17B6" w:rsidP="008F17B6">
            <w:pPr>
              <w:ind w:right="142"/>
              <w:jc w:val="right"/>
              <w:rPr>
                <w:rFonts w:ascii="Arial" w:eastAsia="Arial Unicode MS" w:hAnsi="Arial" w:cs="Arial"/>
                <w:b/>
                <w:sz w:val="18"/>
                <w:szCs w:val="18"/>
                <w:lang w:val="en-GB"/>
              </w:rPr>
            </w:pPr>
            <w:r>
              <w:rPr>
                <w:rFonts w:ascii="Arial" w:eastAsia="Arial Unicode MS" w:hAnsi="Arial" w:cs="Arial"/>
                <w:b/>
                <w:sz w:val="18"/>
                <w:szCs w:val="18"/>
                <w:lang w:val="en-GB" w:eastAsia="bg-BG"/>
              </w:rPr>
              <w:t>129</w:t>
            </w:r>
          </w:p>
        </w:tc>
        <w:tc>
          <w:tcPr>
            <w:tcW w:w="283" w:type="dxa"/>
            <w:tcBorders>
              <w:left w:val="nil"/>
              <w:bottom w:val="nil"/>
              <w:right w:val="nil"/>
            </w:tcBorders>
            <w:vAlign w:val="center"/>
          </w:tcPr>
          <w:p w14:paraId="64CC4B4F" w14:textId="77777777" w:rsidR="008F17B6" w:rsidRPr="00721663" w:rsidRDefault="008F17B6" w:rsidP="008F17B6">
            <w:pPr>
              <w:spacing w:line="240" w:lineRule="auto"/>
              <w:jc w:val="right"/>
              <w:rPr>
                <w:rFonts w:ascii="Arial" w:hAnsi="Arial" w:cs="Arial"/>
                <w:b/>
                <w:bCs/>
                <w:sz w:val="18"/>
                <w:szCs w:val="18"/>
                <w:lang w:val="bg-BG"/>
              </w:rPr>
            </w:pPr>
          </w:p>
        </w:tc>
      </w:tr>
    </w:tbl>
    <w:p w14:paraId="671F0DBE" w14:textId="51493963" w:rsidR="00E07C4E" w:rsidRPr="00721663" w:rsidRDefault="00E07C4E" w:rsidP="00E07C4E">
      <w:pPr>
        <w:spacing w:line="240" w:lineRule="auto"/>
        <w:jc w:val="left"/>
        <w:rPr>
          <w:rFonts w:ascii="Arial" w:hAnsi="Arial" w:cs="Arial"/>
          <w:b/>
          <w:lang w:val="bg-BG"/>
        </w:rPr>
      </w:pPr>
    </w:p>
    <w:p w14:paraId="2D5F1AA0" w14:textId="77777777" w:rsidR="00E07C4E" w:rsidRPr="00721663" w:rsidRDefault="00E07C4E" w:rsidP="00E07C4E">
      <w:pPr>
        <w:pStyle w:val="Heading1"/>
      </w:pPr>
      <w:bookmarkStart w:id="46" w:name="_Toc490647406"/>
      <w:r w:rsidRPr="00721663">
        <w:t>14. Търговски и други задължения</w:t>
      </w:r>
      <w:bookmarkEnd w:id="46"/>
    </w:p>
    <w:p w14:paraId="348D357B" w14:textId="77777777" w:rsidR="00E07C4E" w:rsidRPr="00721663" w:rsidRDefault="00E07C4E" w:rsidP="00E07C4E">
      <w:pPr>
        <w:rPr>
          <w:lang w:val="bg-BG"/>
        </w:rPr>
      </w:pPr>
    </w:p>
    <w:tbl>
      <w:tblPr>
        <w:tblW w:w="8647" w:type="dxa"/>
        <w:tblInd w:w="108" w:type="dxa"/>
        <w:tblLayout w:type="fixed"/>
        <w:tblLook w:val="0000" w:firstRow="0" w:lastRow="0" w:firstColumn="0" w:lastColumn="0" w:noHBand="0" w:noVBand="0"/>
      </w:tblPr>
      <w:tblGrid>
        <w:gridCol w:w="4705"/>
        <w:gridCol w:w="1816"/>
        <w:gridCol w:w="283"/>
        <w:gridCol w:w="1843"/>
      </w:tblGrid>
      <w:tr w:rsidR="00E07C4E" w:rsidRPr="00721663" w14:paraId="50879F41" w14:textId="77777777" w:rsidTr="00551604">
        <w:trPr>
          <w:trHeight w:val="412"/>
        </w:trPr>
        <w:tc>
          <w:tcPr>
            <w:tcW w:w="4705" w:type="dxa"/>
            <w:tcBorders>
              <w:top w:val="nil"/>
              <w:left w:val="nil"/>
              <w:bottom w:val="nil"/>
              <w:right w:val="nil"/>
            </w:tcBorders>
            <w:noWrap/>
            <w:vAlign w:val="bottom"/>
          </w:tcPr>
          <w:p w14:paraId="284982DB" w14:textId="77777777" w:rsidR="00E07C4E" w:rsidRPr="00721663" w:rsidRDefault="00E07C4E" w:rsidP="00551604">
            <w:pPr>
              <w:spacing w:line="240" w:lineRule="auto"/>
              <w:jc w:val="left"/>
              <w:rPr>
                <w:rFonts w:ascii="Arial" w:hAnsi="Arial" w:cs="Arial"/>
                <w:b/>
                <w:bCs/>
                <w:i/>
                <w:iCs/>
                <w:sz w:val="18"/>
                <w:szCs w:val="18"/>
                <w:lang w:val="bg-BG"/>
              </w:rPr>
            </w:pPr>
          </w:p>
        </w:tc>
        <w:tc>
          <w:tcPr>
            <w:tcW w:w="1816" w:type="dxa"/>
            <w:tcBorders>
              <w:top w:val="nil"/>
              <w:left w:val="nil"/>
              <w:bottom w:val="single" w:sz="4" w:space="0" w:color="auto"/>
              <w:right w:val="nil"/>
            </w:tcBorders>
            <w:vAlign w:val="bottom"/>
          </w:tcPr>
          <w:p w14:paraId="272DD6DD" w14:textId="56C0E4B7" w:rsidR="00E07C4E" w:rsidRPr="00721663" w:rsidRDefault="00144930" w:rsidP="00551604">
            <w:pPr>
              <w:jc w:val="right"/>
              <w:rPr>
                <w:rFonts w:ascii="Arial" w:hAnsi="Arial" w:cs="Arial"/>
                <w:b/>
                <w:bCs/>
                <w:sz w:val="18"/>
                <w:szCs w:val="18"/>
                <w:lang w:val="bg-BG"/>
              </w:rPr>
            </w:pPr>
            <w:r>
              <w:rPr>
                <w:rFonts w:ascii="Arial" w:hAnsi="Arial" w:cs="Arial"/>
                <w:b/>
                <w:bCs/>
                <w:sz w:val="18"/>
                <w:szCs w:val="18"/>
                <w:lang w:val="bg-BG"/>
              </w:rPr>
              <w:t>30 юни 2017</w:t>
            </w:r>
          </w:p>
        </w:tc>
        <w:tc>
          <w:tcPr>
            <w:tcW w:w="283" w:type="dxa"/>
            <w:tcBorders>
              <w:top w:val="nil"/>
              <w:left w:val="nil"/>
              <w:right w:val="nil"/>
            </w:tcBorders>
            <w:vAlign w:val="bottom"/>
          </w:tcPr>
          <w:p w14:paraId="2498A4D1" w14:textId="77777777" w:rsidR="00E07C4E" w:rsidRPr="00721663" w:rsidRDefault="00E07C4E" w:rsidP="00551604">
            <w:pPr>
              <w:jc w:val="right"/>
              <w:rPr>
                <w:rFonts w:ascii="Arial" w:hAnsi="Arial" w:cs="Arial"/>
                <w:b/>
                <w:bCs/>
                <w:sz w:val="18"/>
                <w:szCs w:val="18"/>
                <w:lang w:val="bg-BG"/>
              </w:rPr>
            </w:pPr>
          </w:p>
        </w:tc>
        <w:tc>
          <w:tcPr>
            <w:tcW w:w="1843" w:type="dxa"/>
            <w:tcBorders>
              <w:top w:val="nil"/>
              <w:left w:val="nil"/>
              <w:bottom w:val="single" w:sz="4" w:space="0" w:color="auto"/>
              <w:right w:val="nil"/>
            </w:tcBorders>
            <w:vAlign w:val="bottom"/>
          </w:tcPr>
          <w:p w14:paraId="0EF7B92D" w14:textId="40CF15FA" w:rsidR="00E07C4E" w:rsidRPr="00721663" w:rsidRDefault="00144930" w:rsidP="00551604">
            <w:pPr>
              <w:tabs>
                <w:tab w:val="left" w:pos="1343"/>
              </w:tabs>
              <w:ind w:right="34"/>
              <w:jc w:val="right"/>
              <w:rPr>
                <w:rFonts w:ascii="Arial" w:hAnsi="Arial" w:cs="Arial"/>
                <w:b/>
                <w:bCs/>
                <w:sz w:val="18"/>
                <w:szCs w:val="18"/>
                <w:lang w:val="bg-BG"/>
              </w:rPr>
            </w:pPr>
            <w:r>
              <w:rPr>
                <w:rFonts w:ascii="Arial" w:hAnsi="Arial" w:cs="Arial"/>
                <w:b/>
                <w:bCs/>
                <w:sz w:val="18"/>
                <w:szCs w:val="18"/>
                <w:lang w:val="bg-BG"/>
              </w:rPr>
              <w:t>31 декември 2016</w:t>
            </w:r>
          </w:p>
        </w:tc>
      </w:tr>
      <w:tr w:rsidR="00E07C4E" w:rsidRPr="00721663" w14:paraId="6F85F4F1" w14:textId="77777777" w:rsidTr="00551604">
        <w:trPr>
          <w:trHeight w:hRule="exact" w:val="284"/>
        </w:trPr>
        <w:tc>
          <w:tcPr>
            <w:tcW w:w="4705" w:type="dxa"/>
            <w:tcBorders>
              <w:top w:val="nil"/>
              <w:left w:val="nil"/>
              <w:bottom w:val="nil"/>
              <w:right w:val="nil"/>
            </w:tcBorders>
            <w:noWrap/>
            <w:vAlign w:val="bottom"/>
          </w:tcPr>
          <w:p w14:paraId="7DF56B62" w14:textId="77777777" w:rsidR="00E07C4E" w:rsidRPr="00721663" w:rsidRDefault="00E07C4E" w:rsidP="00551604">
            <w:pPr>
              <w:spacing w:line="240" w:lineRule="auto"/>
              <w:jc w:val="left"/>
              <w:rPr>
                <w:rFonts w:ascii="Arial" w:hAnsi="Arial" w:cs="Arial"/>
                <w:b/>
                <w:i/>
                <w:sz w:val="18"/>
                <w:szCs w:val="18"/>
                <w:lang w:val="bg-BG"/>
              </w:rPr>
            </w:pPr>
          </w:p>
        </w:tc>
        <w:tc>
          <w:tcPr>
            <w:tcW w:w="1816" w:type="dxa"/>
            <w:tcBorders>
              <w:top w:val="single" w:sz="4" w:space="0" w:color="auto"/>
              <w:left w:val="nil"/>
              <w:right w:val="nil"/>
            </w:tcBorders>
            <w:vAlign w:val="bottom"/>
          </w:tcPr>
          <w:p w14:paraId="4B258896" w14:textId="77777777" w:rsidR="00E07C4E" w:rsidRPr="00721663" w:rsidRDefault="00E07C4E" w:rsidP="00551604">
            <w:pPr>
              <w:jc w:val="right"/>
              <w:rPr>
                <w:rFonts w:ascii="Arial" w:eastAsia="Arial Unicode MS" w:hAnsi="Arial" w:cs="Arial"/>
                <w:sz w:val="18"/>
                <w:szCs w:val="18"/>
                <w:lang w:val="bg-BG"/>
              </w:rPr>
            </w:pPr>
            <w:r w:rsidRPr="00721663">
              <w:rPr>
                <w:rFonts w:ascii="Arial" w:hAnsi="Arial" w:cs="Arial"/>
                <w:b/>
                <w:bCs/>
                <w:sz w:val="18"/>
                <w:szCs w:val="18"/>
                <w:lang w:val="bg-BG"/>
              </w:rPr>
              <w:t>хил. лв.</w:t>
            </w:r>
          </w:p>
        </w:tc>
        <w:tc>
          <w:tcPr>
            <w:tcW w:w="283" w:type="dxa"/>
            <w:tcBorders>
              <w:left w:val="nil"/>
              <w:right w:val="nil"/>
            </w:tcBorders>
            <w:vAlign w:val="bottom"/>
          </w:tcPr>
          <w:p w14:paraId="79F5B13D" w14:textId="77777777" w:rsidR="00E07C4E" w:rsidRPr="00721663" w:rsidRDefault="00E07C4E" w:rsidP="00551604">
            <w:pPr>
              <w:jc w:val="right"/>
              <w:rPr>
                <w:rFonts w:ascii="Arial" w:hAnsi="Arial" w:cs="Arial"/>
                <w:b/>
                <w:bCs/>
                <w:sz w:val="18"/>
                <w:szCs w:val="18"/>
                <w:lang w:val="bg-BG"/>
              </w:rPr>
            </w:pPr>
          </w:p>
        </w:tc>
        <w:tc>
          <w:tcPr>
            <w:tcW w:w="1843" w:type="dxa"/>
            <w:tcBorders>
              <w:top w:val="single" w:sz="4" w:space="0" w:color="auto"/>
              <w:left w:val="nil"/>
              <w:right w:val="nil"/>
            </w:tcBorders>
            <w:vAlign w:val="bottom"/>
          </w:tcPr>
          <w:p w14:paraId="619D6DB0" w14:textId="77777777" w:rsidR="00E07C4E" w:rsidRPr="00721663" w:rsidRDefault="00E07C4E" w:rsidP="00551604">
            <w:pPr>
              <w:jc w:val="right"/>
              <w:rPr>
                <w:rFonts w:ascii="Arial" w:eastAsia="Arial Unicode MS" w:hAnsi="Arial" w:cs="Arial"/>
                <w:sz w:val="18"/>
                <w:szCs w:val="18"/>
                <w:lang w:val="bg-BG"/>
              </w:rPr>
            </w:pPr>
            <w:r w:rsidRPr="00721663">
              <w:rPr>
                <w:rFonts w:ascii="Arial" w:hAnsi="Arial" w:cs="Arial"/>
                <w:b/>
                <w:bCs/>
                <w:sz w:val="18"/>
                <w:szCs w:val="18"/>
                <w:lang w:val="bg-BG"/>
              </w:rPr>
              <w:t>хил. лв.</w:t>
            </w:r>
          </w:p>
        </w:tc>
      </w:tr>
      <w:tr w:rsidR="008F17B6" w:rsidRPr="00721663" w14:paraId="32B86347" w14:textId="77777777" w:rsidTr="00551604">
        <w:trPr>
          <w:trHeight w:hRule="exact" w:val="318"/>
        </w:trPr>
        <w:tc>
          <w:tcPr>
            <w:tcW w:w="4705" w:type="dxa"/>
            <w:tcBorders>
              <w:top w:val="nil"/>
              <w:left w:val="nil"/>
              <w:right w:val="nil"/>
            </w:tcBorders>
            <w:noWrap/>
            <w:vAlign w:val="center"/>
          </w:tcPr>
          <w:p w14:paraId="0C92EA49" w14:textId="35FF66BA" w:rsidR="008F17B6" w:rsidRPr="00721663" w:rsidRDefault="008F17B6" w:rsidP="008F17B6">
            <w:pPr>
              <w:spacing w:line="240" w:lineRule="auto"/>
              <w:jc w:val="left"/>
              <w:rPr>
                <w:rFonts w:ascii="Arial" w:hAnsi="Arial" w:cs="Arial"/>
                <w:sz w:val="18"/>
                <w:szCs w:val="18"/>
                <w:lang w:val="bg-BG"/>
              </w:rPr>
            </w:pPr>
            <w:r>
              <w:rPr>
                <w:rFonts w:ascii="Arial" w:hAnsi="Arial" w:cs="Arial"/>
                <w:sz w:val="18"/>
                <w:szCs w:val="18"/>
                <w:lang w:val="bg-BG" w:eastAsia="bg-BG"/>
              </w:rPr>
              <w:t>Задължения към доставчици</w:t>
            </w:r>
          </w:p>
        </w:tc>
        <w:tc>
          <w:tcPr>
            <w:tcW w:w="1816" w:type="dxa"/>
            <w:tcBorders>
              <w:top w:val="nil"/>
              <w:left w:val="nil"/>
              <w:right w:val="nil"/>
            </w:tcBorders>
            <w:vAlign w:val="center"/>
          </w:tcPr>
          <w:p w14:paraId="7B32A6AB" w14:textId="275E64C0" w:rsidR="008F17B6" w:rsidRDefault="008F17B6" w:rsidP="008F17B6">
            <w:pPr>
              <w:spacing w:line="240" w:lineRule="auto"/>
              <w:jc w:val="right"/>
              <w:rPr>
                <w:rFonts w:ascii="Arial" w:hAnsi="Arial" w:cs="Arial"/>
                <w:sz w:val="18"/>
                <w:szCs w:val="18"/>
                <w:lang w:val="en-GB"/>
              </w:rPr>
            </w:pPr>
            <w:r>
              <w:rPr>
                <w:rFonts w:ascii="Arial" w:hAnsi="Arial" w:cs="Arial"/>
                <w:sz w:val="18"/>
                <w:szCs w:val="18"/>
                <w:lang w:val="en-GB" w:eastAsia="bg-BG"/>
              </w:rPr>
              <w:t>78</w:t>
            </w:r>
          </w:p>
        </w:tc>
        <w:tc>
          <w:tcPr>
            <w:tcW w:w="283" w:type="dxa"/>
            <w:tcBorders>
              <w:top w:val="nil"/>
              <w:left w:val="nil"/>
              <w:right w:val="nil"/>
            </w:tcBorders>
            <w:vAlign w:val="center"/>
          </w:tcPr>
          <w:p w14:paraId="6130D825" w14:textId="77777777" w:rsidR="008F17B6" w:rsidRPr="00721663" w:rsidRDefault="008F17B6" w:rsidP="008F17B6">
            <w:pPr>
              <w:spacing w:line="240" w:lineRule="auto"/>
              <w:jc w:val="right"/>
              <w:rPr>
                <w:rFonts w:ascii="Arial" w:hAnsi="Arial" w:cs="Arial"/>
                <w:sz w:val="18"/>
                <w:szCs w:val="18"/>
                <w:lang w:val="bg-BG"/>
              </w:rPr>
            </w:pPr>
          </w:p>
        </w:tc>
        <w:tc>
          <w:tcPr>
            <w:tcW w:w="1843" w:type="dxa"/>
            <w:tcBorders>
              <w:top w:val="nil"/>
              <w:left w:val="nil"/>
              <w:right w:val="nil"/>
            </w:tcBorders>
            <w:vAlign w:val="center"/>
          </w:tcPr>
          <w:p w14:paraId="29E0DE2E" w14:textId="5906B978" w:rsidR="008F17B6" w:rsidRDefault="008F17B6" w:rsidP="008F17B6">
            <w:pPr>
              <w:spacing w:line="240" w:lineRule="auto"/>
              <w:jc w:val="right"/>
              <w:rPr>
                <w:rFonts w:ascii="Arial" w:hAnsi="Arial" w:cs="Arial"/>
                <w:sz w:val="18"/>
                <w:szCs w:val="18"/>
                <w:lang w:val="en-GB"/>
              </w:rPr>
            </w:pPr>
            <w:r>
              <w:rPr>
                <w:rFonts w:ascii="Arial" w:hAnsi="Arial" w:cs="Arial"/>
                <w:sz w:val="18"/>
                <w:szCs w:val="18"/>
                <w:lang w:val="en-GB" w:eastAsia="bg-BG"/>
              </w:rPr>
              <w:t>315</w:t>
            </w:r>
          </w:p>
        </w:tc>
      </w:tr>
      <w:tr w:rsidR="008F17B6" w:rsidRPr="00721663" w14:paraId="11F42622" w14:textId="77777777" w:rsidTr="00551604">
        <w:trPr>
          <w:trHeight w:hRule="exact" w:val="318"/>
        </w:trPr>
        <w:tc>
          <w:tcPr>
            <w:tcW w:w="4705" w:type="dxa"/>
            <w:tcBorders>
              <w:top w:val="nil"/>
              <w:left w:val="nil"/>
              <w:right w:val="nil"/>
            </w:tcBorders>
            <w:noWrap/>
            <w:vAlign w:val="center"/>
          </w:tcPr>
          <w:p w14:paraId="66C56917" w14:textId="1175385C" w:rsidR="008F17B6" w:rsidRPr="00721663" w:rsidRDefault="008F17B6" w:rsidP="008F17B6">
            <w:pPr>
              <w:spacing w:line="240" w:lineRule="auto"/>
              <w:jc w:val="left"/>
              <w:rPr>
                <w:rFonts w:ascii="Arial" w:hAnsi="Arial" w:cs="Arial"/>
                <w:sz w:val="18"/>
                <w:szCs w:val="18"/>
                <w:lang w:val="bg-BG"/>
              </w:rPr>
            </w:pPr>
            <w:r>
              <w:rPr>
                <w:rFonts w:ascii="Arial" w:hAnsi="Arial" w:cs="Arial"/>
                <w:sz w:val="18"/>
                <w:szCs w:val="18"/>
                <w:lang w:val="bg-BG" w:eastAsia="bg-BG"/>
              </w:rPr>
              <w:t>Задължение за ДДС и други данъци</w:t>
            </w:r>
          </w:p>
        </w:tc>
        <w:tc>
          <w:tcPr>
            <w:tcW w:w="1816" w:type="dxa"/>
            <w:tcBorders>
              <w:top w:val="nil"/>
              <w:left w:val="nil"/>
              <w:right w:val="nil"/>
            </w:tcBorders>
            <w:vAlign w:val="center"/>
          </w:tcPr>
          <w:p w14:paraId="3E5D9071" w14:textId="6FCD7356" w:rsidR="008F17B6" w:rsidRPr="00BC2D1E" w:rsidRDefault="008F17B6" w:rsidP="008F17B6">
            <w:pPr>
              <w:spacing w:line="240" w:lineRule="auto"/>
              <w:jc w:val="right"/>
              <w:rPr>
                <w:rFonts w:ascii="Arial" w:hAnsi="Arial" w:cs="Arial"/>
                <w:sz w:val="18"/>
                <w:szCs w:val="18"/>
                <w:lang w:val="en-GB"/>
              </w:rPr>
            </w:pPr>
            <w:r>
              <w:rPr>
                <w:rFonts w:ascii="Arial" w:hAnsi="Arial" w:cs="Arial"/>
                <w:sz w:val="18"/>
                <w:szCs w:val="18"/>
                <w:lang w:val="en-GB" w:eastAsia="bg-BG"/>
              </w:rPr>
              <w:t>32</w:t>
            </w:r>
          </w:p>
        </w:tc>
        <w:tc>
          <w:tcPr>
            <w:tcW w:w="283" w:type="dxa"/>
            <w:tcBorders>
              <w:top w:val="nil"/>
              <w:left w:val="nil"/>
              <w:right w:val="nil"/>
            </w:tcBorders>
            <w:vAlign w:val="center"/>
          </w:tcPr>
          <w:p w14:paraId="267B06E9" w14:textId="77777777" w:rsidR="008F17B6" w:rsidRPr="00721663" w:rsidRDefault="008F17B6" w:rsidP="008F17B6">
            <w:pPr>
              <w:spacing w:line="240" w:lineRule="auto"/>
              <w:jc w:val="right"/>
              <w:rPr>
                <w:rFonts w:ascii="Arial" w:hAnsi="Arial" w:cs="Arial"/>
                <w:sz w:val="18"/>
                <w:szCs w:val="18"/>
                <w:lang w:val="bg-BG"/>
              </w:rPr>
            </w:pPr>
          </w:p>
        </w:tc>
        <w:tc>
          <w:tcPr>
            <w:tcW w:w="1843" w:type="dxa"/>
            <w:tcBorders>
              <w:top w:val="nil"/>
              <w:left w:val="nil"/>
              <w:right w:val="nil"/>
            </w:tcBorders>
            <w:vAlign w:val="center"/>
          </w:tcPr>
          <w:p w14:paraId="58C4D389" w14:textId="09D8DDEE" w:rsidR="008F17B6" w:rsidRPr="00BC2D1E" w:rsidRDefault="008F17B6" w:rsidP="008F17B6">
            <w:pPr>
              <w:spacing w:line="240" w:lineRule="auto"/>
              <w:jc w:val="right"/>
              <w:rPr>
                <w:rFonts w:ascii="Arial" w:hAnsi="Arial" w:cs="Arial"/>
                <w:sz w:val="18"/>
                <w:szCs w:val="18"/>
                <w:lang w:val="en-GB"/>
              </w:rPr>
            </w:pPr>
            <w:r>
              <w:rPr>
                <w:rFonts w:ascii="Arial" w:hAnsi="Arial" w:cs="Arial"/>
                <w:sz w:val="18"/>
                <w:szCs w:val="18"/>
                <w:lang w:val="en-GB" w:eastAsia="bg-BG"/>
              </w:rPr>
              <w:t>85</w:t>
            </w:r>
          </w:p>
        </w:tc>
      </w:tr>
      <w:tr w:rsidR="008F17B6" w:rsidRPr="00721663" w14:paraId="16057691" w14:textId="77777777" w:rsidTr="00551604">
        <w:trPr>
          <w:trHeight w:hRule="exact" w:val="318"/>
        </w:trPr>
        <w:tc>
          <w:tcPr>
            <w:tcW w:w="4705" w:type="dxa"/>
            <w:tcBorders>
              <w:top w:val="nil"/>
              <w:left w:val="nil"/>
              <w:right w:val="nil"/>
            </w:tcBorders>
            <w:noWrap/>
            <w:vAlign w:val="center"/>
          </w:tcPr>
          <w:p w14:paraId="5E67A763" w14:textId="68AE77B3" w:rsidR="008F17B6" w:rsidRPr="00721663" w:rsidRDefault="008F17B6" w:rsidP="008F17B6">
            <w:pPr>
              <w:spacing w:line="240" w:lineRule="auto"/>
              <w:jc w:val="left"/>
              <w:rPr>
                <w:rFonts w:ascii="Arial" w:hAnsi="Arial" w:cs="Arial"/>
                <w:sz w:val="18"/>
                <w:szCs w:val="18"/>
                <w:lang w:val="bg-BG"/>
              </w:rPr>
            </w:pPr>
            <w:r>
              <w:rPr>
                <w:rFonts w:ascii="Arial" w:hAnsi="Arial" w:cs="Arial"/>
                <w:sz w:val="18"/>
                <w:szCs w:val="18"/>
                <w:lang w:val="bg-BG" w:eastAsia="bg-BG"/>
              </w:rPr>
              <w:t>Начисления за неизползван отпуск</w:t>
            </w:r>
          </w:p>
        </w:tc>
        <w:tc>
          <w:tcPr>
            <w:tcW w:w="1816" w:type="dxa"/>
            <w:tcBorders>
              <w:top w:val="nil"/>
              <w:left w:val="nil"/>
              <w:right w:val="nil"/>
            </w:tcBorders>
            <w:vAlign w:val="center"/>
          </w:tcPr>
          <w:p w14:paraId="498D7447" w14:textId="62FC36FD" w:rsidR="008F17B6" w:rsidRPr="00BC2D1E" w:rsidRDefault="008F17B6" w:rsidP="008F17B6">
            <w:pPr>
              <w:spacing w:line="240" w:lineRule="auto"/>
              <w:jc w:val="right"/>
              <w:rPr>
                <w:rFonts w:ascii="Arial" w:hAnsi="Arial" w:cs="Arial"/>
                <w:sz w:val="18"/>
                <w:szCs w:val="18"/>
                <w:lang w:val="en-GB"/>
              </w:rPr>
            </w:pPr>
            <w:r>
              <w:rPr>
                <w:rFonts w:ascii="Arial" w:hAnsi="Arial" w:cs="Arial"/>
                <w:sz w:val="18"/>
                <w:szCs w:val="18"/>
                <w:lang w:val="en-GB" w:eastAsia="bg-BG"/>
              </w:rPr>
              <w:t>5</w:t>
            </w:r>
          </w:p>
        </w:tc>
        <w:tc>
          <w:tcPr>
            <w:tcW w:w="283" w:type="dxa"/>
            <w:tcBorders>
              <w:top w:val="nil"/>
              <w:left w:val="nil"/>
              <w:right w:val="nil"/>
            </w:tcBorders>
            <w:vAlign w:val="center"/>
          </w:tcPr>
          <w:p w14:paraId="52B2B689" w14:textId="77777777" w:rsidR="008F17B6" w:rsidRPr="00721663" w:rsidRDefault="008F17B6" w:rsidP="008F17B6">
            <w:pPr>
              <w:spacing w:line="240" w:lineRule="auto"/>
              <w:jc w:val="right"/>
              <w:rPr>
                <w:rFonts w:ascii="Arial" w:hAnsi="Arial" w:cs="Arial"/>
                <w:sz w:val="18"/>
                <w:szCs w:val="18"/>
                <w:lang w:val="bg-BG"/>
              </w:rPr>
            </w:pPr>
          </w:p>
        </w:tc>
        <w:tc>
          <w:tcPr>
            <w:tcW w:w="1843" w:type="dxa"/>
            <w:tcBorders>
              <w:top w:val="nil"/>
              <w:left w:val="nil"/>
              <w:right w:val="nil"/>
            </w:tcBorders>
            <w:vAlign w:val="center"/>
          </w:tcPr>
          <w:p w14:paraId="2D119171" w14:textId="3BFDAE16" w:rsidR="008F17B6" w:rsidRPr="00BC2D1E" w:rsidRDefault="008F17B6" w:rsidP="008F17B6">
            <w:pPr>
              <w:spacing w:line="240" w:lineRule="auto"/>
              <w:jc w:val="right"/>
              <w:rPr>
                <w:rFonts w:ascii="Arial" w:hAnsi="Arial" w:cs="Arial"/>
                <w:sz w:val="18"/>
                <w:szCs w:val="18"/>
                <w:lang w:val="en-GB"/>
              </w:rPr>
            </w:pPr>
            <w:r>
              <w:rPr>
                <w:rFonts w:ascii="Arial" w:hAnsi="Arial" w:cs="Arial"/>
                <w:sz w:val="18"/>
                <w:szCs w:val="18"/>
                <w:lang w:val="en-GB" w:eastAsia="bg-BG"/>
              </w:rPr>
              <w:t>4</w:t>
            </w:r>
          </w:p>
        </w:tc>
      </w:tr>
      <w:tr w:rsidR="008F17B6" w:rsidRPr="00721663" w14:paraId="5390C31D" w14:textId="77777777" w:rsidTr="00551604">
        <w:trPr>
          <w:trHeight w:hRule="exact" w:val="318"/>
        </w:trPr>
        <w:tc>
          <w:tcPr>
            <w:tcW w:w="4705" w:type="dxa"/>
            <w:tcBorders>
              <w:left w:val="nil"/>
              <w:bottom w:val="nil"/>
              <w:right w:val="nil"/>
            </w:tcBorders>
            <w:noWrap/>
            <w:vAlign w:val="center"/>
          </w:tcPr>
          <w:p w14:paraId="6AA25C55" w14:textId="77777777" w:rsidR="008F17B6" w:rsidRPr="00721663" w:rsidRDefault="008F17B6" w:rsidP="008F17B6">
            <w:pPr>
              <w:spacing w:line="240" w:lineRule="auto"/>
              <w:jc w:val="left"/>
              <w:rPr>
                <w:rFonts w:ascii="Arial" w:hAnsi="Arial" w:cs="Arial"/>
                <w:b/>
                <w:bCs/>
                <w:sz w:val="18"/>
                <w:szCs w:val="18"/>
                <w:lang w:val="bg-BG"/>
              </w:rPr>
            </w:pPr>
          </w:p>
        </w:tc>
        <w:tc>
          <w:tcPr>
            <w:tcW w:w="1816" w:type="dxa"/>
            <w:tcBorders>
              <w:top w:val="single" w:sz="4" w:space="0" w:color="auto"/>
              <w:left w:val="nil"/>
              <w:bottom w:val="double" w:sz="4" w:space="0" w:color="auto"/>
              <w:right w:val="nil"/>
            </w:tcBorders>
            <w:vAlign w:val="center"/>
          </w:tcPr>
          <w:p w14:paraId="71BD29E7" w14:textId="099689C1" w:rsidR="008F17B6" w:rsidRPr="00BC2D1E" w:rsidRDefault="008F17B6" w:rsidP="008F17B6">
            <w:pPr>
              <w:spacing w:line="240" w:lineRule="auto"/>
              <w:jc w:val="right"/>
              <w:rPr>
                <w:rFonts w:ascii="Arial" w:hAnsi="Arial" w:cs="Arial"/>
                <w:b/>
                <w:bCs/>
                <w:sz w:val="18"/>
                <w:szCs w:val="18"/>
                <w:lang w:val="en-GB"/>
              </w:rPr>
            </w:pPr>
            <w:r>
              <w:rPr>
                <w:rFonts w:ascii="Arial" w:hAnsi="Arial" w:cs="Arial"/>
                <w:b/>
                <w:bCs/>
                <w:sz w:val="18"/>
                <w:szCs w:val="18"/>
                <w:lang w:val="en-GB" w:eastAsia="bg-BG"/>
              </w:rPr>
              <w:t>115</w:t>
            </w:r>
          </w:p>
        </w:tc>
        <w:tc>
          <w:tcPr>
            <w:tcW w:w="283" w:type="dxa"/>
            <w:tcBorders>
              <w:left w:val="nil"/>
              <w:right w:val="nil"/>
            </w:tcBorders>
            <w:vAlign w:val="center"/>
          </w:tcPr>
          <w:p w14:paraId="00FD7AE2" w14:textId="77777777" w:rsidR="008F17B6" w:rsidRPr="00721663" w:rsidRDefault="008F17B6" w:rsidP="008F17B6">
            <w:pPr>
              <w:spacing w:line="240" w:lineRule="auto"/>
              <w:jc w:val="right"/>
              <w:rPr>
                <w:rFonts w:ascii="Arial" w:hAnsi="Arial" w:cs="Arial"/>
                <w:b/>
                <w:bCs/>
                <w:sz w:val="18"/>
                <w:szCs w:val="18"/>
                <w:lang w:val="bg-BG"/>
              </w:rPr>
            </w:pPr>
          </w:p>
        </w:tc>
        <w:tc>
          <w:tcPr>
            <w:tcW w:w="1843" w:type="dxa"/>
            <w:tcBorders>
              <w:top w:val="single" w:sz="4" w:space="0" w:color="auto"/>
              <w:left w:val="nil"/>
              <w:bottom w:val="double" w:sz="4" w:space="0" w:color="auto"/>
              <w:right w:val="nil"/>
            </w:tcBorders>
            <w:vAlign w:val="center"/>
          </w:tcPr>
          <w:p w14:paraId="175FDC3D" w14:textId="07C58B72" w:rsidR="008F17B6" w:rsidRPr="00BC2D1E" w:rsidRDefault="008F17B6" w:rsidP="008F17B6">
            <w:pPr>
              <w:spacing w:line="240" w:lineRule="auto"/>
              <w:jc w:val="right"/>
              <w:rPr>
                <w:rFonts w:ascii="Arial" w:hAnsi="Arial" w:cs="Arial"/>
                <w:b/>
                <w:bCs/>
                <w:sz w:val="18"/>
                <w:szCs w:val="18"/>
                <w:lang w:val="en-GB"/>
              </w:rPr>
            </w:pPr>
            <w:r>
              <w:rPr>
                <w:rFonts w:ascii="Arial" w:hAnsi="Arial" w:cs="Arial"/>
                <w:b/>
                <w:bCs/>
                <w:sz w:val="18"/>
                <w:szCs w:val="18"/>
                <w:lang w:val="en-GB" w:eastAsia="bg-BG"/>
              </w:rPr>
              <w:t>404</w:t>
            </w:r>
          </w:p>
        </w:tc>
      </w:tr>
    </w:tbl>
    <w:p w14:paraId="739A024A" w14:textId="77777777" w:rsidR="00E07C4E" w:rsidRPr="00721663" w:rsidRDefault="00E07C4E" w:rsidP="00E07C4E">
      <w:pPr>
        <w:spacing w:before="120" w:after="120"/>
        <w:jc w:val="left"/>
        <w:rPr>
          <w:rFonts w:ascii="Arial" w:hAnsi="Arial" w:cs="Arial"/>
          <w:sz w:val="18"/>
          <w:szCs w:val="18"/>
          <w:lang w:val="bg-BG"/>
        </w:rPr>
      </w:pPr>
      <w:r w:rsidRPr="00721663">
        <w:rPr>
          <w:rFonts w:ascii="Arial" w:hAnsi="Arial" w:cs="Arial"/>
          <w:sz w:val="18"/>
          <w:szCs w:val="18"/>
          <w:lang w:val="bg-BG"/>
        </w:rPr>
        <w:t>Търговските задължения не са лихвоносни и обикновено се уреждат в срок от 30 до 45 дни.</w:t>
      </w:r>
    </w:p>
    <w:p w14:paraId="7656D5CD" w14:textId="6199F244" w:rsidR="00E07C4E" w:rsidRPr="00721663" w:rsidRDefault="00E07C4E" w:rsidP="00E07C4E">
      <w:pPr>
        <w:pStyle w:val="Notesbodytext"/>
        <w:rPr>
          <w:rFonts w:ascii="Arial" w:hAnsi="Arial"/>
          <w:lang w:val="bg-BG"/>
        </w:rPr>
      </w:pPr>
      <w:r w:rsidRPr="00721663">
        <w:rPr>
          <w:rFonts w:ascii="Arial" w:hAnsi="Arial"/>
          <w:lang w:val="bg-BG"/>
        </w:rPr>
        <w:t xml:space="preserve">Към </w:t>
      </w:r>
      <w:r w:rsidR="00144930">
        <w:rPr>
          <w:rFonts w:ascii="Arial" w:hAnsi="Arial"/>
          <w:lang w:val="bg-BG"/>
        </w:rPr>
        <w:t>30 юни 2017</w:t>
      </w:r>
      <w:r w:rsidRPr="00721663">
        <w:rPr>
          <w:rFonts w:ascii="Arial" w:hAnsi="Arial"/>
          <w:lang w:val="bg-BG"/>
        </w:rPr>
        <w:t xml:space="preserve"> и </w:t>
      </w:r>
      <w:r w:rsidR="00144930">
        <w:rPr>
          <w:rFonts w:ascii="Arial" w:hAnsi="Arial"/>
          <w:lang w:val="bg-BG"/>
        </w:rPr>
        <w:t>31 декември 2016</w:t>
      </w:r>
      <w:r w:rsidRPr="00721663">
        <w:rPr>
          <w:rFonts w:ascii="Arial" w:hAnsi="Arial"/>
          <w:lang w:val="bg-BG"/>
        </w:rPr>
        <w:t xml:space="preserve"> г.</w:t>
      </w:r>
      <w:r w:rsidRPr="00721663">
        <w:rPr>
          <w:rFonts w:ascii="Arial" w:hAnsi="Arial"/>
          <w:szCs w:val="18"/>
          <w:lang w:val="bg-BG"/>
        </w:rPr>
        <w:t xml:space="preserve"> </w:t>
      </w:r>
      <w:r w:rsidRPr="00721663">
        <w:rPr>
          <w:rFonts w:ascii="Arial" w:hAnsi="Arial"/>
          <w:lang w:val="bg-BG"/>
        </w:rPr>
        <w:t>търговските и други задължения са деноминирани в следната валута:</w:t>
      </w:r>
    </w:p>
    <w:tbl>
      <w:tblPr>
        <w:tblW w:w="8789" w:type="dxa"/>
        <w:tblInd w:w="108" w:type="dxa"/>
        <w:tblLook w:val="0000" w:firstRow="0" w:lastRow="0" w:firstColumn="0" w:lastColumn="0" w:noHBand="0" w:noVBand="0"/>
      </w:tblPr>
      <w:tblGrid>
        <w:gridCol w:w="4678"/>
        <w:gridCol w:w="2020"/>
        <w:gridCol w:w="248"/>
        <w:gridCol w:w="1843"/>
      </w:tblGrid>
      <w:tr w:rsidR="00E07C4E" w:rsidRPr="00721663" w14:paraId="303A8E50" w14:textId="77777777" w:rsidTr="00551604">
        <w:trPr>
          <w:cantSplit/>
        </w:trPr>
        <w:tc>
          <w:tcPr>
            <w:tcW w:w="4678" w:type="dxa"/>
          </w:tcPr>
          <w:p w14:paraId="7C5522AA" w14:textId="77777777" w:rsidR="00E07C4E" w:rsidRPr="00721663" w:rsidRDefault="00E07C4E" w:rsidP="00551604">
            <w:pPr>
              <w:ind w:left="567" w:hanging="567"/>
              <w:rPr>
                <w:b/>
                <w:lang w:val="bg-BG"/>
              </w:rPr>
            </w:pPr>
          </w:p>
        </w:tc>
        <w:tc>
          <w:tcPr>
            <w:tcW w:w="2020" w:type="dxa"/>
            <w:tcBorders>
              <w:bottom w:val="single" w:sz="4" w:space="0" w:color="auto"/>
            </w:tcBorders>
            <w:vAlign w:val="bottom"/>
          </w:tcPr>
          <w:p w14:paraId="691FC413" w14:textId="4440B965" w:rsidR="00E07C4E" w:rsidRPr="00721663" w:rsidRDefault="00144930" w:rsidP="00551604">
            <w:pPr>
              <w:jc w:val="right"/>
              <w:rPr>
                <w:rFonts w:ascii="Arial" w:hAnsi="Arial" w:cs="Arial"/>
                <w:b/>
                <w:bCs/>
                <w:sz w:val="18"/>
                <w:szCs w:val="18"/>
                <w:lang w:val="bg-BG"/>
              </w:rPr>
            </w:pPr>
            <w:r>
              <w:rPr>
                <w:rFonts w:ascii="Arial" w:hAnsi="Arial" w:cs="Arial"/>
                <w:b/>
                <w:bCs/>
                <w:sz w:val="18"/>
                <w:szCs w:val="18"/>
                <w:lang w:val="bg-BG"/>
              </w:rPr>
              <w:t>30 юни 2017</w:t>
            </w:r>
          </w:p>
        </w:tc>
        <w:tc>
          <w:tcPr>
            <w:tcW w:w="248" w:type="dxa"/>
            <w:vAlign w:val="bottom"/>
          </w:tcPr>
          <w:p w14:paraId="02B1F189" w14:textId="77777777" w:rsidR="00E07C4E" w:rsidRPr="00721663" w:rsidRDefault="00E07C4E" w:rsidP="00551604">
            <w:pPr>
              <w:jc w:val="right"/>
              <w:rPr>
                <w:rFonts w:ascii="Arial" w:hAnsi="Arial" w:cs="Arial"/>
                <w:b/>
                <w:bCs/>
                <w:sz w:val="18"/>
                <w:szCs w:val="18"/>
                <w:lang w:val="bg-BG"/>
              </w:rPr>
            </w:pPr>
          </w:p>
        </w:tc>
        <w:tc>
          <w:tcPr>
            <w:tcW w:w="1843" w:type="dxa"/>
            <w:tcBorders>
              <w:bottom w:val="single" w:sz="4" w:space="0" w:color="auto"/>
            </w:tcBorders>
            <w:vAlign w:val="bottom"/>
          </w:tcPr>
          <w:p w14:paraId="7F8BC612" w14:textId="39C0F96A" w:rsidR="00E07C4E" w:rsidRPr="00721663" w:rsidRDefault="00144930" w:rsidP="00551604">
            <w:pPr>
              <w:tabs>
                <w:tab w:val="left" w:pos="1343"/>
              </w:tabs>
              <w:ind w:right="34"/>
              <w:jc w:val="right"/>
              <w:rPr>
                <w:rFonts w:ascii="Arial" w:hAnsi="Arial" w:cs="Arial"/>
                <w:b/>
                <w:bCs/>
                <w:sz w:val="18"/>
                <w:szCs w:val="18"/>
                <w:lang w:val="bg-BG"/>
              </w:rPr>
            </w:pPr>
            <w:r>
              <w:rPr>
                <w:rFonts w:ascii="Arial" w:hAnsi="Arial" w:cs="Arial"/>
                <w:b/>
                <w:bCs/>
                <w:sz w:val="18"/>
                <w:szCs w:val="18"/>
                <w:lang w:val="bg-BG"/>
              </w:rPr>
              <w:t>31 декември 2016</w:t>
            </w:r>
          </w:p>
        </w:tc>
      </w:tr>
      <w:tr w:rsidR="00E07C4E" w:rsidRPr="00721663" w14:paraId="71704833" w14:textId="77777777" w:rsidTr="00551604">
        <w:trPr>
          <w:cantSplit/>
        </w:trPr>
        <w:tc>
          <w:tcPr>
            <w:tcW w:w="4678" w:type="dxa"/>
          </w:tcPr>
          <w:p w14:paraId="51726183" w14:textId="77777777" w:rsidR="00E07C4E" w:rsidRPr="00721663" w:rsidRDefault="00E07C4E" w:rsidP="00551604">
            <w:pPr>
              <w:ind w:left="-108"/>
              <w:rPr>
                <w:lang w:val="bg-BG"/>
              </w:rPr>
            </w:pPr>
          </w:p>
        </w:tc>
        <w:tc>
          <w:tcPr>
            <w:tcW w:w="2020" w:type="dxa"/>
            <w:tcBorders>
              <w:top w:val="single" w:sz="4" w:space="0" w:color="auto"/>
            </w:tcBorders>
            <w:vAlign w:val="bottom"/>
          </w:tcPr>
          <w:p w14:paraId="2C13BF40" w14:textId="77777777" w:rsidR="00E07C4E" w:rsidRPr="00721663" w:rsidRDefault="00E07C4E" w:rsidP="00551604">
            <w:pPr>
              <w:jc w:val="right"/>
              <w:rPr>
                <w:rFonts w:ascii="Arial" w:eastAsia="Arial Unicode MS" w:hAnsi="Arial" w:cs="Arial"/>
                <w:sz w:val="18"/>
                <w:szCs w:val="18"/>
                <w:lang w:val="bg-BG"/>
              </w:rPr>
            </w:pPr>
            <w:r w:rsidRPr="00721663">
              <w:rPr>
                <w:rFonts w:ascii="Arial" w:eastAsia="Arial Unicode MS" w:hAnsi="Arial" w:cs="Arial"/>
                <w:b/>
                <w:sz w:val="18"/>
                <w:szCs w:val="18"/>
                <w:lang w:val="bg-BG"/>
              </w:rPr>
              <w:t>хил.лв.</w:t>
            </w:r>
          </w:p>
        </w:tc>
        <w:tc>
          <w:tcPr>
            <w:tcW w:w="248" w:type="dxa"/>
            <w:vAlign w:val="bottom"/>
          </w:tcPr>
          <w:p w14:paraId="0C9CB9DE" w14:textId="77777777" w:rsidR="00E07C4E" w:rsidRPr="00721663" w:rsidRDefault="00E07C4E" w:rsidP="00551604">
            <w:pPr>
              <w:jc w:val="right"/>
              <w:rPr>
                <w:rFonts w:ascii="Arial" w:eastAsia="Arial Unicode MS" w:hAnsi="Arial" w:cs="Arial"/>
                <w:sz w:val="18"/>
                <w:szCs w:val="18"/>
                <w:lang w:val="bg-BG"/>
              </w:rPr>
            </w:pPr>
          </w:p>
        </w:tc>
        <w:tc>
          <w:tcPr>
            <w:tcW w:w="1843" w:type="dxa"/>
            <w:tcBorders>
              <w:top w:val="single" w:sz="4" w:space="0" w:color="auto"/>
            </w:tcBorders>
            <w:vAlign w:val="bottom"/>
          </w:tcPr>
          <w:p w14:paraId="7393354A" w14:textId="77777777" w:rsidR="00E07C4E" w:rsidRPr="00721663" w:rsidRDefault="00E07C4E" w:rsidP="00551604">
            <w:pPr>
              <w:jc w:val="right"/>
              <w:rPr>
                <w:rFonts w:ascii="Arial" w:eastAsia="Arial Unicode MS" w:hAnsi="Arial" w:cs="Arial"/>
                <w:sz w:val="18"/>
                <w:szCs w:val="18"/>
                <w:lang w:val="bg-BG"/>
              </w:rPr>
            </w:pPr>
            <w:r w:rsidRPr="00721663">
              <w:rPr>
                <w:rFonts w:ascii="Arial" w:eastAsia="Arial Unicode MS" w:hAnsi="Arial" w:cs="Arial"/>
                <w:b/>
                <w:sz w:val="18"/>
                <w:szCs w:val="18"/>
                <w:lang w:val="bg-BG"/>
              </w:rPr>
              <w:t>хил.лв.</w:t>
            </w:r>
          </w:p>
        </w:tc>
      </w:tr>
      <w:tr w:rsidR="008F17B6" w:rsidRPr="00721663" w14:paraId="5B85D2AB" w14:textId="77777777" w:rsidTr="00551604">
        <w:trPr>
          <w:cantSplit/>
        </w:trPr>
        <w:tc>
          <w:tcPr>
            <w:tcW w:w="4678" w:type="dxa"/>
          </w:tcPr>
          <w:p w14:paraId="7B8EB127" w14:textId="77777777" w:rsidR="008F17B6" w:rsidRPr="00721663" w:rsidRDefault="008F17B6" w:rsidP="008F17B6">
            <w:pPr>
              <w:ind w:right="141"/>
              <w:jc w:val="left"/>
              <w:rPr>
                <w:rFonts w:ascii="Arial" w:hAnsi="Arial" w:cs="Arial"/>
                <w:sz w:val="18"/>
                <w:szCs w:val="18"/>
                <w:lang w:val="bg-BG"/>
              </w:rPr>
            </w:pPr>
            <w:r w:rsidRPr="00721663">
              <w:rPr>
                <w:rFonts w:ascii="Arial" w:hAnsi="Arial" w:cs="Arial"/>
                <w:sz w:val="18"/>
                <w:szCs w:val="18"/>
                <w:lang w:val="bg-BG"/>
              </w:rPr>
              <w:t>Български лев</w:t>
            </w:r>
          </w:p>
        </w:tc>
        <w:tc>
          <w:tcPr>
            <w:tcW w:w="2020" w:type="dxa"/>
            <w:vAlign w:val="bottom"/>
          </w:tcPr>
          <w:p w14:paraId="2C2F2346" w14:textId="2CBA124E" w:rsidR="008F17B6" w:rsidRPr="00BC2D1E" w:rsidDel="0052645B" w:rsidRDefault="008F17B6" w:rsidP="008F17B6">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113</w:t>
            </w:r>
          </w:p>
        </w:tc>
        <w:tc>
          <w:tcPr>
            <w:tcW w:w="248" w:type="dxa"/>
            <w:vAlign w:val="bottom"/>
          </w:tcPr>
          <w:p w14:paraId="276902E2" w14:textId="77777777" w:rsidR="008F17B6" w:rsidRPr="00721663" w:rsidRDefault="008F17B6" w:rsidP="008F17B6">
            <w:pPr>
              <w:ind w:right="-108"/>
              <w:jc w:val="right"/>
              <w:rPr>
                <w:rFonts w:ascii="Arial" w:eastAsia="Arial Unicode MS" w:hAnsi="Arial" w:cs="Arial"/>
                <w:sz w:val="18"/>
                <w:szCs w:val="18"/>
                <w:lang w:val="bg-BG"/>
              </w:rPr>
            </w:pPr>
          </w:p>
        </w:tc>
        <w:tc>
          <w:tcPr>
            <w:tcW w:w="1843" w:type="dxa"/>
            <w:vAlign w:val="bottom"/>
          </w:tcPr>
          <w:p w14:paraId="02A05266" w14:textId="01A2821F" w:rsidR="008F17B6" w:rsidRPr="00BC2D1E" w:rsidDel="0052645B" w:rsidRDefault="008F17B6" w:rsidP="008F17B6">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351</w:t>
            </w:r>
          </w:p>
        </w:tc>
      </w:tr>
      <w:tr w:rsidR="008F17B6" w:rsidRPr="00721663" w14:paraId="073BA5EC" w14:textId="77777777" w:rsidTr="00551604">
        <w:trPr>
          <w:cantSplit/>
        </w:trPr>
        <w:tc>
          <w:tcPr>
            <w:tcW w:w="4678" w:type="dxa"/>
          </w:tcPr>
          <w:p w14:paraId="27DDCAE8" w14:textId="01FE36F5" w:rsidR="008F17B6" w:rsidRPr="00721663" w:rsidRDefault="008F17B6" w:rsidP="008F17B6">
            <w:pPr>
              <w:ind w:right="141"/>
              <w:jc w:val="left"/>
              <w:rPr>
                <w:rFonts w:ascii="Arial" w:hAnsi="Arial" w:cs="Arial"/>
                <w:sz w:val="18"/>
                <w:szCs w:val="18"/>
                <w:lang w:val="bg-BG"/>
              </w:rPr>
            </w:pPr>
            <w:r w:rsidRPr="00721663">
              <w:rPr>
                <w:rFonts w:ascii="Arial" w:hAnsi="Arial" w:cs="Arial"/>
                <w:sz w:val="18"/>
                <w:szCs w:val="18"/>
                <w:lang w:val="bg-BG"/>
              </w:rPr>
              <w:t>Евро</w:t>
            </w:r>
          </w:p>
        </w:tc>
        <w:tc>
          <w:tcPr>
            <w:tcW w:w="2020" w:type="dxa"/>
            <w:tcBorders>
              <w:bottom w:val="single" w:sz="4" w:space="0" w:color="auto"/>
            </w:tcBorders>
            <w:vAlign w:val="bottom"/>
          </w:tcPr>
          <w:p w14:paraId="02BDF842" w14:textId="425D8240" w:rsidR="008F17B6" w:rsidRPr="00BC2D1E" w:rsidRDefault="008F17B6" w:rsidP="008F17B6">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2</w:t>
            </w:r>
          </w:p>
        </w:tc>
        <w:tc>
          <w:tcPr>
            <w:tcW w:w="248" w:type="dxa"/>
            <w:vAlign w:val="bottom"/>
          </w:tcPr>
          <w:p w14:paraId="4CE9A483" w14:textId="77777777" w:rsidR="008F17B6" w:rsidRPr="00721663" w:rsidRDefault="008F17B6" w:rsidP="008F17B6">
            <w:pPr>
              <w:ind w:right="-108"/>
              <w:jc w:val="right"/>
              <w:rPr>
                <w:rFonts w:ascii="Arial" w:eastAsia="Arial Unicode MS" w:hAnsi="Arial" w:cs="Arial"/>
                <w:sz w:val="18"/>
                <w:szCs w:val="18"/>
                <w:lang w:val="bg-BG"/>
              </w:rPr>
            </w:pPr>
          </w:p>
        </w:tc>
        <w:tc>
          <w:tcPr>
            <w:tcW w:w="1843" w:type="dxa"/>
            <w:tcBorders>
              <w:bottom w:val="single" w:sz="4" w:space="0" w:color="auto"/>
            </w:tcBorders>
            <w:vAlign w:val="bottom"/>
          </w:tcPr>
          <w:p w14:paraId="3A5919B2" w14:textId="68684E47" w:rsidR="008F17B6" w:rsidRPr="00BC2D1E" w:rsidRDefault="008F17B6" w:rsidP="008F17B6">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53</w:t>
            </w:r>
          </w:p>
        </w:tc>
      </w:tr>
      <w:tr w:rsidR="008F17B6" w:rsidRPr="00721663" w14:paraId="17F4DB4D" w14:textId="77777777" w:rsidTr="00551604">
        <w:trPr>
          <w:cantSplit/>
        </w:trPr>
        <w:tc>
          <w:tcPr>
            <w:tcW w:w="4678" w:type="dxa"/>
          </w:tcPr>
          <w:p w14:paraId="16590390" w14:textId="77777777" w:rsidR="008F17B6" w:rsidRPr="00721663" w:rsidRDefault="008F17B6" w:rsidP="008F17B6">
            <w:pPr>
              <w:ind w:left="-108"/>
              <w:rPr>
                <w:lang w:val="bg-BG"/>
              </w:rPr>
            </w:pPr>
          </w:p>
        </w:tc>
        <w:tc>
          <w:tcPr>
            <w:tcW w:w="2020" w:type="dxa"/>
            <w:tcBorders>
              <w:top w:val="single" w:sz="4" w:space="0" w:color="auto"/>
              <w:bottom w:val="double" w:sz="4" w:space="0" w:color="auto"/>
            </w:tcBorders>
            <w:vAlign w:val="center"/>
          </w:tcPr>
          <w:p w14:paraId="6FEA60F5" w14:textId="1EA24969" w:rsidR="008F17B6" w:rsidRPr="00BC2D1E" w:rsidRDefault="008F17B6" w:rsidP="008F17B6">
            <w:pPr>
              <w:ind w:right="142"/>
              <w:jc w:val="right"/>
              <w:rPr>
                <w:rFonts w:ascii="Arial" w:eastAsia="Arial Unicode MS" w:hAnsi="Arial" w:cs="Arial"/>
                <w:b/>
                <w:sz w:val="18"/>
                <w:szCs w:val="18"/>
                <w:lang w:val="en-GB"/>
              </w:rPr>
            </w:pPr>
            <w:r>
              <w:rPr>
                <w:rFonts w:ascii="Arial" w:eastAsia="Arial Unicode MS" w:hAnsi="Arial" w:cs="Arial"/>
                <w:b/>
                <w:sz w:val="18"/>
                <w:szCs w:val="18"/>
                <w:lang w:val="en-GB" w:eastAsia="bg-BG"/>
              </w:rPr>
              <w:t>115</w:t>
            </w:r>
          </w:p>
        </w:tc>
        <w:tc>
          <w:tcPr>
            <w:tcW w:w="248" w:type="dxa"/>
            <w:vAlign w:val="center"/>
          </w:tcPr>
          <w:p w14:paraId="0D96994F" w14:textId="77777777" w:rsidR="008F17B6" w:rsidRPr="00721663" w:rsidRDefault="008F17B6" w:rsidP="008F17B6">
            <w:pPr>
              <w:ind w:right="-108"/>
              <w:jc w:val="right"/>
              <w:rPr>
                <w:rFonts w:ascii="Arial" w:eastAsia="Arial Unicode MS" w:hAnsi="Arial" w:cs="Arial"/>
                <w:b/>
                <w:sz w:val="18"/>
                <w:szCs w:val="18"/>
                <w:lang w:val="bg-BG"/>
              </w:rPr>
            </w:pPr>
          </w:p>
        </w:tc>
        <w:tc>
          <w:tcPr>
            <w:tcW w:w="1843" w:type="dxa"/>
            <w:tcBorders>
              <w:top w:val="single" w:sz="4" w:space="0" w:color="auto"/>
              <w:bottom w:val="double" w:sz="4" w:space="0" w:color="auto"/>
            </w:tcBorders>
            <w:vAlign w:val="center"/>
          </w:tcPr>
          <w:p w14:paraId="65841A61" w14:textId="04D28071" w:rsidR="008F17B6" w:rsidRPr="00BC2D1E" w:rsidRDefault="008F17B6" w:rsidP="008F17B6">
            <w:pPr>
              <w:ind w:right="142"/>
              <w:jc w:val="right"/>
              <w:rPr>
                <w:rFonts w:ascii="Arial" w:eastAsia="Arial Unicode MS" w:hAnsi="Arial" w:cs="Arial"/>
                <w:b/>
                <w:sz w:val="18"/>
                <w:szCs w:val="18"/>
                <w:lang w:val="en-GB"/>
              </w:rPr>
            </w:pPr>
            <w:r>
              <w:rPr>
                <w:rFonts w:ascii="Arial" w:eastAsia="Arial Unicode MS" w:hAnsi="Arial" w:cs="Arial"/>
                <w:b/>
                <w:sz w:val="18"/>
                <w:szCs w:val="18"/>
                <w:lang w:val="en-GB" w:eastAsia="bg-BG"/>
              </w:rPr>
              <w:t>404</w:t>
            </w:r>
          </w:p>
        </w:tc>
      </w:tr>
    </w:tbl>
    <w:p w14:paraId="278DC735" w14:textId="77777777" w:rsidR="00E07C4E" w:rsidRPr="00721663" w:rsidRDefault="00E07C4E" w:rsidP="00144930"/>
    <w:p w14:paraId="0C588AFC" w14:textId="77777777" w:rsidR="008F17B6" w:rsidRDefault="008F17B6">
      <w:pPr>
        <w:spacing w:line="240" w:lineRule="auto"/>
        <w:jc w:val="left"/>
        <w:rPr>
          <w:rFonts w:ascii="Arial" w:hAnsi="Arial" w:cs="Arial"/>
          <w:b/>
          <w:lang w:val="bg-BG"/>
        </w:rPr>
      </w:pPr>
      <w:r>
        <w:br w:type="page"/>
      </w:r>
    </w:p>
    <w:p w14:paraId="051FF282" w14:textId="1A96200E" w:rsidR="00E07C4E" w:rsidRPr="00721663" w:rsidRDefault="00E07C4E" w:rsidP="00E07C4E">
      <w:pPr>
        <w:pStyle w:val="Heading1"/>
      </w:pPr>
      <w:bookmarkStart w:id="47" w:name="_Toc490647407"/>
      <w:r w:rsidRPr="00721663">
        <w:t>15. Свързани лица</w:t>
      </w:r>
      <w:bookmarkEnd w:id="47"/>
    </w:p>
    <w:p w14:paraId="35A705D2" w14:textId="5F096EB4" w:rsidR="00E07C4E" w:rsidRPr="00721663" w:rsidRDefault="00E07C4E" w:rsidP="00E07C4E">
      <w:pPr>
        <w:spacing w:after="120"/>
        <w:jc w:val="left"/>
        <w:rPr>
          <w:rFonts w:ascii="Arial" w:hAnsi="Arial" w:cs="Arial"/>
          <w:sz w:val="18"/>
          <w:szCs w:val="18"/>
          <w:lang w:val="bg-BG"/>
        </w:rPr>
      </w:pPr>
      <w:r w:rsidRPr="00721663">
        <w:rPr>
          <w:rFonts w:ascii="Arial" w:hAnsi="Arial" w:cs="Arial"/>
          <w:sz w:val="18"/>
          <w:szCs w:val="18"/>
          <w:lang w:val="bg-BG"/>
        </w:rPr>
        <w:t xml:space="preserve">В таблицата по-долу е представена общата сума на сделките, които са сключени със свързани лица през шестмесечните периоди, приключващи на </w:t>
      </w:r>
      <w:r w:rsidR="00144930">
        <w:rPr>
          <w:rFonts w:ascii="Arial" w:hAnsi="Arial" w:cs="Arial"/>
          <w:sz w:val="18"/>
          <w:szCs w:val="18"/>
          <w:lang w:val="bg-BG"/>
        </w:rPr>
        <w:t>30 юни 2017</w:t>
      </w:r>
      <w:r w:rsidRPr="00721663">
        <w:rPr>
          <w:rFonts w:ascii="Arial" w:hAnsi="Arial" w:cs="Arial"/>
          <w:sz w:val="18"/>
          <w:szCs w:val="18"/>
          <w:lang w:val="bg-BG"/>
        </w:rPr>
        <w:t xml:space="preserve"> и </w:t>
      </w:r>
      <w:r w:rsidR="00144930">
        <w:rPr>
          <w:rFonts w:ascii="Arial" w:hAnsi="Arial" w:cs="Arial"/>
          <w:sz w:val="18"/>
          <w:szCs w:val="18"/>
          <w:lang w:val="bg-BG"/>
        </w:rPr>
        <w:t>2016</w:t>
      </w:r>
      <w:r w:rsidRPr="00721663">
        <w:rPr>
          <w:rFonts w:ascii="Arial" w:hAnsi="Arial" w:cs="Arial"/>
          <w:sz w:val="18"/>
          <w:szCs w:val="18"/>
          <w:lang w:val="bg-BG"/>
        </w:rPr>
        <w:t xml:space="preserve"> г., и крайните салда със свързани лица към </w:t>
      </w:r>
      <w:r w:rsidR="00144930">
        <w:rPr>
          <w:rFonts w:ascii="Arial" w:hAnsi="Arial" w:cs="Arial"/>
          <w:sz w:val="18"/>
          <w:szCs w:val="18"/>
          <w:lang w:val="bg-BG"/>
        </w:rPr>
        <w:t>30 юни 2017</w:t>
      </w:r>
      <w:r w:rsidRPr="00721663">
        <w:rPr>
          <w:rFonts w:ascii="Arial" w:hAnsi="Arial" w:cs="Arial"/>
          <w:sz w:val="18"/>
          <w:szCs w:val="18"/>
          <w:lang w:val="bg-BG"/>
        </w:rPr>
        <w:t xml:space="preserve"> г. и </w:t>
      </w:r>
      <w:r w:rsidR="00144930">
        <w:rPr>
          <w:rFonts w:ascii="Arial" w:hAnsi="Arial" w:cs="Arial"/>
          <w:sz w:val="18"/>
          <w:szCs w:val="18"/>
          <w:lang w:val="bg-BG"/>
        </w:rPr>
        <w:t>31 декември 2016</w:t>
      </w:r>
      <w:r w:rsidRPr="00721663">
        <w:rPr>
          <w:rFonts w:ascii="Arial" w:hAnsi="Arial" w:cs="Arial"/>
          <w:sz w:val="18"/>
          <w:szCs w:val="18"/>
          <w:lang w:val="bg-BG"/>
        </w:rPr>
        <w:t xml:space="preserve"> г.:</w:t>
      </w:r>
    </w:p>
    <w:tbl>
      <w:tblPr>
        <w:tblW w:w="8789" w:type="dxa"/>
        <w:tblInd w:w="-709" w:type="dxa"/>
        <w:tblLayout w:type="fixed"/>
        <w:tblCellMar>
          <w:left w:w="0" w:type="dxa"/>
          <w:right w:w="0" w:type="dxa"/>
        </w:tblCellMar>
        <w:tblLook w:val="0000" w:firstRow="0" w:lastRow="0" w:firstColumn="0" w:lastColumn="0" w:noHBand="0" w:noVBand="0"/>
      </w:tblPr>
      <w:tblGrid>
        <w:gridCol w:w="1702"/>
        <w:gridCol w:w="139"/>
        <w:gridCol w:w="1987"/>
        <w:gridCol w:w="140"/>
        <w:gridCol w:w="1419"/>
        <w:gridCol w:w="139"/>
        <w:gridCol w:w="1443"/>
        <w:gridCol w:w="140"/>
        <w:gridCol w:w="1680"/>
      </w:tblGrid>
      <w:tr w:rsidR="008F17B6" w:rsidRPr="00721663" w14:paraId="71060001" w14:textId="77777777" w:rsidTr="008F17B6">
        <w:trPr>
          <w:trHeight w:hRule="exact" w:val="855"/>
        </w:trPr>
        <w:tc>
          <w:tcPr>
            <w:tcW w:w="1702" w:type="dxa"/>
            <w:tcBorders>
              <w:bottom w:val="single" w:sz="4" w:space="0" w:color="auto"/>
            </w:tcBorders>
            <w:vAlign w:val="bottom"/>
          </w:tcPr>
          <w:p w14:paraId="639723A7" w14:textId="77777777" w:rsidR="008F17B6" w:rsidRPr="00721663" w:rsidRDefault="008F17B6" w:rsidP="00551604">
            <w:pPr>
              <w:pStyle w:val="BodyText2"/>
              <w:tabs>
                <w:tab w:val="clear" w:pos="360"/>
                <w:tab w:val="left" w:pos="0"/>
              </w:tabs>
              <w:ind w:left="0"/>
              <w:jc w:val="center"/>
              <w:rPr>
                <w:rFonts w:ascii="Arial" w:hAnsi="Arial" w:cs="Arial"/>
                <w:i/>
                <w:sz w:val="18"/>
                <w:szCs w:val="18"/>
                <w:lang w:val="bg-BG"/>
              </w:rPr>
            </w:pPr>
            <w:r w:rsidRPr="00721663">
              <w:rPr>
                <w:rFonts w:ascii="Arial" w:hAnsi="Arial" w:cs="Arial"/>
                <w:i/>
                <w:sz w:val="18"/>
                <w:szCs w:val="18"/>
                <w:lang w:val="bg-BG"/>
              </w:rPr>
              <w:t>Свързано лице</w:t>
            </w:r>
          </w:p>
        </w:tc>
        <w:tc>
          <w:tcPr>
            <w:tcW w:w="139" w:type="dxa"/>
            <w:vAlign w:val="bottom"/>
          </w:tcPr>
          <w:p w14:paraId="383F99C1" w14:textId="77777777" w:rsidR="008F17B6" w:rsidRPr="00721663" w:rsidRDefault="008F17B6" w:rsidP="00551604">
            <w:pPr>
              <w:pStyle w:val="BodyText2"/>
              <w:jc w:val="center"/>
              <w:rPr>
                <w:rFonts w:ascii="Arial" w:hAnsi="Arial" w:cs="Arial"/>
                <w:i/>
                <w:sz w:val="18"/>
                <w:szCs w:val="18"/>
                <w:lang w:val="bg-BG"/>
              </w:rPr>
            </w:pPr>
          </w:p>
        </w:tc>
        <w:tc>
          <w:tcPr>
            <w:tcW w:w="1987" w:type="dxa"/>
            <w:tcBorders>
              <w:bottom w:val="single" w:sz="4" w:space="0" w:color="auto"/>
            </w:tcBorders>
            <w:vAlign w:val="bottom"/>
          </w:tcPr>
          <w:p w14:paraId="7AFA6404" w14:textId="77777777" w:rsidR="008F17B6" w:rsidRPr="00721663" w:rsidRDefault="008F17B6" w:rsidP="00551604">
            <w:pPr>
              <w:pStyle w:val="BodyText2"/>
              <w:tabs>
                <w:tab w:val="clear" w:pos="360"/>
                <w:tab w:val="left" w:pos="-6"/>
              </w:tabs>
              <w:ind w:left="-6" w:right="159"/>
              <w:jc w:val="right"/>
              <w:rPr>
                <w:rFonts w:ascii="Arial" w:hAnsi="Arial" w:cs="Arial"/>
                <w:i/>
                <w:sz w:val="18"/>
                <w:szCs w:val="18"/>
                <w:lang w:val="bg-BG"/>
              </w:rPr>
            </w:pPr>
            <w:r w:rsidRPr="00721663">
              <w:rPr>
                <w:rFonts w:ascii="Arial" w:hAnsi="Arial" w:cs="Arial"/>
                <w:i/>
                <w:sz w:val="18"/>
                <w:szCs w:val="18"/>
                <w:lang w:val="bg-BG"/>
              </w:rPr>
              <w:t xml:space="preserve">Заеми, получени от свързано лице през </w:t>
            </w:r>
            <w:r>
              <w:rPr>
                <w:rFonts w:ascii="Arial" w:hAnsi="Arial" w:cs="Arial"/>
                <w:i/>
                <w:sz w:val="18"/>
                <w:szCs w:val="18"/>
                <w:lang w:val="bg-BG"/>
              </w:rPr>
              <w:t>периода</w:t>
            </w:r>
          </w:p>
        </w:tc>
        <w:tc>
          <w:tcPr>
            <w:tcW w:w="140" w:type="dxa"/>
            <w:vAlign w:val="bottom"/>
          </w:tcPr>
          <w:p w14:paraId="72DBE4A9" w14:textId="77777777" w:rsidR="008F17B6" w:rsidRPr="00721663" w:rsidRDefault="008F17B6" w:rsidP="00551604">
            <w:pPr>
              <w:pStyle w:val="BodyText2"/>
              <w:jc w:val="right"/>
              <w:rPr>
                <w:rFonts w:ascii="Arial" w:hAnsi="Arial" w:cs="Arial"/>
                <w:i/>
                <w:sz w:val="18"/>
                <w:szCs w:val="18"/>
                <w:lang w:val="bg-BG"/>
              </w:rPr>
            </w:pPr>
          </w:p>
        </w:tc>
        <w:tc>
          <w:tcPr>
            <w:tcW w:w="1419" w:type="dxa"/>
            <w:tcBorders>
              <w:bottom w:val="single" w:sz="4" w:space="0" w:color="auto"/>
            </w:tcBorders>
            <w:vAlign w:val="bottom"/>
          </w:tcPr>
          <w:p w14:paraId="0A1FD164" w14:textId="77777777" w:rsidR="008F17B6" w:rsidRPr="00721663" w:rsidRDefault="008F17B6" w:rsidP="00551604">
            <w:pPr>
              <w:pStyle w:val="BodyText2"/>
              <w:tabs>
                <w:tab w:val="clear" w:pos="360"/>
                <w:tab w:val="left" w:pos="-6"/>
              </w:tabs>
              <w:ind w:left="-6" w:right="159"/>
              <w:jc w:val="right"/>
              <w:rPr>
                <w:rFonts w:ascii="Arial" w:hAnsi="Arial" w:cs="Arial"/>
                <w:i/>
                <w:sz w:val="18"/>
                <w:szCs w:val="18"/>
                <w:lang w:val="bg-BG"/>
              </w:rPr>
            </w:pPr>
            <w:r w:rsidRPr="00721663">
              <w:rPr>
                <w:rFonts w:ascii="Arial" w:hAnsi="Arial" w:cs="Arial"/>
                <w:i/>
                <w:sz w:val="18"/>
                <w:szCs w:val="18"/>
                <w:lang w:val="bg-BG"/>
              </w:rPr>
              <w:t>Разходи за лихви</w:t>
            </w:r>
          </w:p>
        </w:tc>
        <w:tc>
          <w:tcPr>
            <w:tcW w:w="139" w:type="dxa"/>
            <w:vAlign w:val="bottom"/>
          </w:tcPr>
          <w:p w14:paraId="01B0928B" w14:textId="77777777" w:rsidR="008F17B6" w:rsidRPr="00721663" w:rsidRDefault="008F17B6" w:rsidP="00551604">
            <w:pPr>
              <w:pStyle w:val="BodyText2"/>
              <w:tabs>
                <w:tab w:val="clear" w:pos="360"/>
                <w:tab w:val="left" w:pos="-1"/>
              </w:tabs>
              <w:ind w:left="-1" w:right="124"/>
              <w:jc w:val="right"/>
              <w:rPr>
                <w:rFonts w:ascii="Arial" w:hAnsi="Arial" w:cs="Arial"/>
                <w:i/>
                <w:sz w:val="18"/>
                <w:szCs w:val="18"/>
                <w:lang w:val="bg-BG"/>
              </w:rPr>
            </w:pPr>
          </w:p>
        </w:tc>
        <w:tc>
          <w:tcPr>
            <w:tcW w:w="1443" w:type="dxa"/>
            <w:tcBorders>
              <w:bottom w:val="single" w:sz="4" w:space="0" w:color="auto"/>
            </w:tcBorders>
            <w:vAlign w:val="bottom"/>
          </w:tcPr>
          <w:p w14:paraId="6DF28E39" w14:textId="77777777" w:rsidR="008F17B6" w:rsidRPr="00721663" w:rsidRDefault="008F17B6" w:rsidP="00551604">
            <w:pPr>
              <w:pStyle w:val="BodyText2"/>
              <w:tabs>
                <w:tab w:val="clear" w:pos="360"/>
                <w:tab w:val="left" w:pos="-1"/>
              </w:tabs>
              <w:ind w:left="0" w:right="124"/>
              <w:jc w:val="right"/>
              <w:rPr>
                <w:rFonts w:ascii="Arial" w:hAnsi="Arial" w:cs="Arial"/>
                <w:i/>
                <w:sz w:val="18"/>
                <w:szCs w:val="18"/>
                <w:lang w:val="bg-BG"/>
              </w:rPr>
            </w:pPr>
            <w:r w:rsidRPr="00721663">
              <w:rPr>
                <w:rFonts w:ascii="Arial" w:hAnsi="Arial" w:cs="Arial"/>
                <w:i/>
                <w:sz w:val="18"/>
                <w:szCs w:val="18"/>
                <w:lang w:val="bg-BG"/>
              </w:rPr>
              <w:t>Суми, дължими на свързано лице</w:t>
            </w:r>
          </w:p>
        </w:tc>
        <w:tc>
          <w:tcPr>
            <w:tcW w:w="140" w:type="dxa"/>
            <w:vAlign w:val="bottom"/>
          </w:tcPr>
          <w:p w14:paraId="0D47159A" w14:textId="77777777" w:rsidR="008F17B6" w:rsidRPr="00721663" w:rsidRDefault="008F17B6" w:rsidP="00551604">
            <w:pPr>
              <w:pStyle w:val="BodyText2"/>
              <w:jc w:val="center"/>
              <w:rPr>
                <w:rFonts w:ascii="Arial" w:hAnsi="Arial" w:cs="Arial"/>
                <w:i/>
                <w:sz w:val="18"/>
                <w:szCs w:val="18"/>
                <w:lang w:val="bg-BG"/>
              </w:rPr>
            </w:pPr>
          </w:p>
          <w:p w14:paraId="7B1466EB" w14:textId="77777777" w:rsidR="008F17B6" w:rsidRPr="00721663" w:rsidRDefault="008F17B6" w:rsidP="00551604">
            <w:pPr>
              <w:pStyle w:val="BodyText2"/>
              <w:jc w:val="center"/>
              <w:rPr>
                <w:rFonts w:ascii="Arial" w:hAnsi="Arial" w:cs="Arial"/>
                <w:i/>
                <w:sz w:val="18"/>
                <w:szCs w:val="18"/>
                <w:lang w:val="bg-BG"/>
              </w:rPr>
            </w:pPr>
          </w:p>
        </w:tc>
        <w:tc>
          <w:tcPr>
            <w:tcW w:w="1680" w:type="dxa"/>
            <w:tcBorders>
              <w:bottom w:val="single" w:sz="4" w:space="0" w:color="auto"/>
            </w:tcBorders>
            <w:vAlign w:val="bottom"/>
          </w:tcPr>
          <w:p w14:paraId="58BD4B7E" w14:textId="77777777" w:rsidR="008F17B6" w:rsidRPr="00721663" w:rsidRDefault="008F17B6" w:rsidP="00551604">
            <w:pPr>
              <w:pStyle w:val="BodyText2"/>
              <w:tabs>
                <w:tab w:val="clear" w:pos="360"/>
                <w:tab w:val="left" w:pos="17"/>
              </w:tabs>
              <w:ind w:left="-1" w:right="124"/>
              <w:jc w:val="center"/>
              <w:rPr>
                <w:rFonts w:ascii="Arial" w:hAnsi="Arial" w:cs="Arial"/>
                <w:i/>
                <w:sz w:val="18"/>
                <w:szCs w:val="18"/>
                <w:lang w:val="bg-BG"/>
              </w:rPr>
            </w:pPr>
            <w:r w:rsidRPr="00721663">
              <w:rPr>
                <w:rFonts w:ascii="Arial" w:hAnsi="Arial" w:cs="Arial"/>
                <w:i/>
                <w:sz w:val="18"/>
                <w:szCs w:val="18"/>
                <w:lang w:val="bg-BG"/>
              </w:rPr>
              <w:t>Вид на сделката</w:t>
            </w:r>
          </w:p>
        </w:tc>
      </w:tr>
      <w:tr w:rsidR="008F17B6" w:rsidRPr="00721663" w14:paraId="68D45BA1" w14:textId="77777777" w:rsidTr="008F17B6">
        <w:trPr>
          <w:trHeight w:hRule="exact" w:val="293"/>
        </w:trPr>
        <w:tc>
          <w:tcPr>
            <w:tcW w:w="1702" w:type="dxa"/>
            <w:vAlign w:val="center"/>
          </w:tcPr>
          <w:p w14:paraId="0E3B2166" w14:textId="77777777" w:rsidR="008F17B6" w:rsidRPr="00721663" w:rsidRDefault="008F17B6" w:rsidP="00551604">
            <w:pPr>
              <w:jc w:val="left"/>
              <w:rPr>
                <w:rFonts w:ascii="Arial" w:hAnsi="Arial" w:cs="Arial"/>
                <w:sz w:val="18"/>
                <w:szCs w:val="18"/>
                <w:lang w:val="bg-BG"/>
              </w:rPr>
            </w:pPr>
          </w:p>
        </w:tc>
        <w:tc>
          <w:tcPr>
            <w:tcW w:w="139" w:type="dxa"/>
            <w:vAlign w:val="bottom"/>
          </w:tcPr>
          <w:p w14:paraId="0D7D036D" w14:textId="77777777" w:rsidR="008F17B6" w:rsidRPr="00721663" w:rsidRDefault="008F17B6" w:rsidP="00551604">
            <w:pPr>
              <w:pStyle w:val="BodyText2"/>
              <w:jc w:val="right"/>
              <w:rPr>
                <w:rFonts w:ascii="Arial" w:hAnsi="Arial" w:cs="Arial"/>
                <w:sz w:val="18"/>
                <w:szCs w:val="18"/>
                <w:lang w:val="bg-BG"/>
              </w:rPr>
            </w:pPr>
          </w:p>
        </w:tc>
        <w:tc>
          <w:tcPr>
            <w:tcW w:w="1987" w:type="dxa"/>
            <w:vAlign w:val="bottom"/>
          </w:tcPr>
          <w:p w14:paraId="0FF91703" w14:textId="77777777" w:rsidR="008F17B6" w:rsidRPr="00721663" w:rsidRDefault="008F17B6"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140" w:type="dxa"/>
            <w:vAlign w:val="bottom"/>
          </w:tcPr>
          <w:p w14:paraId="61F47A39" w14:textId="77777777" w:rsidR="008F17B6" w:rsidRPr="00721663" w:rsidRDefault="008F17B6" w:rsidP="00551604">
            <w:pPr>
              <w:spacing w:line="240" w:lineRule="auto"/>
              <w:jc w:val="right"/>
              <w:rPr>
                <w:rFonts w:ascii="Arial" w:eastAsia="Arial Unicode MS" w:hAnsi="Arial" w:cs="Arial"/>
                <w:sz w:val="18"/>
                <w:szCs w:val="18"/>
                <w:lang w:val="bg-BG"/>
              </w:rPr>
            </w:pPr>
          </w:p>
        </w:tc>
        <w:tc>
          <w:tcPr>
            <w:tcW w:w="1419" w:type="dxa"/>
            <w:vAlign w:val="bottom"/>
          </w:tcPr>
          <w:p w14:paraId="187957A4" w14:textId="77777777" w:rsidR="008F17B6" w:rsidRPr="00721663" w:rsidRDefault="008F17B6"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139" w:type="dxa"/>
            <w:vAlign w:val="bottom"/>
          </w:tcPr>
          <w:p w14:paraId="0223DACA" w14:textId="77777777" w:rsidR="008F17B6" w:rsidRPr="00721663" w:rsidRDefault="008F17B6" w:rsidP="00551604">
            <w:pPr>
              <w:spacing w:line="240" w:lineRule="auto"/>
              <w:jc w:val="right"/>
              <w:rPr>
                <w:rFonts w:ascii="Arial" w:eastAsia="Arial Unicode MS" w:hAnsi="Arial" w:cs="Arial"/>
                <w:sz w:val="18"/>
                <w:szCs w:val="18"/>
                <w:lang w:val="bg-BG"/>
              </w:rPr>
            </w:pPr>
          </w:p>
        </w:tc>
        <w:tc>
          <w:tcPr>
            <w:tcW w:w="1443" w:type="dxa"/>
            <w:vAlign w:val="bottom"/>
          </w:tcPr>
          <w:p w14:paraId="348D314E" w14:textId="77777777" w:rsidR="008F17B6" w:rsidRPr="00721663" w:rsidRDefault="008F17B6"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140" w:type="dxa"/>
            <w:vAlign w:val="bottom"/>
          </w:tcPr>
          <w:p w14:paraId="27A9407A" w14:textId="77777777" w:rsidR="008F17B6" w:rsidRPr="00721663" w:rsidRDefault="008F17B6" w:rsidP="00551604">
            <w:pPr>
              <w:pStyle w:val="BodyText2"/>
              <w:jc w:val="right"/>
              <w:rPr>
                <w:rFonts w:ascii="Arial" w:hAnsi="Arial" w:cs="Arial"/>
                <w:sz w:val="18"/>
                <w:szCs w:val="18"/>
                <w:lang w:val="bg-BG"/>
              </w:rPr>
            </w:pPr>
          </w:p>
        </w:tc>
        <w:tc>
          <w:tcPr>
            <w:tcW w:w="1680" w:type="dxa"/>
            <w:vAlign w:val="center"/>
          </w:tcPr>
          <w:p w14:paraId="231B4936" w14:textId="77777777" w:rsidR="008F17B6" w:rsidRPr="00721663" w:rsidRDefault="008F17B6" w:rsidP="00551604">
            <w:pPr>
              <w:jc w:val="left"/>
              <w:rPr>
                <w:rFonts w:ascii="Arial" w:hAnsi="Arial" w:cs="Arial"/>
                <w:sz w:val="18"/>
                <w:szCs w:val="18"/>
                <w:lang w:val="bg-BG"/>
              </w:rPr>
            </w:pPr>
          </w:p>
        </w:tc>
      </w:tr>
      <w:tr w:rsidR="008F17B6" w:rsidRPr="00721663" w14:paraId="621024AF" w14:textId="77777777" w:rsidTr="008F17B6">
        <w:trPr>
          <w:trHeight w:hRule="exact" w:val="536"/>
        </w:trPr>
        <w:tc>
          <w:tcPr>
            <w:tcW w:w="1702" w:type="dxa"/>
            <w:vAlign w:val="bottom"/>
          </w:tcPr>
          <w:p w14:paraId="35CC267A" w14:textId="77777777" w:rsidR="008F17B6" w:rsidRPr="00721663" w:rsidRDefault="008F17B6" w:rsidP="008F17B6">
            <w:pPr>
              <w:jc w:val="left"/>
              <w:rPr>
                <w:rFonts w:ascii="Arial" w:hAnsi="Arial" w:cs="Arial"/>
                <w:sz w:val="18"/>
                <w:szCs w:val="18"/>
                <w:lang w:val="bg-BG"/>
              </w:rPr>
            </w:pPr>
            <w:r>
              <w:rPr>
                <w:rFonts w:ascii="Arial" w:hAnsi="Arial" w:cs="Arial"/>
                <w:sz w:val="18"/>
                <w:szCs w:val="18"/>
                <w:lang w:val="bg-BG"/>
              </w:rPr>
              <w:t>Юнит Инвестмънт</w:t>
            </w:r>
            <w:r w:rsidRPr="00721663">
              <w:rPr>
                <w:rFonts w:ascii="Arial" w:hAnsi="Arial" w:cs="Arial"/>
                <w:sz w:val="18"/>
                <w:szCs w:val="18"/>
                <w:lang w:val="bg-BG"/>
              </w:rPr>
              <w:t xml:space="preserve"> Н.В.</w:t>
            </w:r>
          </w:p>
        </w:tc>
        <w:tc>
          <w:tcPr>
            <w:tcW w:w="139" w:type="dxa"/>
            <w:vAlign w:val="bottom"/>
          </w:tcPr>
          <w:p w14:paraId="73ECDAE0" w14:textId="77777777" w:rsidR="008F17B6" w:rsidRPr="00721663" w:rsidRDefault="008F17B6" w:rsidP="008F17B6">
            <w:pPr>
              <w:pStyle w:val="BodyText2"/>
              <w:jc w:val="right"/>
              <w:rPr>
                <w:rFonts w:ascii="Arial" w:hAnsi="Arial" w:cs="Arial"/>
                <w:sz w:val="18"/>
                <w:szCs w:val="18"/>
                <w:lang w:val="bg-BG"/>
              </w:rPr>
            </w:pPr>
          </w:p>
        </w:tc>
        <w:tc>
          <w:tcPr>
            <w:tcW w:w="1987" w:type="dxa"/>
            <w:vAlign w:val="bottom"/>
          </w:tcPr>
          <w:p w14:paraId="6095CB4B" w14:textId="37EB06D3" w:rsidR="008F17B6" w:rsidRPr="00721663" w:rsidRDefault="008F17B6" w:rsidP="008F17B6">
            <w:pPr>
              <w:ind w:right="142"/>
              <w:jc w:val="right"/>
              <w:rPr>
                <w:rFonts w:ascii="Arial" w:eastAsia="Arial Unicode MS" w:hAnsi="Arial" w:cs="Arial"/>
                <w:sz w:val="18"/>
                <w:szCs w:val="18"/>
                <w:lang w:val="bg-BG"/>
              </w:rPr>
            </w:pPr>
            <w:r>
              <w:rPr>
                <w:rFonts w:ascii="Arial" w:eastAsia="Arial Unicode MS" w:hAnsi="Arial" w:cs="Arial"/>
                <w:sz w:val="18"/>
                <w:szCs w:val="18"/>
                <w:lang w:val="en-GB" w:eastAsia="bg-BG"/>
              </w:rPr>
              <w:t>-</w:t>
            </w:r>
          </w:p>
        </w:tc>
        <w:tc>
          <w:tcPr>
            <w:tcW w:w="140" w:type="dxa"/>
            <w:vAlign w:val="bottom"/>
          </w:tcPr>
          <w:p w14:paraId="6DA4E944" w14:textId="77777777" w:rsidR="008F17B6" w:rsidRPr="00721663" w:rsidRDefault="008F17B6" w:rsidP="008F17B6">
            <w:pPr>
              <w:pStyle w:val="BodyText2"/>
              <w:jc w:val="right"/>
              <w:rPr>
                <w:rFonts w:ascii="Arial" w:hAnsi="Arial" w:cs="Arial"/>
                <w:sz w:val="18"/>
                <w:szCs w:val="18"/>
                <w:lang w:val="bg-BG"/>
              </w:rPr>
            </w:pPr>
          </w:p>
        </w:tc>
        <w:tc>
          <w:tcPr>
            <w:tcW w:w="1419" w:type="dxa"/>
            <w:vAlign w:val="bottom"/>
          </w:tcPr>
          <w:p w14:paraId="0A1E8DAF" w14:textId="7A60322E" w:rsidR="008F17B6" w:rsidRPr="00721663" w:rsidRDefault="008F17B6" w:rsidP="008F17B6">
            <w:pPr>
              <w:ind w:right="142"/>
              <w:jc w:val="right"/>
              <w:rPr>
                <w:rFonts w:ascii="Arial" w:eastAsia="Arial Unicode MS" w:hAnsi="Arial" w:cs="Arial"/>
                <w:sz w:val="18"/>
                <w:szCs w:val="18"/>
                <w:lang w:val="bg-BG"/>
              </w:rPr>
            </w:pPr>
            <w:r>
              <w:rPr>
                <w:rFonts w:ascii="Arial" w:eastAsia="Arial Unicode MS" w:hAnsi="Arial" w:cs="Arial"/>
                <w:sz w:val="18"/>
                <w:szCs w:val="18"/>
                <w:lang w:val="en-GB" w:eastAsia="bg-BG"/>
              </w:rPr>
              <w:t>76</w:t>
            </w:r>
          </w:p>
        </w:tc>
        <w:tc>
          <w:tcPr>
            <w:tcW w:w="139" w:type="dxa"/>
            <w:vAlign w:val="bottom"/>
          </w:tcPr>
          <w:p w14:paraId="512E22E7" w14:textId="77777777" w:rsidR="008F17B6" w:rsidRPr="00721663" w:rsidRDefault="008F17B6" w:rsidP="008F17B6">
            <w:pPr>
              <w:ind w:right="142"/>
              <w:jc w:val="right"/>
              <w:rPr>
                <w:rFonts w:ascii="Arial" w:eastAsia="Arial Unicode MS" w:hAnsi="Arial" w:cs="Arial"/>
                <w:sz w:val="18"/>
                <w:szCs w:val="18"/>
                <w:lang w:val="bg-BG"/>
              </w:rPr>
            </w:pPr>
          </w:p>
        </w:tc>
        <w:tc>
          <w:tcPr>
            <w:tcW w:w="1443" w:type="dxa"/>
            <w:vAlign w:val="bottom"/>
          </w:tcPr>
          <w:p w14:paraId="71FDD7D3" w14:textId="4F7EE410" w:rsidR="008F17B6" w:rsidRPr="00721663" w:rsidRDefault="008F17B6" w:rsidP="008F17B6">
            <w:pPr>
              <w:ind w:right="142"/>
              <w:jc w:val="right"/>
              <w:rPr>
                <w:rFonts w:ascii="Arial" w:eastAsia="Arial Unicode MS" w:hAnsi="Arial" w:cs="Arial"/>
                <w:sz w:val="18"/>
                <w:szCs w:val="18"/>
                <w:lang w:val="bg-BG"/>
              </w:rPr>
            </w:pPr>
            <w:r>
              <w:rPr>
                <w:rFonts w:ascii="Arial" w:eastAsia="Arial Unicode MS" w:hAnsi="Arial" w:cs="Arial"/>
                <w:sz w:val="18"/>
                <w:szCs w:val="18"/>
                <w:lang w:val="en-GB" w:eastAsia="bg-BG"/>
              </w:rPr>
              <w:t>4,938</w:t>
            </w:r>
          </w:p>
        </w:tc>
        <w:tc>
          <w:tcPr>
            <w:tcW w:w="140" w:type="dxa"/>
            <w:vAlign w:val="bottom"/>
          </w:tcPr>
          <w:p w14:paraId="324DA6AD" w14:textId="77777777" w:rsidR="008F17B6" w:rsidRPr="00721663" w:rsidRDefault="008F17B6" w:rsidP="008F17B6">
            <w:pPr>
              <w:pStyle w:val="BodyText2"/>
              <w:jc w:val="right"/>
              <w:rPr>
                <w:rFonts w:ascii="Arial" w:hAnsi="Arial" w:cs="Arial"/>
                <w:sz w:val="18"/>
                <w:szCs w:val="18"/>
                <w:lang w:val="bg-BG"/>
              </w:rPr>
            </w:pPr>
          </w:p>
        </w:tc>
        <w:tc>
          <w:tcPr>
            <w:tcW w:w="1680" w:type="dxa"/>
            <w:vAlign w:val="bottom"/>
          </w:tcPr>
          <w:p w14:paraId="67FFF969" w14:textId="77777777" w:rsidR="008F17B6" w:rsidRPr="00721663" w:rsidRDefault="008F17B6" w:rsidP="008F17B6">
            <w:pPr>
              <w:jc w:val="left"/>
              <w:rPr>
                <w:rFonts w:ascii="Arial" w:hAnsi="Arial" w:cs="Arial"/>
                <w:sz w:val="18"/>
                <w:szCs w:val="18"/>
                <w:lang w:val="bg-BG"/>
              </w:rPr>
            </w:pPr>
            <w:r w:rsidRPr="00721663">
              <w:rPr>
                <w:rFonts w:ascii="Arial" w:hAnsi="Arial" w:cs="Arial"/>
                <w:sz w:val="18"/>
                <w:szCs w:val="18"/>
                <w:lang w:val="bg-BG"/>
              </w:rPr>
              <w:t>Заеми, получени от компания - майка</w:t>
            </w:r>
          </w:p>
        </w:tc>
      </w:tr>
      <w:tr w:rsidR="008F17B6" w:rsidRPr="00721663" w14:paraId="67691CB1" w14:textId="77777777" w:rsidTr="008F17B6">
        <w:trPr>
          <w:trHeight w:hRule="exact" w:val="1149"/>
        </w:trPr>
        <w:tc>
          <w:tcPr>
            <w:tcW w:w="1702" w:type="dxa"/>
            <w:vAlign w:val="bottom"/>
          </w:tcPr>
          <w:p w14:paraId="205C2ADD" w14:textId="512B4A5B" w:rsidR="008F17B6" w:rsidRPr="00721663" w:rsidRDefault="008F17B6" w:rsidP="008F17B6">
            <w:pPr>
              <w:jc w:val="left"/>
              <w:rPr>
                <w:rFonts w:ascii="Arial" w:hAnsi="Arial" w:cs="Arial"/>
                <w:b/>
                <w:sz w:val="18"/>
                <w:szCs w:val="18"/>
                <w:lang w:val="bg-BG"/>
              </w:rPr>
            </w:pPr>
            <w:r w:rsidRPr="00721663">
              <w:rPr>
                <w:rFonts w:ascii="Arial" w:hAnsi="Arial" w:cs="Arial"/>
                <w:b/>
                <w:sz w:val="18"/>
                <w:szCs w:val="18"/>
                <w:lang w:val="bg-BG"/>
              </w:rPr>
              <w:t xml:space="preserve">Шестмесечен период, приключващ на </w:t>
            </w:r>
            <w:r>
              <w:rPr>
                <w:rFonts w:ascii="Arial" w:hAnsi="Arial" w:cs="Arial"/>
                <w:b/>
                <w:sz w:val="18"/>
                <w:szCs w:val="18"/>
                <w:lang w:val="bg-BG"/>
              </w:rPr>
              <w:t>30 юни 2017</w:t>
            </w:r>
          </w:p>
        </w:tc>
        <w:tc>
          <w:tcPr>
            <w:tcW w:w="139" w:type="dxa"/>
          </w:tcPr>
          <w:p w14:paraId="0AE5193C" w14:textId="77777777" w:rsidR="008F17B6" w:rsidRPr="00721663" w:rsidRDefault="008F17B6" w:rsidP="008F17B6">
            <w:pPr>
              <w:rPr>
                <w:rFonts w:ascii="Arial" w:hAnsi="Arial" w:cs="Arial"/>
                <w:b/>
                <w:sz w:val="18"/>
                <w:szCs w:val="18"/>
                <w:lang w:val="bg-BG"/>
              </w:rPr>
            </w:pPr>
          </w:p>
        </w:tc>
        <w:tc>
          <w:tcPr>
            <w:tcW w:w="1987" w:type="dxa"/>
            <w:tcBorders>
              <w:top w:val="single" w:sz="4" w:space="0" w:color="auto"/>
              <w:bottom w:val="double" w:sz="4" w:space="0" w:color="auto"/>
            </w:tcBorders>
            <w:vAlign w:val="bottom"/>
          </w:tcPr>
          <w:p w14:paraId="1205C813" w14:textId="67E4E080" w:rsidR="008F17B6" w:rsidRPr="00721663" w:rsidRDefault="008F17B6" w:rsidP="008F17B6">
            <w:pPr>
              <w:ind w:right="142"/>
              <w:jc w:val="right"/>
              <w:rPr>
                <w:rFonts w:ascii="Arial" w:eastAsia="Arial Unicode MS" w:hAnsi="Arial" w:cs="Arial"/>
                <w:b/>
                <w:sz w:val="18"/>
                <w:szCs w:val="18"/>
                <w:lang w:val="bg-BG"/>
              </w:rPr>
            </w:pPr>
            <w:r>
              <w:rPr>
                <w:rFonts w:ascii="Arial" w:eastAsia="Arial Unicode MS" w:hAnsi="Arial" w:cs="Arial"/>
                <w:b/>
                <w:sz w:val="18"/>
                <w:szCs w:val="18"/>
                <w:lang w:val="en-GB" w:eastAsia="bg-BG"/>
              </w:rPr>
              <w:t>-</w:t>
            </w:r>
          </w:p>
        </w:tc>
        <w:tc>
          <w:tcPr>
            <w:tcW w:w="140" w:type="dxa"/>
            <w:vAlign w:val="bottom"/>
          </w:tcPr>
          <w:p w14:paraId="02D93A00" w14:textId="77777777" w:rsidR="008F17B6" w:rsidRPr="00721663" w:rsidRDefault="008F17B6" w:rsidP="008F17B6">
            <w:pPr>
              <w:jc w:val="right"/>
              <w:rPr>
                <w:rFonts w:ascii="Arial" w:hAnsi="Arial" w:cs="Arial"/>
                <w:b/>
                <w:sz w:val="18"/>
                <w:szCs w:val="18"/>
                <w:lang w:val="bg-BG"/>
              </w:rPr>
            </w:pPr>
          </w:p>
        </w:tc>
        <w:tc>
          <w:tcPr>
            <w:tcW w:w="1419" w:type="dxa"/>
            <w:tcBorders>
              <w:top w:val="single" w:sz="4" w:space="0" w:color="auto"/>
              <w:bottom w:val="double" w:sz="4" w:space="0" w:color="auto"/>
            </w:tcBorders>
            <w:vAlign w:val="bottom"/>
          </w:tcPr>
          <w:p w14:paraId="44A59FB5" w14:textId="687E4409" w:rsidR="008F17B6" w:rsidRPr="00721663" w:rsidRDefault="008F17B6" w:rsidP="008F17B6">
            <w:pPr>
              <w:ind w:right="142"/>
              <w:jc w:val="right"/>
              <w:rPr>
                <w:rFonts w:ascii="Arial" w:eastAsia="Arial Unicode MS" w:hAnsi="Arial" w:cs="Arial"/>
                <w:b/>
                <w:sz w:val="18"/>
                <w:szCs w:val="18"/>
                <w:lang w:val="bg-BG"/>
              </w:rPr>
            </w:pPr>
            <w:r>
              <w:rPr>
                <w:rFonts w:ascii="Arial" w:eastAsia="Arial Unicode MS" w:hAnsi="Arial" w:cs="Arial"/>
                <w:b/>
                <w:sz w:val="18"/>
                <w:szCs w:val="18"/>
                <w:lang w:val="en-GB" w:eastAsia="bg-BG"/>
              </w:rPr>
              <w:t>76</w:t>
            </w:r>
          </w:p>
        </w:tc>
        <w:tc>
          <w:tcPr>
            <w:tcW w:w="139" w:type="dxa"/>
            <w:vAlign w:val="bottom"/>
          </w:tcPr>
          <w:p w14:paraId="20ECA9DD" w14:textId="77777777" w:rsidR="008F17B6" w:rsidRPr="00721663" w:rsidRDefault="008F17B6" w:rsidP="008F17B6">
            <w:pPr>
              <w:ind w:right="142"/>
              <w:jc w:val="right"/>
              <w:rPr>
                <w:rFonts w:ascii="Arial" w:eastAsia="Arial Unicode MS" w:hAnsi="Arial" w:cs="Arial"/>
                <w:b/>
                <w:sz w:val="18"/>
                <w:szCs w:val="18"/>
                <w:lang w:val="bg-BG"/>
              </w:rPr>
            </w:pPr>
          </w:p>
        </w:tc>
        <w:tc>
          <w:tcPr>
            <w:tcW w:w="1443" w:type="dxa"/>
            <w:tcBorders>
              <w:top w:val="single" w:sz="4" w:space="0" w:color="auto"/>
              <w:bottom w:val="double" w:sz="4" w:space="0" w:color="auto"/>
            </w:tcBorders>
            <w:vAlign w:val="bottom"/>
          </w:tcPr>
          <w:p w14:paraId="323D4539" w14:textId="0CC67075" w:rsidR="008F17B6" w:rsidRPr="00721663" w:rsidRDefault="008F17B6" w:rsidP="008F17B6">
            <w:pPr>
              <w:ind w:right="142"/>
              <w:jc w:val="right"/>
              <w:rPr>
                <w:rFonts w:ascii="Arial" w:eastAsia="Arial Unicode MS" w:hAnsi="Arial" w:cs="Arial"/>
                <w:b/>
                <w:sz w:val="18"/>
                <w:szCs w:val="18"/>
                <w:lang w:val="bg-BG"/>
              </w:rPr>
            </w:pPr>
            <w:r>
              <w:rPr>
                <w:rFonts w:ascii="Arial" w:eastAsia="Arial Unicode MS" w:hAnsi="Arial" w:cs="Arial"/>
                <w:b/>
                <w:sz w:val="18"/>
                <w:szCs w:val="18"/>
                <w:lang w:val="en-GB" w:eastAsia="bg-BG"/>
              </w:rPr>
              <w:t>4,938</w:t>
            </w:r>
          </w:p>
        </w:tc>
        <w:tc>
          <w:tcPr>
            <w:tcW w:w="140" w:type="dxa"/>
            <w:vAlign w:val="bottom"/>
          </w:tcPr>
          <w:p w14:paraId="73956F8D" w14:textId="77777777" w:rsidR="008F17B6" w:rsidRPr="00721663" w:rsidRDefault="008F17B6" w:rsidP="008F17B6">
            <w:pPr>
              <w:pStyle w:val="BodyText2"/>
              <w:jc w:val="right"/>
              <w:rPr>
                <w:rFonts w:ascii="Arial" w:hAnsi="Arial" w:cs="Arial"/>
                <w:sz w:val="18"/>
                <w:szCs w:val="18"/>
                <w:lang w:val="bg-BG"/>
              </w:rPr>
            </w:pPr>
          </w:p>
        </w:tc>
        <w:tc>
          <w:tcPr>
            <w:tcW w:w="1680" w:type="dxa"/>
            <w:vAlign w:val="bottom"/>
          </w:tcPr>
          <w:p w14:paraId="46E557E1" w14:textId="77777777" w:rsidR="008F17B6" w:rsidRPr="00721663" w:rsidRDefault="008F17B6" w:rsidP="008F17B6">
            <w:pPr>
              <w:jc w:val="left"/>
              <w:rPr>
                <w:rFonts w:ascii="Arial" w:hAnsi="Arial" w:cs="Arial"/>
                <w:sz w:val="18"/>
                <w:szCs w:val="18"/>
                <w:lang w:val="bg-BG"/>
              </w:rPr>
            </w:pPr>
          </w:p>
        </w:tc>
      </w:tr>
      <w:tr w:rsidR="008F17B6" w:rsidRPr="00721663" w14:paraId="34F9C9E5" w14:textId="77777777" w:rsidTr="008F17B6">
        <w:trPr>
          <w:trHeight w:hRule="exact" w:val="576"/>
        </w:trPr>
        <w:tc>
          <w:tcPr>
            <w:tcW w:w="1702" w:type="dxa"/>
            <w:vAlign w:val="bottom"/>
          </w:tcPr>
          <w:p w14:paraId="467E96DB" w14:textId="77777777" w:rsidR="008F17B6" w:rsidRPr="00721663" w:rsidRDefault="008F17B6" w:rsidP="008F17B6">
            <w:pPr>
              <w:jc w:val="left"/>
              <w:rPr>
                <w:rFonts w:ascii="Arial" w:hAnsi="Arial" w:cs="Arial"/>
                <w:sz w:val="18"/>
                <w:szCs w:val="18"/>
                <w:lang w:val="bg-BG"/>
              </w:rPr>
            </w:pPr>
            <w:r>
              <w:rPr>
                <w:rFonts w:ascii="Arial" w:hAnsi="Arial" w:cs="Arial"/>
                <w:sz w:val="18"/>
                <w:szCs w:val="18"/>
                <w:lang w:val="bg-BG"/>
              </w:rPr>
              <w:t>Юнит Инвестмънт</w:t>
            </w:r>
            <w:r w:rsidRPr="00721663">
              <w:rPr>
                <w:rFonts w:ascii="Arial" w:hAnsi="Arial" w:cs="Arial"/>
                <w:sz w:val="18"/>
                <w:szCs w:val="18"/>
                <w:lang w:val="bg-BG"/>
              </w:rPr>
              <w:t xml:space="preserve"> Н.В.</w:t>
            </w:r>
          </w:p>
        </w:tc>
        <w:tc>
          <w:tcPr>
            <w:tcW w:w="139" w:type="dxa"/>
            <w:vAlign w:val="bottom"/>
          </w:tcPr>
          <w:p w14:paraId="016E2043" w14:textId="77777777" w:rsidR="008F17B6" w:rsidRPr="00721663" w:rsidRDefault="008F17B6" w:rsidP="008F17B6">
            <w:pPr>
              <w:pStyle w:val="BodyText2"/>
              <w:jc w:val="right"/>
              <w:rPr>
                <w:rFonts w:ascii="Arial" w:hAnsi="Arial" w:cs="Arial"/>
                <w:sz w:val="18"/>
                <w:szCs w:val="18"/>
                <w:lang w:val="bg-BG"/>
              </w:rPr>
            </w:pPr>
          </w:p>
        </w:tc>
        <w:tc>
          <w:tcPr>
            <w:tcW w:w="1987" w:type="dxa"/>
            <w:tcBorders>
              <w:bottom w:val="single" w:sz="4" w:space="0" w:color="auto"/>
            </w:tcBorders>
            <w:vAlign w:val="bottom"/>
          </w:tcPr>
          <w:p w14:paraId="78D84F80" w14:textId="08F53ECD" w:rsidR="008F17B6" w:rsidRPr="00DB3CA8" w:rsidRDefault="008F17B6" w:rsidP="008F17B6">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63</w:t>
            </w:r>
          </w:p>
        </w:tc>
        <w:tc>
          <w:tcPr>
            <w:tcW w:w="140" w:type="dxa"/>
            <w:vAlign w:val="bottom"/>
          </w:tcPr>
          <w:p w14:paraId="1D6EE54D" w14:textId="77777777" w:rsidR="008F17B6" w:rsidRPr="00DB3CA8" w:rsidRDefault="008F17B6" w:rsidP="008F17B6">
            <w:pPr>
              <w:pStyle w:val="BodyText2"/>
              <w:jc w:val="right"/>
              <w:rPr>
                <w:rFonts w:ascii="Arial" w:hAnsi="Arial" w:cs="Arial"/>
                <w:sz w:val="18"/>
                <w:szCs w:val="18"/>
                <w:lang w:val="en-GB"/>
              </w:rPr>
            </w:pPr>
          </w:p>
        </w:tc>
        <w:tc>
          <w:tcPr>
            <w:tcW w:w="1419" w:type="dxa"/>
            <w:tcBorders>
              <w:bottom w:val="single" w:sz="4" w:space="0" w:color="auto"/>
            </w:tcBorders>
            <w:vAlign w:val="bottom"/>
          </w:tcPr>
          <w:p w14:paraId="63F96AE6" w14:textId="4585E4F1" w:rsidR="008F17B6" w:rsidRPr="00DB3CA8" w:rsidRDefault="008F17B6" w:rsidP="008F17B6">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75</w:t>
            </w:r>
          </w:p>
        </w:tc>
        <w:tc>
          <w:tcPr>
            <w:tcW w:w="139" w:type="dxa"/>
            <w:vAlign w:val="bottom"/>
          </w:tcPr>
          <w:p w14:paraId="7286EFCA" w14:textId="77777777" w:rsidR="008F17B6" w:rsidRPr="00DB3CA8" w:rsidRDefault="008F17B6" w:rsidP="008F17B6">
            <w:pPr>
              <w:ind w:right="142"/>
              <w:jc w:val="right"/>
              <w:rPr>
                <w:rFonts w:ascii="Arial" w:eastAsia="Arial Unicode MS" w:hAnsi="Arial" w:cs="Arial"/>
                <w:sz w:val="18"/>
                <w:szCs w:val="18"/>
                <w:lang w:val="en-GB"/>
              </w:rPr>
            </w:pPr>
          </w:p>
        </w:tc>
        <w:tc>
          <w:tcPr>
            <w:tcW w:w="1443" w:type="dxa"/>
            <w:tcBorders>
              <w:bottom w:val="single" w:sz="4" w:space="0" w:color="auto"/>
            </w:tcBorders>
            <w:vAlign w:val="bottom"/>
          </w:tcPr>
          <w:p w14:paraId="3DAA0A59" w14:textId="4A0C83A2" w:rsidR="008F17B6" w:rsidRPr="00DB3CA8" w:rsidRDefault="008F17B6" w:rsidP="008F17B6">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4,862</w:t>
            </w:r>
          </w:p>
        </w:tc>
        <w:tc>
          <w:tcPr>
            <w:tcW w:w="140" w:type="dxa"/>
            <w:vAlign w:val="bottom"/>
          </w:tcPr>
          <w:p w14:paraId="3F5BDCD0" w14:textId="77777777" w:rsidR="008F17B6" w:rsidRPr="00721663" w:rsidRDefault="008F17B6" w:rsidP="008F17B6">
            <w:pPr>
              <w:pStyle w:val="BodyText2"/>
              <w:jc w:val="right"/>
              <w:rPr>
                <w:rFonts w:ascii="Arial" w:hAnsi="Arial" w:cs="Arial"/>
                <w:sz w:val="18"/>
                <w:szCs w:val="18"/>
                <w:lang w:val="bg-BG"/>
              </w:rPr>
            </w:pPr>
          </w:p>
        </w:tc>
        <w:tc>
          <w:tcPr>
            <w:tcW w:w="1680" w:type="dxa"/>
            <w:vAlign w:val="bottom"/>
          </w:tcPr>
          <w:p w14:paraId="4232E14B" w14:textId="77777777" w:rsidR="008F17B6" w:rsidRPr="00721663" w:rsidRDefault="008F17B6" w:rsidP="008F17B6">
            <w:pPr>
              <w:jc w:val="left"/>
              <w:rPr>
                <w:rFonts w:ascii="Arial" w:hAnsi="Arial" w:cs="Arial"/>
                <w:sz w:val="18"/>
                <w:szCs w:val="18"/>
                <w:lang w:val="bg-BG"/>
              </w:rPr>
            </w:pPr>
            <w:r w:rsidRPr="00721663">
              <w:rPr>
                <w:rFonts w:ascii="Arial" w:hAnsi="Arial" w:cs="Arial"/>
                <w:sz w:val="18"/>
                <w:szCs w:val="18"/>
                <w:lang w:val="bg-BG"/>
              </w:rPr>
              <w:t>Заеми, получени от компания - майка</w:t>
            </w:r>
          </w:p>
        </w:tc>
      </w:tr>
      <w:tr w:rsidR="008F17B6" w:rsidRPr="00721663" w14:paraId="1140F76D" w14:textId="77777777" w:rsidTr="008F17B6">
        <w:trPr>
          <w:trHeight w:hRule="exact" w:val="1117"/>
        </w:trPr>
        <w:tc>
          <w:tcPr>
            <w:tcW w:w="1702" w:type="dxa"/>
            <w:vAlign w:val="bottom"/>
          </w:tcPr>
          <w:p w14:paraId="6DC33340" w14:textId="1FF5905F" w:rsidR="008F17B6" w:rsidRPr="00721663" w:rsidRDefault="008F17B6" w:rsidP="008F17B6">
            <w:pPr>
              <w:jc w:val="left"/>
              <w:rPr>
                <w:rFonts w:ascii="Arial" w:hAnsi="Arial" w:cs="Arial"/>
                <w:b/>
                <w:sz w:val="18"/>
                <w:szCs w:val="18"/>
                <w:lang w:val="bg-BG"/>
              </w:rPr>
            </w:pPr>
            <w:r w:rsidRPr="00721663">
              <w:rPr>
                <w:rFonts w:ascii="Arial" w:hAnsi="Arial" w:cs="Arial"/>
                <w:b/>
                <w:sz w:val="18"/>
                <w:szCs w:val="18"/>
                <w:lang w:val="bg-BG"/>
              </w:rPr>
              <w:t xml:space="preserve">Шестмесечен период, приключващ на </w:t>
            </w:r>
            <w:r>
              <w:rPr>
                <w:rFonts w:ascii="Arial" w:hAnsi="Arial" w:cs="Arial"/>
                <w:b/>
                <w:sz w:val="18"/>
                <w:szCs w:val="18"/>
                <w:lang w:val="bg-BG"/>
              </w:rPr>
              <w:t>30 юни 2016</w:t>
            </w:r>
            <w:r w:rsidRPr="00721663">
              <w:rPr>
                <w:rFonts w:ascii="Arial" w:hAnsi="Arial" w:cs="Arial"/>
                <w:b/>
                <w:sz w:val="18"/>
                <w:szCs w:val="18"/>
                <w:lang w:val="bg-BG"/>
              </w:rPr>
              <w:t xml:space="preserve"> </w:t>
            </w:r>
          </w:p>
        </w:tc>
        <w:tc>
          <w:tcPr>
            <w:tcW w:w="139" w:type="dxa"/>
          </w:tcPr>
          <w:p w14:paraId="74920F04" w14:textId="77777777" w:rsidR="008F17B6" w:rsidRPr="00721663" w:rsidRDefault="008F17B6" w:rsidP="008F17B6">
            <w:pPr>
              <w:rPr>
                <w:rFonts w:ascii="Arial" w:hAnsi="Arial" w:cs="Arial"/>
                <w:b/>
                <w:sz w:val="18"/>
                <w:szCs w:val="18"/>
                <w:lang w:val="bg-BG"/>
              </w:rPr>
            </w:pPr>
          </w:p>
        </w:tc>
        <w:tc>
          <w:tcPr>
            <w:tcW w:w="1987" w:type="dxa"/>
            <w:tcBorders>
              <w:top w:val="single" w:sz="4" w:space="0" w:color="auto"/>
              <w:bottom w:val="double" w:sz="4" w:space="0" w:color="auto"/>
            </w:tcBorders>
            <w:vAlign w:val="bottom"/>
          </w:tcPr>
          <w:p w14:paraId="2256F488" w14:textId="16B48112" w:rsidR="008F17B6" w:rsidRPr="00DB3CA8" w:rsidRDefault="008F17B6" w:rsidP="008F17B6">
            <w:pPr>
              <w:ind w:right="142"/>
              <w:jc w:val="right"/>
              <w:rPr>
                <w:rFonts w:ascii="Arial" w:eastAsia="Arial Unicode MS" w:hAnsi="Arial" w:cs="Arial"/>
                <w:b/>
                <w:sz w:val="18"/>
                <w:szCs w:val="18"/>
                <w:lang w:val="en-GB"/>
              </w:rPr>
            </w:pPr>
            <w:r>
              <w:rPr>
                <w:rFonts w:ascii="Arial" w:eastAsia="Arial Unicode MS" w:hAnsi="Arial" w:cs="Arial"/>
                <w:b/>
                <w:sz w:val="18"/>
                <w:szCs w:val="18"/>
                <w:lang w:val="en-GB" w:eastAsia="bg-BG"/>
              </w:rPr>
              <w:t>63</w:t>
            </w:r>
          </w:p>
        </w:tc>
        <w:tc>
          <w:tcPr>
            <w:tcW w:w="140" w:type="dxa"/>
            <w:vAlign w:val="bottom"/>
          </w:tcPr>
          <w:p w14:paraId="7CEFC46B" w14:textId="77777777" w:rsidR="008F17B6" w:rsidRPr="00DB3CA8" w:rsidRDefault="008F17B6" w:rsidP="008F17B6">
            <w:pPr>
              <w:jc w:val="right"/>
              <w:rPr>
                <w:rFonts w:ascii="Arial" w:hAnsi="Arial" w:cs="Arial"/>
                <w:b/>
                <w:sz w:val="18"/>
                <w:szCs w:val="18"/>
                <w:lang w:val="en-GB"/>
              </w:rPr>
            </w:pPr>
          </w:p>
        </w:tc>
        <w:tc>
          <w:tcPr>
            <w:tcW w:w="1419" w:type="dxa"/>
            <w:tcBorders>
              <w:top w:val="single" w:sz="4" w:space="0" w:color="auto"/>
              <w:bottom w:val="double" w:sz="4" w:space="0" w:color="auto"/>
            </w:tcBorders>
            <w:vAlign w:val="bottom"/>
          </w:tcPr>
          <w:p w14:paraId="057AA73E" w14:textId="12C1F3F5" w:rsidR="008F17B6" w:rsidRPr="00DB3CA8" w:rsidRDefault="008F17B6" w:rsidP="008F17B6">
            <w:pPr>
              <w:ind w:right="142"/>
              <w:jc w:val="right"/>
              <w:rPr>
                <w:rFonts w:ascii="Arial" w:eastAsia="Arial Unicode MS" w:hAnsi="Arial" w:cs="Arial"/>
                <w:b/>
                <w:sz w:val="18"/>
                <w:szCs w:val="18"/>
                <w:lang w:val="en-GB"/>
              </w:rPr>
            </w:pPr>
            <w:r>
              <w:rPr>
                <w:rFonts w:ascii="Arial" w:eastAsia="Arial Unicode MS" w:hAnsi="Arial" w:cs="Arial"/>
                <w:b/>
                <w:sz w:val="18"/>
                <w:szCs w:val="18"/>
                <w:lang w:val="en-GB" w:eastAsia="bg-BG"/>
              </w:rPr>
              <w:t>75</w:t>
            </w:r>
          </w:p>
        </w:tc>
        <w:tc>
          <w:tcPr>
            <w:tcW w:w="139" w:type="dxa"/>
            <w:vAlign w:val="bottom"/>
          </w:tcPr>
          <w:p w14:paraId="4D6EBC08" w14:textId="77777777" w:rsidR="008F17B6" w:rsidRPr="00DB3CA8" w:rsidRDefault="008F17B6" w:rsidP="008F17B6">
            <w:pPr>
              <w:ind w:right="142"/>
              <w:jc w:val="right"/>
              <w:rPr>
                <w:rFonts w:ascii="Arial" w:eastAsia="Arial Unicode MS" w:hAnsi="Arial" w:cs="Arial"/>
                <w:b/>
                <w:sz w:val="18"/>
                <w:szCs w:val="18"/>
                <w:lang w:val="en-GB"/>
              </w:rPr>
            </w:pPr>
          </w:p>
        </w:tc>
        <w:tc>
          <w:tcPr>
            <w:tcW w:w="1443" w:type="dxa"/>
            <w:tcBorders>
              <w:top w:val="single" w:sz="4" w:space="0" w:color="auto"/>
              <w:bottom w:val="double" w:sz="4" w:space="0" w:color="auto"/>
            </w:tcBorders>
            <w:vAlign w:val="bottom"/>
          </w:tcPr>
          <w:p w14:paraId="2C3055D3" w14:textId="0D298312" w:rsidR="008F17B6" w:rsidRPr="00DB3CA8" w:rsidRDefault="008F17B6" w:rsidP="008F17B6">
            <w:pPr>
              <w:ind w:right="142"/>
              <w:jc w:val="right"/>
              <w:rPr>
                <w:rFonts w:ascii="Arial" w:eastAsia="Arial Unicode MS" w:hAnsi="Arial" w:cs="Arial"/>
                <w:b/>
                <w:sz w:val="18"/>
                <w:szCs w:val="18"/>
                <w:lang w:val="en-GB"/>
              </w:rPr>
            </w:pPr>
            <w:r>
              <w:rPr>
                <w:rFonts w:ascii="Arial" w:eastAsia="Arial Unicode MS" w:hAnsi="Arial" w:cs="Arial"/>
                <w:b/>
                <w:sz w:val="18"/>
                <w:szCs w:val="18"/>
                <w:lang w:val="en-GB" w:eastAsia="bg-BG"/>
              </w:rPr>
              <w:t>4,862</w:t>
            </w:r>
          </w:p>
        </w:tc>
        <w:tc>
          <w:tcPr>
            <w:tcW w:w="140" w:type="dxa"/>
            <w:vAlign w:val="bottom"/>
          </w:tcPr>
          <w:p w14:paraId="55594E1A" w14:textId="77777777" w:rsidR="008F17B6" w:rsidRPr="00721663" w:rsidRDefault="008F17B6" w:rsidP="008F17B6">
            <w:pPr>
              <w:pStyle w:val="BodyText2"/>
              <w:jc w:val="right"/>
              <w:rPr>
                <w:rFonts w:ascii="Arial" w:hAnsi="Arial" w:cs="Arial"/>
                <w:sz w:val="18"/>
                <w:szCs w:val="18"/>
                <w:lang w:val="bg-BG"/>
              </w:rPr>
            </w:pPr>
          </w:p>
        </w:tc>
        <w:tc>
          <w:tcPr>
            <w:tcW w:w="1680" w:type="dxa"/>
            <w:vAlign w:val="bottom"/>
          </w:tcPr>
          <w:p w14:paraId="5E161C1A" w14:textId="77777777" w:rsidR="008F17B6" w:rsidRPr="00721663" w:rsidRDefault="008F17B6" w:rsidP="008F17B6">
            <w:pPr>
              <w:jc w:val="left"/>
              <w:rPr>
                <w:rFonts w:ascii="Arial" w:hAnsi="Arial" w:cs="Arial"/>
                <w:sz w:val="18"/>
                <w:szCs w:val="18"/>
                <w:lang w:val="bg-BG"/>
              </w:rPr>
            </w:pPr>
          </w:p>
        </w:tc>
      </w:tr>
    </w:tbl>
    <w:p w14:paraId="0460CC3F" w14:textId="77777777" w:rsidR="00E07C4E" w:rsidRPr="00721663" w:rsidRDefault="00E07C4E" w:rsidP="00E07C4E">
      <w:pPr>
        <w:pStyle w:val="BodyText"/>
        <w:spacing w:line="240" w:lineRule="auto"/>
        <w:rPr>
          <w:rFonts w:ascii="Arial" w:hAnsi="Arial" w:cs="Arial"/>
          <w:b/>
          <w:bCs/>
          <w:iCs/>
          <w:sz w:val="18"/>
          <w:szCs w:val="18"/>
          <w:lang w:val="bg-BG"/>
        </w:rPr>
      </w:pPr>
      <w:bookmarkStart w:id="48" w:name="_Toc156219603"/>
      <w:bookmarkEnd w:id="38"/>
    </w:p>
    <w:p w14:paraId="47A635E0" w14:textId="77777777" w:rsidR="008F17B6" w:rsidRDefault="008F17B6" w:rsidP="008F17B6">
      <w:pPr>
        <w:pStyle w:val="BodyText"/>
        <w:spacing w:line="240" w:lineRule="auto"/>
        <w:rPr>
          <w:rFonts w:ascii="Arial" w:hAnsi="Arial" w:cs="Arial"/>
          <w:b/>
          <w:bCs/>
          <w:iCs/>
          <w:sz w:val="18"/>
          <w:szCs w:val="18"/>
          <w:lang w:val="bg-BG"/>
        </w:rPr>
      </w:pPr>
      <w:r>
        <w:rPr>
          <w:rFonts w:ascii="Arial" w:hAnsi="Arial" w:cs="Arial"/>
          <w:b/>
          <w:bCs/>
          <w:iCs/>
          <w:sz w:val="18"/>
          <w:szCs w:val="18"/>
          <w:lang w:val="bg-BG"/>
        </w:rPr>
        <w:t>Движение по заемите, получени от свързани лица</w:t>
      </w:r>
    </w:p>
    <w:tbl>
      <w:tblPr>
        <w:tblW w:w="8789" w:type="dxa"/>
        <w:tblInd w:w="108" w:type="dxa"/>
        <w:tblLayout w:type="fixed"/>
        <w:tblLook w:val="04A0" w:firstRow="1" w:lastRow="0" w:firstColumn="1" w:lastColumn="0" w:noHBand="0" w:noVBand="1"/>
      </w:tblPr>
      <w:tblGrid>
        <w:gridCol w:w="5387"/>
        <w:gridCol w:w="1559"/>
        <w:gridCol w:w="236"/>
        <w:gridCol w:w="1607"/>
      </w:tblGrid>
      <w:tr w:rsidR="008F17B6" w14:paraId="327DD043" w14:textId="77777777" w:rsidTr="008F17B6">
        <w:trPr>
          <w:cantSplit/>
        </w:trPr>
        <w:tc>
          <w:tcPr>
            <w:tcW w:w="5387" w:type="dxa"/>
          </w:tcPr>
          <w:p w14:paraId="4E6DB6B4" w14:textId="77777777" w:rsidR="008F17B6" w:rsidRDefault="008F17B6">
            <w:pPr>
              <w:ind w:left="567" w:hanging="567"/>
              <w:rPr>
                <w:b/>
                <w:lang w:val="bg-BG" w:eastAsia="bg-BG"/>
              </w:rPr>
            </w:pPr>
          </w:p>
        </w:tc>
        <w:tc>
          <w:tcPr>
            <w:tcW w:w="1559" w:type="dxa"/>
            <w:tcBorders>
              <w:top w:val="nil"/>
              <w:left w:val="nil"/>
              <w:bottom w:val="single" w:sz="4" w:space="0" w:color="auto"/>
              <w:right w:val="nil"/>
            </w:tcBorders>
            <w:vAlign w:val="bottom"/>
            <w:hideMark/>
          </w:tcPr>
          <w:p w14:paraId="6206F98C" w14:textId="77777777" w:rsidR="008F17B6" w:rsidRDefault="008F17B6">
            <w:pPr>
              <w:ind w:right="142"/>
              <w:jc w:val="right"/>
              <w:rPr>
                <w:rFonts w:ascii="Arial" w:hAnsi="Arial" w:cs="Arial"/>
                <w:b/>
                <w:bCs/>
                <w:sz w:val="18"/>
                <w:szCs w:val="18"/>
                <w:lang w:val="bg-BG" w:eastAsia="bg-BG"/>
              </w:rPr>
            </w:pPr>
            <w:r>
              <w:rPr>
                <w:rFonts w:ascii="Arial" w:hAnsi="Arial" w:cs="Arial"/>
                <w:b/>
                <w:bCs/>
                <w:sz w:val="18"/>
                <w:szCs w:val="18"/>
                <w:lang w:val="bg-BG" w:eastAsia="bg-BG"/>
              </w:rPr>
              <w:t>30 юни 2017</w:t>
            </w:r>
          </w:p>
        </w:tc>
        <w:tc>
          <w:tcPr>
            <w:tcW w:w="236" w:type="dxa"/>
            <w:vAlign w:val="bottom"/>
          </w:tcPr>
          <w:p w14:paraId="40A047C0" w14:textId="77777777" w:rsidR="008F17B6" w:rsidRDefault="008F17B6">
            <w:pPr>
              <w:ind w:right="142"/>
              <w:jc w:val="right"/>
              <w:rPr>
                <w:rFonts w:ascii="Arial" w:hAnsi="Arial" w:cs="Arial"/>
                <w:b/>
                <w:bCs/>
                <w:sz w:val="18"/>
                <w:szCs w:val="18"/>
                <w:lang w:val="bg-BG" w:eastAsia="bg-BG"/>
              </w:rPr>
            </w:pPr>
          </w:p>
        </w:tc>
        <w:tc>
          <w:tcPr>
            <w:tcW w:w="1607" w:type="dxa"/>
            <w:tcBorders>
              <w:top w:val="nil"/>
              <w:left w:val="nil"/>
              <w:bottom w:val="single" w:sz="4" w:space="0" w:color="auto"/>
              <w:right w:val="nil"/>
            </w:tcBorders>
            <w:vAlign w:val="bottom"/>
            <w:hideMark/>
          </w:tcPr>
          <w:p w14:paraId="5FED6D0F" w14:textId="2E3046C7" w:rsidR="008F17B6" w:rsidRDefault="008F17B6" w:rsidP="008F17B6">
            <w:pPr>
              <w:ind w:right="142"/>
              <w:jc w:val="right"/>
              <w:rPr>
                <w:rFonts w:ascii="Arial" w:hAnsi="Arial" w:cs="Arial"/>
                <w:b/>
                <w:bCs/>
                <w:sz w:val="18"/>
                <w:szCs w:val="18"/>
                <w:lang w:val="bg-BG" w:eastAsia="bg-BG"/>
              </w:rPr>
            </w:pPr>
            <w:r>
              <w:rPr>
                <w:rFonts w:ascii="Arial" w:hAnsi="Arial" w:cs="Arial"/>
                <w:b/>
                <w:bCs/>
                <w:sz w:val="18"/>
                <w:szCs w:val="18"/>
                <w:lang w:val="bg-BG" w:eastAsia="bg-BG"/>
              </w:rPr>
              <w:t>30 юни 2016</w:t>
            </w:r>
          </w:p>
        </w:tc>
      </w:tr>
      <w:tr w:rsidR="008F17B6" w14:paraId="02BCE618" w14:textId="77777777" w:rsidTr="008F17B6">
        <w:trPr>
          <w:cantSplit/>
        </w:trPr>
        <w:tc>
          <w:tcPr>
            <w:tcW w:w="5387" w:type="dxa"/>
          </w:tcPr>
          <w:p w14:paraId="1FAB5ED4" w14:textId="77777777" w:rsidR="008F17B6" w:rsidRDefault="008F17B6">
            <w:pPr>
              <w:ind w:right="141"/>
              <w:jc w:val="left"/>
              <w:rPr>
                <w:rFonts w:ascii="Arial" w:hAnsi="Arial" w:cs="Arial"/>
                <w:sz w:val="18"/>
                <w:szCs w:val="18"/>
                <w:lang w:val="bg-BG" w:eastAsia="bg-BG"/>
              </w:rPr>
            </w:pPr>
          </w:p>
        </w:tc>
        <w:tc>
          <w:tcPr>
            <w:tcW w:w="1559" w:type="dxa"/>
            <w:vAlign w:val="bottom"/>
            <w:hideMark/>
          </w:tcPr>
          <w:p w14:paraId="0C619F3E" w14:textId="77777777" w:rsidR="008F17B6" w:rsidRDefault="008F17B6">
            <w:pPr>
              <w:jc w:val="right"/>
              <w:rPr>
                <w:rFonts w:ascii="Arial" w:hAnsi="Arial" w:cs="Arial"/>
                <w:b/>
                <w:bCs/>
                <w:sz w:val="18"/>
                <w:szCs w:val="18"/>
                <w:lang w:val="bg-BG" w:eastAsia="bg-BG"/>
              </w:rPr>
            </w:pPr>
            <w:r>
              <w:rPr>
                <w:rFonts w:ascii="Arial" w:hAnsi="Arial" w:cs="Arial"/>
                <w:b/>
                <w:bCs/>
                <w:sz w:val="18"/>
                <w:szCs w:val="18"/>
                <w:lang w:val="bg-BG" w:eastAsia="bg-BG"/>
              </w:rPr>
              <w:t>хил. лв.</w:t>
            </w:r>
          </w:p>
        </w:tc>
        <w:tc>
          <w:tcPr>
            <w:tcW w:w="236" w:type="dxa"/>
            <w:vAlign w:val="bottom"/>
          </w:tcPr>
          <w:p w14:paraId="1826D828" w14:textId="77777777" w:rsidR="008F17B6" w:rsidRDefault="008F17B6">
            <w:pPr>
              <w:jc w:val="right"/>
              <w:rPr>
                <w:rFonts w:ascii="Arial" w:hAnsi="Arial" w:cs="Arial"/>
                <w:b/>
                <w:bCs/>
                <w:sz w:val="18"/>
                <w:szCs w:val="18"/>
                <w:lang w:val="bg-BG" w:eastAsia="bg-BG"/>
              </w:rPr>
            </w:pPr>
          </w:p>
        </w:tc>
        <w:tc>
          <w:tcPr>
            <w:tcW w:w="1607" w:type="dxa"/>
            <w:vAlign w:val="bottom"/>
            <w:hideMark/>
          </w:tcPr>
          <w:p w14:paraId="253F26B6" w14:textId="77777777" w:rsidR="008F17B6" w:rsidRDefault="008F17B6">
            <w:pPr>
              <w:jc w:val="right"/>
              <w:rPr>
                <w:rFonts w:ascii="Arial" w:hAnsi="Arial" w:cs="Arial"/>
                <w:b/>
                <w:bCs/>
                <w:sz w:val="18"/>
                <w:szCs w:val="18"/>
                <w:lang w:val="bg-BG" w:eastAsia="bg-BG"/>
              </w:rPr>
            </w:pPr>
            <w:r>
              <w:rPr>
                <w:rFonts w:ascii="Arial" w:hAnsi="Arial" w:cs="Arial"/>
                <w:b/>
                <w:bCs/>
                <w:sz w:val="18"/>
                <w:szCs w:val="18"/>
                <w:lang w:val="bg-BG" w:eastAsia="bg-BG"/>
              </w:rPr>
              <w:t>хил. лв.</w:t>
            </w:r>
          </w:p>
        </w:tc>
      </w:tr>
      <w:tr w:rsidR="008F17B6" w14:paraId="2309B815" w14:textId="77777777" w:rsidTr="008F17B6">
        <w:trPr>
          <w:cantSplit/>
          <w:trHeight w:val="229"/>
        </w:trPr>
        <w:tc>
          <w:tcPr>
            <w:tcW w:w="5387" w:type="dxa"/>
            <w:vAlign w:val="center"/>
            <w:hideMark/>
          </w:tcPr>
          <w:p w14:paraId="23D3CF42" w14:textId="77777777" w:rsidR="008F17B6" w:rsidRDefault="008F17B6" w:rsidP="008F17B6">
            <w:pPr>
              <w:jc w:val="left"/>
              <w:rPr>
                <w:rFonts w:ascii="Arial" w:hAnsi="Arial" w:cs="Arial"/>
                <w:sz w:val="18"/>
                <w:szCs w:val="18"/>
                <w:lang w:val="bg-BG" w:eastAsia="bg-BG"/>
              </w:rPr>
            </w:pPr>
            <w:r>
              <w:rPr>
                <w:rFonts w:ascii="Arial" w:hAnsi="Arial" w:cs="Arial"/>
                <w:sz w:val="18"/>
                <w:szCs w:val="18"/>
                <w:lang w:val="bg-BG" w:eastAsia="bg-BG"/>
              </w:rPr>
              <w:t>В началото на периода</w:t>
            </w:r>
          </w:p>
        </w:tc>
        <w:tc>
          <w:tcPr>
            <w:tcW w:w="1559" w:type="dxa"/>
            <w:vAlign w:val="center"/>
            <w:hideMark/>
          </w:tcPr>
          <w:p w14:paraId="0FC2D4B9" w14:textId="77777777" w:rsidR="008F17B6" w:rsidRDefault="008F17B6" w:rsidP="008F17B6">
            <w:pPr>
              <w:ind w:right="142"/>
              <w:jc w:val="right"/>
              <w:rPr>
                <w:rFonts w:ascii="Arial" w:eastAsia="Arial Unicode MS" w:hAnsi="Arial" w:cs="Arial"/>
                <w:sz w:val="18"/>
                <w:szCs w:val="18"/>
                <w:lang w:val="bg-BG" w:eastAsia="bg-BG"/>
              </w:rPr>
            </w:pPr>
            <w:r>
              <w:rPr>
                <w:rFonts w:ascii="Arial" w:eastAsia="Arial Unicode MS" w:hAnsi="Arial" w:cs="Arial"/>
                <w:sz w:val="18"/>
                <w:szCs w:val="18"/>
                <w:lang w:val="bg-BG" w:eastAsia="bg-BG"/>
              </w:rPr>
              <w:t>4,862</w:t>
            </w:r>
          </w:p>
        </w:tc>
        <w:tc>
          <w:tcPr>
            <w:tcW w:w="236" w:type="dxa"/>
            <w:vAlign w:val="center"/>
          </w:tcPr>
          <w:p w14:paraId="40677B19" w14:textId="77777777" w:rsidR="008F17B6" w:rsidRDefault="008F17B6" w:rsidP="008F17B6">
            <w:pPr>
              <w:ind w:right="-108"/>
              <w:jc w:val="right"/>
              <w:rPr>
                <w:lang w:val="bg-BG" w:eastAsia="bg-BG"/>
              </w:rPr>
            </w:pPr>
          </w:p>
        </w:tc>
        <w:tc>
          <w:tcPr>
            <w:tcW w:w="1607" w:type="dxa"/>
            <w:vAlign w:val="center"/>
            <w:hideMark/>
          </w:tcPr>
          <w:p w14:paraId="5CEA4945" w14:textId="47290A76" w:rsidR="008F17B6" w:rsidRDefault="008F17B6" w:rsidP="008F17B6">
            <w:pPr>
              <w:ind w:right="142"/>
              <w:jc w:val="right"/>
              <w:rPr>
                <w:rFonts w:ascii="Arial" w:eastAsia="Arial Unicode MS" w:hAnsi="Arial" w:cs="Arial"/>
                <w:sz w:val="18"/>
                <w:szCs w:val="18"/>
                <w:lang w:val="bg-BG" w:eastAsia="bg-BG"/>
              </w:rPr>
            </w:pPr>
            <w:r>
              <w:rPr>
                <w:rFonts w:ascii="Arial" w:eastAsia="Arial Unicode MS" w:hAnsi="Arial" w:cs="Arial"/>
                <w:sz w:val="18"/>
                <w:szCs w:val="18"/>
                <w:lang w:val="en-GB" w:eastAsia="bg-BG"/>
              </w:rPr>
              <w:t>4,471</w:t>
            </w:r>
          </w:p>
        </w:tc>
      </w:tr>
      <w:tr w:rsidR="008F17B6" w14:paraId="2E355113" w14:textId="77777777" w:rsidTr="008F17B6">
        <w:trPr>
          <w:cantSplit/>
          <w:trHeight w:val="277"/>
        </w:trPr>
        <w:tc>
          <w:tcPr>
            <w:tcW w:w="5387" w:type="dxa"/>
            <w:vAlign w:val="center"/>
            <w:hideMark/>
          </w:tcPr>
          <w:p w14:paraId="46E7B334" w14:textId="77777777" w:rsidR="008F17B6" w:rsidRDefault="008F17B6" w:rsidP="008F17B6">
            <w:pPr>
              <w:jc w:val="left"/>
              <w:rPr>
                <w:rFonts w:ascii="Arial" w:hAnsi="Arial" w:cs="Arial"/>
                <w:sz w:val="18"/>
                <w:szCs w:val="18"/>
                <w:lang w:val="bg-BG" w:eastAsia="bg-BG"/>
              </w:rPr>
            </w:pPr>
            <w:r>
              <w:rPr>
                <w:rFonts w:ascii="Arial" w:hAnsi="Arial" w:cs="Arial"/>
                <w:sz w:val="18"/>
                <w:szCs w:val="18"/>
                <w:lang w:val="bg-BG" w:eastAsia="bg-BG"/>
              </w:rPr>
              <w:t>Получени заеми</w:t>
            </w:r>
          </w:p>
        </w:tc>
        <w:tc>
          <w:tcPr>
            <w:tcW w:w="1559" w:type="dxa"/>
            <w:vAlign w:val="center"/>
            <w:hideMark/>
          </w:tcPr>
          <w:p w14:paraId="41D2A6DC" w14:textId="77777777" w:rsidR="008F17B6" w:rsidRDefault="008F17B6" w:rsidP="008F17B6">
            <w:pPr>
              <w:ind w:right="142"/>
              <w:jc w:val="right"/>
              <w:rPr>
                <w:rFonts w:ascii="Arial" w:eastAsia="Arial Unicode MS" w:hAnsi="Arial" w:cs="Arial"/>
                <w:sz w:val="18"/>
                <w:szCs w:val="18"/>
                <w:lang w:val="bg-BG" w:eastAsia="bg-BG"/>
              </w:rPr>
            </w:pPr>
            <w:r>
              <w:rPr>
                <w:rFonts w:ascii="Arial" w:eastAsia="Arial Unicode MS" w:hAnsi="Arial" w:cs="Arial"/>
                <w:sz w:val="18"/>
                <w:szCs w:val="18"/>
                <w:lang w:val="bg-BG" w:eastAsia="bg-BG"/>
              </w:rPr>
              <w:t>-</w:t>
            </w:r>
          </w:p>
        </w:tc>
        <w:tc>
          <w:tcPr>
            <w:tcW w:w="236" w:type="dxa"/>
            <w:vAlign w:val="center"/>
          </w:tcPr>
          <w:p w14:paraId="49581F03" w14:textId="77777777" w:rsidR="008F17B6" w:rsidRDefault="008F17B6" w:rsidP="008F17B6">
            <w:pPr>
              <w:ind w:right="-108"/>
              <w:jc w:val="right"/>
              <w:rPr>
                <w:lang w:val="bg-BG" w:eastAsia="bg-BG"/>
              </w:rPr>
            </w:pPr>
          </w:p>
        </w:tc>
        <w:tc>
          <w:tcPr>
            <w:tcW w:w="1607" w:type="dxa"/>
            <w:vAlign w:val="center"/>
            <w:hideMark/>
          </w:tcPr>
          <w:p w14:paraId="54AA8ECE" w14:textId="1FD92A1E" w:rsidR="008F17B6" w:rsidRDefault="008F17B6" w:rsidP="008F17B6">
            <w:pPr>
              <w:ind w:right="142"/>
              <w:jc w:val="right"/>
              <w:rPr>
                <w:rFonts w:ascii="Arial" w:eastAsia="Arial Unicode MS" w:hAnsi="Arial" w:cs="Arial"/>
                <w:sz w:val="18"/>
                <w:szCs w:val="18"/>
                <w:lang w:val="bg-BG" w:eastAsia="bg-BG"/>
              </w:rPr>
            </w:pPr>
            <w:r>
              <w:rPr>
                <w:rFonts w:ascii="Arial" w:eastAsia="Arial Unicode MS" w:hAnsi="Arial" w:cs="Arial"/>
                <w:sz w:val="18"/>
                <w:szCs w:val="18"/>
                <w:lang w:val="en-GB" w:eastAsia="bg-BG"/>
              </w:rPr>
              <w:t>63</w:t>
            </w:r>
          </w:p>
        </w:tc>
      </w:tr>
      <w:tr w:rsidR="008F17B6" w14:paraId="3DDB342C" w14:textId="77777777" w:rsidTr="008F17B6">
        <w:trPr>
          <w:cantSplit/>
          <w:trHeight w:val="294"/>
        </w:trPr>
        <w:tc>
          <w:tcPr>
            <w:tcW w:w="5387" w:type="dxa"/>
            <w:vAlign w:val="center"/>
            <w:hideMark/>
          </w:tcPr>
          <w:p w14:paraId="4E741061" w14:textId="77777777" w:rsidR="008F17B6" w:rsidRDefault="008F17B6" w:rsidP="008F17B6">
            <w:pPr>
              <w:jc w:val="left"/>
              <w:rPr>
                <w:rFonts w:ascii="Arial" w:hAnsi="Arial" w:cs="Arial"/>
                <w:sz w:val="18"/>
                <w:szCs w:val="18"/>
                <w:lang w:val="bg-BG" w:eastAsia="bg-BG"/>
              </w:rPr>
            </w:pPr>
            <w:r>
              <w:rPr>
                <w:rFonts w:ascii="Arial" w:hAnsi="Arial" w:cs="Arial"/>
                <w:sz w:val="18"/>
                <w:szCs w:val="18"/>
                <w:lang w:val="bg-BG" w:eastAsia="bg-BG"/>
              </w:rPr>
              <w:t>Начислени лихви</w:t>
            </w:r>
          </w:p>
        </w:tc>
        <w:tc>
          <w:tcPr>
            <w:tcW w:w="1559" w:type="dxa"/>
            <w:vAlign w:val="center"/>
            <w:hideMark/>
          </w:tcPr>
          <w:p w14:paraId="55A54835" w14:textId="77777777" w:rsidR="008F17B6" w:rsidRDefault="008F17B6" w:rsidP="008F17B6">
            <w:pPr>
              <w:ind w:right="142"/>
              <w:jc w:val="right"/>
              <w:rPr>
                <w:rFonts w:ascii="Arial" w:eastAsia="Arial Unicode MS" w:hAnsi="Arial" w:cs="Arial"/>
                <w:sz w:val="18"/>
                <w:szCs w:val="18"/>
                <w:lang w:val="bg-BG" w:eastAsia="bg-BG"/>
              </w:rPr>
            </w:pPr>
            <w:r>
              <w:rPr>
                <w:rFonts w:ascii="Arial" w:eastAsia="Arial Unicode MS" w:hAnsi="Arial" w:cs="Arial"/>
                <w:sz w:val="18"/>
                <w:szCs w:val="18"/>
                <w:lang w:val="bg-BG" w:eastAsia="bg-BG"/>
              </w:rPr>
              <w:t>76</w:t>
            </w:r>
          </w:p>
        </w:tc>
        <w:tc>
          <w:tcPr>
            <w:tcW w:w="236" w:type="dxa"/>
            <w:vAlign w:val="center"/>
          </w:tcPr>
          <w:p w14:paraId="40CFF378" w14:textId="77777777" w:rsidR="008F17B6" w:rsidRDefault="008F17B6" w:rsidP="008F17B6">
            <w:pPr>
              <w:ind w:right="-108"/>
              <w:jc w:val="right"/>
              <w:rPr>
                <w:lang w:val="bg-BG" w:eastAsia="bg-BG"/>
              </w:rPr>
            </w:pPr>
          </w:p>
        </w:tc>
        <w:tc>
          <w:tcPr>
            <w:tcW w:w="1607" w:type="dxa"/>
            <w:vAlign w:val="center"/>
            <w:hideMark/>
          </w:tcPr>
          <w:p w14:paraId="04BC10BF" w14:textId="2AC007BC" w:rsidR="008F17B6" w:rsidRDefault="008F17B6" w:rsidP="008F17B6">
            <w:pPr>
              <w:ind w:right="142"/>
              <w:jc w:val="right"/>
              <w:rPr>
                <w:rFonts w:ascii="Arial" w:eastAsia="Arial Unicode MS" w:hAnsi="Arial" w:cs="Arial"/>
                <w:sz w:val="18"/>
                <w:szCs w:val="18"/>
                <w:lang w:val="bg-BG" w:eastAsia="bg-BG"/>
              </w:rPr>
            </w:pPr>
            <w:r>
              <w:rPr>
                <w:rFonts w:ascii="Arial" w:eastAsia="Arial Unicode MS" w:hAnsi="Arial" w:cs="Arial"/>
                <w:sz w:val="18"/>
                <w:szCs w:val="18"/>
                <w:lang w:val="en-GB" w:eastAsia="bg-BG"/>
              </w:rPr>
              <w:t>75</w:t>
            </w:r>
          </w:p>
        </w:tc>
      </w:tr>
      <w:tr w:rsidR="008F17B6" w14:paraId="3251E6FE" w14:textId="77777777" w:rsidTr="008F17B6">
        <w:trPr>
          <w:cantSplit/>
        </w:trPr>
        <w:tc>
          <w:tcPr>
            <w:tcW w:w="5387" w:type="dxa"/>
            <w:vAlign w:val="center"/>
            <w:hideMark/>
          </w:tcPr>
          <w:p w14:paraId="1D6D4C16" w14:textId="77777777" w:rsidR="008F17B6" w:rsidRDefault="008F17B6" w:rsidP="008F17B6">
            <w:pPr>
              <w:jc w:val="left"/>
              <w:rPr>
                <w:rFonts w:ascii="Arial" w:eastAsia="Arial Unicode MS" w:hAnsi="Arial" w:cs="Arial"/>
                <w:b/>
                <w:sz w:val="18"/>
                <w:szCs w:val="18"/>
                <w:lang w:val="bg-BG" w:eastAsia="bg-BG"/>
              </w:rPr>
            </w:pPr>
            <w:r>
              <w:rPr>
                <w:rFonts w:ascii="Arial" w:hAnsi="Arial" w:cs="Arial"/>
                <w:b/>
                <w:sz w:val="18"/>
                <w:szCs w:val="18"/>
                <w:lang w:val="bg-BG" w:eastAsia="bg-BG"/>
              </w:rPr>
              <w:t>В края на периода</w:t>
            </w:r>
          </w:p>
        </w:tc>
        <w:tc>
          <w:tcPr>
            <w:tcW w:w="1559" w:type="dxa"/>
            <w:tcBorders>
              <w:top w:val="single" w:sz="4" w:space="0" w:color="auto"/>
              <w:left w:val="nil"/>
              <w:bottom w:val="double" w:sz="4" w:space="0" w:color="auto"/>
              <w:right w:val="nil"/>
            </w:tcBorders>
            <w:vAlign w:val="bottom"/>
            <w:hideMark/>
          </w:tcPr>
          <w:p w14:paraId="050CA224" w14:textId="77777777" w:rsidR="008F17B6" w:rsidRDefault="008F17B6" w:rsidP="008F17B6">
            <w:pPr>
              <w:ind w:right="142"/>
              <w:jc w:val="right"/>
              <w:rPr>
                <w:rFonts w:ascii="Arial" w:eastAsia="Arial Unicode MS" w:hAnsi="Arial" w:cs="Arial"/>
                <w:b/>
                <w:sz w:val="18"/>
                <w:szCs w:val="18"/>
                <w:lang w:val="bg-BG" w:eastAsia="bg-BG"/>
              </w:rPr>
            </w:pPr>
            <w:r>
              <w:rPr>
                <w:rFonts w:ascii="Arial" w:eastAsia="Arial Unicode MS" w:hAnsi="Arial" w:cs="Arial"/>
                <w:b/>
                <w:sz w:val="18"/>
                <w:szCs w:val="18"/>
                <w:lang w:val="bg-BG" w:eastAsia="bg-BG"/>
              </w:rPr>
              <w:t>4,938</w:t>
            </w:r>
          </w:p>
        </w:tc>
        <w:tc>
          <w:tcPr>
            <w:tcW w:w="236" w:type="dxa"/>
            <w:vAlign w:val="bottom"/>
          </w:tcPr>
          <w:p w14:paraId="50B4F0C1" w14:textId="77777777" w:rsidR="008F17B6" w:rsidRDefault="008F17B6" w:rsidP="008F17B6">
            <w:pPr>
              <w:ind w:right="142"/>
              <w:jc w:val="right"/>
              <w:rPr>
                <w:rFonts w:ascii="Arial" w:eastAsia="Arial Unicode MS" w:hAnsi="Arial" w:cs="Arial"/>
                <w:b/>
                <w:sz w:val="18"/>
                <w:szCs w:val="18"/>
                <w:lang w:val="bg-BG" w:eastAsia="bg-BG"/>
              </w:rPr>
            </w:pPr>
          </w:p>
        </w:tc>
        <w:tc>
          <w:tcPr>
            <w:tcW w:w="1607" w:type="dxa"/>
            <w:tcBorders>
              <w:top w:val="single" w:sz="4" w:space="0" w:color="auto"/>
              <w:left w:val="nil"/>
              <w:bottom w:val="double" w:sz="4" w:space="0" w:color="auto"/>
              <w:right w:val="nil"/>
            </w:tcBorders>
            <w:vAlign w:val="bottom"/>
            <w:hideMark/>
          </w:tcPr>
          <w:p w14:paraId="4885065D" w14:textId="1EF03BD6" w:rsidR="008F17B6" w:rsidRDefault="008F17B6" w:rsidP="008F17B6">
            <w:pPr>
              <w:ind w:right="142"/>
              <w:jc w:val="right"/>
              <w:rPr>
                <w:rFonts w:ascii="Arial" w:eastAsia="Arial Unicode MS" w:hAnsi="Arial" w:cs="Arial"/>
                <w:b/>
                <w:sz w:val="18"/>
                <w:szCs w:val="18"/>
                <w:lang w:val="bg-BG" w:eastAsia="bg-BG"/>
              </w:rPr>
            </w:pPr>
            <w:r>
              <w:rPr>
                <w:rFonts w:ascii="Arial" w:eastAsia="Arial Unicode MS" w:hAnsi="Arial" w:cs="Arial"/>
                <w:b/>
                <w:sz w:val="18"/>
                <w:szCs w:val="18"/>
                <w:lang w:val="en-GB" w:eastAsia="bg-BG"/>
              </w:rPr>
              <w:t>4,609</w:t>
            </w:r>
          </w:p>
        </w:tc>
      </w:tr>
    </w:tbl>
    <w:p w14:paraId="1088307B" w14:textId="1B5145C6" w:rsidR="00E07C4E" w:rsidRPr="00721663" w:rsidRDefault="008F17B6" w:rsidP="00680E2F">
      <w:pPr>
        <w:pStyle w:val="bluesubhead"/>
        <w:spacing w:before="120" w:after="120" w:line="240" w:lineRule="atLeast"/>
        <w:rPr>
          <w:rFonts w:ascii="Arial" w:hAnsi="Arial" w:cs="Arial"/>
          <w:color w:val="auto"/>
          <w:sz w:val="18"/>
          <w:szCs w:val="18"/>
          <w:lang w:val="bg-BG"/>
        </w:rPr>
      </w:pPr>
      <w:r w:rsidRPr="00721663">
        <w:rPr>
          <w:rFonts w:ascii="Arial" w:hAnsi="Arial" w:cs="Arial"/>
          <w:color w:val="auto"/>
          <w:sz w:val="18"/>
          <w:szCs w:val="18"/>
          <w:lang w:val="bg-BG"/>
        </w:rPr>
        <w:t xml:space="preserve"> </w:t>
      </w:r>
      <w:r w:rsidR="00E07C4E" w:rsidRPr="00721663">
        <w:rPr>
          <w:rFonts w:ascii="Arial" w:hAnsi="Arial" w:cs="Arial"/>
          <w:color w:val="auto"/>
          <w:sz w:val="18"/>
          <w:szCs w:val="18"/>
          <w:lang w:val="bg-BG"/>
        </w:rPr>
        <w:t>Условията по заемите получени от свързани лица са оповестени в бележка 9.</w:t>
      </w:r>
    </w:p>
    <w:p w14:paraId="53B89CE0" w14:textId="34397D1F" w:rsidR="00E07C4E" w:rsidRPr="00721663" w:rsidRDefault="00E07C4E" w:rsidP="00E07C4E">
      <w:pPr>
        <w:spacing w:after="120"/>
        <w:jc w:val="left"/>
        <w:rPr>
          <w:rFonts w:ascii="Arial" w:hAnsi="Arial" w:cs="Arial"/>
          <w:sz w:val="18"/>
          <w:szCs w:val="18"/>
          <w:lang w:val="bg-BG"/>
        </w:rPr>
      </w:pPr>
      <w:r w:rsidRPr="00721663">
        <w:rPr>
          <w:rFonts w:ascii="Arial" w:hAnsi="Arial" w:cs="Arial"/>
          <w:sz w:val="18"/>
          <w:szCs w:val="18"/>
          <w:lang w:val="bg-BG"/>
        </w:rPr>
        <w:t>Неиздължените салда в края на периода са необезпечени. Няма гаранции, предоставени за задължения към свързани лица. Във всеки отчетен период се прави преглед за обезценка като се изследва финансовата позиция на свързаното лице и пазара, в който извършва дейността си.</w:t>
      </w:r>
    </w:p>
    <w:p w14:paraId="6C670E12" w14:textId="77777777" w:rsidR="00E07C4E" w:rsidRPr="00721663" w:rsidRDefault="00E07C4E" w:rsidP="00E07C4E">
      <w:pPr>
        <w:spacing w:after="120"/>
        <w:jc w:val="left"/>
        <w:rPr>
          <w:rFonts w:ascii="Arial" w:hAnsi="Arial" w:cs="Arial"/>
          <w:b/>
          <w:iCs/>
          <w:sz w:val="18"/>
          <w:szCs w:val="18"/>
          <w:lang w:val="bg-BG"/>
        </w:rPr>
      </w:pPr>
      <w:r w:rsidRPr="00721663">
        <w:rPr>
          <w:rFonts w:ascii="Arial" w:hAnsi="Arial" w:cs="Arial"/>
          <w:b/>
          <w:iCs/>
          <w:sz w:val="18"/>
          <w:szCs w:val="18"/>
          <w:lang w:val="bg-BG"/>
        </w:rPr>
        <w:t>Възнаграждение на ключов управленски персонал</w:t>
      </w:r>
    </w:p>
    <w:p w14:paraId="4893BA6E" w14:textId="0990A1B2" w:rsidR="00E07C4E" w:rsidRPr="00721663" w:rsidRDefault="00E07C4E" w:rsidP="00E07C4E">
      <w:pPr>
        <w:spacing w:after="120"/>
        <w:jc w:val="left"/>
        <w:rPr>
          <w:rFonts w:ascii="Arial" w:hAnsi="Arial" w:cs="Arial"/>
          <w:sz w:val="18"/>
          <w:szCs w:val="18"/>
          <w:lang w:val="bg-BG"/>
        </w:rPr>
      </w:pPr>
      <w:r w:rsidRPr="00721663">
        <w:rPr>
          <w:rFonts w:ascii="Arial" w:hAnsi="Arial" w:cs="Arial"/>
          <w:iCs/>
          <w:sz w:val="18"/>
          <w:szCs w:val="18"/>
          <w:lang w:val="bg-BG"/>
        </w:rPr>
        <w:t xml:space="preserve">За шестмесечните периоди, приключващи на </w:t>
      </w:r>
      <w:r w:rsidR="00144930">
        <w:rPr>
          <w:rFonts w:ascii="Arial" w:hAnsi="Arial" w:cs="Arial"/>
          <w:iCs/>
          <w:sz w:val="18"/>
          <w:szCs w:val="18"/>
          <w:lang w:val="bg-BG"/>
        </w:rPr>
        <w:t>30 юни 2017</w:t>
      </w:r>
      <w:r w:rsidRPr="00721663">
        <w:rPr>
          <w:rFonts w:ascii="Arial" w:hAnsi="Arial" w:cs="Arial"/>
          <w:iCs/>
          <w:sz w:val="18"/>
          <w:szCs w:val="18"/>
          <w:lang w:val="bg-BG"/>
        </w:rPr>
        <w:t xml:space="preserve"> и </w:t>
      </w:r>
      <w:r w:rsidR="00144930">
        <w:rPr>
          <w:rFonts w:ascii="Arial" w:hAnsi="Arial" w:cs="Arial"/>
          <w:iCs/>
          <w:sz w:val="18"/>
          <w:szCs w:val="18"/>
          <w:lang w:val="bg-BG"/>
        </w:rPr>
        <w:t>2016</w:t>
      </w:r>
      <w:r w:rsidRPr="00721663">
        <w:rPr>
          <w:rFonts w:ascii="Arial" w:hAnsi="Arial" w:cs="Arial"/>
          <w:iCs/>
          <w:sz w:val="18"/>
          <w:szCs w:val="18"/>
          <w:lang w:val="bg-BG"/>
        </w:rPr>
        <w:t xml:space="preserve"> г., няма възнаграждения на ключов управленски персонал, които да са за сметка на Групата.</w:t>
      </w:r>
    </w:p>
    <w:p w14:paraId="6663EB65" w14:textId="77777777" w:rsidR="00E07C4E" w:rsidRPr="00721663" w:rsidRDefault="00E07C4E" w:rsidP="00E07C4E">
      <w:pPr>
        <w:pStyle w:val="Heading1"/>
      </w:pPr>
      <w:bookmarkStart w:id="49" w:name="_Toc490647408"/>
      <w:r w:rsidRPr="00721663">
        <w:t xml:space="preserve">16. </w:t>
      </w:r>
      <w:bookmarkEnd w:id="48"/>
      <w:r w:rsidRPr="00721663">
        <w:t>Неотменими ангажименти и условни задължения</w:t>
      </w:r>
      <w:bookmarkEnd w:id="49"/>
    </w:p>
    <w:p w14:paraId="224A6EF0" w14:textId="0906D45C" w:rsidR="00E07C4E" w:rsidRPr="00721663" w:rsidRDefault="00E07C4E" w:rsidP="00E07C4E">
      <w:pPr>
        <w:widowControl w:val="0"/>
        <w:tabs>
          <w:tab w:val="left" w:pos="720"/>
        </w:tabs>
        <w:spacing w:after="120"/>
        <w:jc w:val="left"/>
        <w:rPr>
          <w:rFonts w:ascii="Arial" w:hAnsi="Arial" w:cs="Arial"/>
          <w:sz w:val="18"/>
          <w:szCs w:val="18"/>
          <w:lang w:val="bg-BG"/>
        </w:rPr>
      </w:pPr>
      <w:bookmarkStart w:id="50" w:name="_Toc196913827"/>
      <w:r w:rsidRPr="00721663">
        <w:rPr>
          <w:rFonts w:ascii="Arial" w:hAnsi="Arial" w:cs="Arial"/>
          <w:sz w:val="18"/>
          <w:szCs w:val="18"/>
          <w:lang w:val="bg-BG"/>
        </w:rPr>
        <w:t xml:space="preserve">През ноември 2010 г., Групата е сключила договор за период от пет години с Вестас България ЕООД и за период от две години с ЕЙ БИ СИ Уинд Фарм ЕООД за поддръжка на ветрогенератор, намиращ се близо до Шабла (Варненска област). Съгласно договорите, Групата следва да заплаща </w:t>
      </w:r>
      <w:r w:rsidR="008F17B6">
        <w:rPr>
          <w:rFonts w:ascii="Arial" w:hAnsi="Arial" w:cs="Arial"/>
          <w:sz w:val="18"/>
          <w:szCs w:val="18"/>
          <w:lang w:val="bg-BG"/>
        </w:rPr>
        <w:t>375</w:t>
      </w:r>
      <w:r w:rsidRPr="00721663">
        <w:rPr>
          <w:rFonts w:ascii="Arial" w:hAnsi="Arial" w:cs="Arial"/>
          <w:sz w:val="18"/>
          <w:szCs w:val="18"/>
          <w:lang w:val="bg-BG"/>
        </w:rPr>
        <w:t xml:space="preserve"> хил. лева годишно за поддръжката на ветрогенераторите.</w:t>
      </w:r>
    </w:p>
    <w:p w14:paraId="1C8EC096" w14:textId="77777777" w:rsidR="00E07C4E" w:rsidRPr="00721663" w:rsidRDefault="00E07C4E" w:rsidP="00E07C4E">
      <w:pPr>
        <w:pStyle w:val="Heading1"/>
      </w:pPr>
      <w:bookmarkStart w:id="51" w:name="_Toc490647409"/>
      <w:r w:rsidRPr="00721663">
        <w:t xml:space="preserve">17. </w:t>
      </w:r>
      <w:bookmarkEnd w:id="50"/>
      <w:r w:rsidRPr="00721663">
        <w:t>Цели и политики за управление на финансовия риск</w:t>
      </w:r>
      <w:bookmarkEnd w:id="51"/>
    </w:p>
    <w:p w14:paraId="2B7EF457" w14:textId="77777777" w:rsidR="00E07C4E" w:rsidRPr="00721663" w:rsidRDefault="00E07C4E" w:rsidP="00E07C4E">
      <w:pPr>
        <w:spacing w:before="80" w:after="120"/>
        <w:jc w:val="left"/>
        <w:rPr>
          <w:rFonts w:ascii="Arial" w:hAnsi="Arial" w:cs="Arial"/>
          <w:sz w:val="18"/>
          <w:szCs w:val="18"/>
          <w:lang w:val="bg-BG"/>
        </w:rPr>
      </w:pPr>
      <w:r w:rsidRPr="00721663">
        <w:rPr>
          <w:rFonts w:ascii="Arial" w:hAnsi="Arial" w:cs="Arial"/>
          <w:sz w:val="18"/>
          <w:szCs w:val="18"/>
          <w:lang w:val="bg-BG"/>
        </w:rPr>
        <w:t>Финансовите инструменти на Групата включват парични средства, краткосрочни вземания, краткосрочни задължения и лихвоносни заеми и привлечени средства. Основната цел на тези финансови инструменти е да се осигури финансиране за дейността на Групата. Основните рискове, произтичащи от тези финансови инструменти, са пазарен, кредитен и ликвиден риск. Тези финансови рискове се определят текущо, оценяват се и се наблюдават от Ръководството  на Групата чрез различни контролни механизми с цел да се създадат адекватни цени за продуктите, предоставяни от Групата, да се оцени правилно пазарната среда, свързана с нейните инвестиции и формите за поддържане на свободни ликвидни средства чрез предотвратяване на неоправдана концентрация на даден риск.</w:t>
      </w:r>
    </w:p>
    <w:p w14:paraId="30D7350E" w14:textId="4B1B1667" w:rsidR="008F17B6" w:rsidRPr="008F17B6" w:rsidRDefault="008F17B6" w:rsidP="008F17B6">
      <w:pPr>
        <w:pStyle w:val="BodyText"/>
        <w:jc w:val="left"/>
        <w:rPr>
          <w:rFonts w:ascii="Arial" w:hAnsi="Arial" w:cs="Arial"/>
          <w:b/>
          <w:lang w:val="bg-BG"/>
        </w:rPr>
      </w:pPr>
      <w:r w:rsidRPr="008F17B6">
        <w:rPr>
          <w:rFonts w:ascii="Arial" w:hAnsi="Arial" w:cs="Arial"/>
          <w:b/>
          <w:lang w:val="bg-BG"/>
        </w:rPr>
        <w:t>17. Цели и политики за управление на финансовия риск (продължение)</w:t>
      </w:r>
    </w:p>
    <w:p w14:paraId="407069C6" w14:textId="77777777" w:rsidR="00E07C4E" w:rsidRPr="00721663" w:rsidRDefault="00E07C4E" w:rsidP="00E07C4E">
      <w:pPr>
        <w:spacing w:after="80"/>
        <w:jc w:val="left"/>
        <w:rPr>
          <w:rFonts w:ascii="Arial" w:hAnsi="Arial" w:cs="Arial"/>
          <w:b/>
          <w:sz w:val="18"/>
          <w:szCs w:val="18"/>
          <w:lang w:val="bg-BG"/>
        </w:rPr>
      </w:pPr>
      <w:r w:rsidRPr="00721663">
        <w:rPr>
          <w:rFonts w:ascii="Arial" w:hAnsi="Arial" w:cs="Arial"/>
          <w:b/>
          <w:sz w:val="18"/>
          <w:szCs w:val="18"/>
          <w:lang w:val="bg-BG"/>
        </w:rPr>
        <w:t>Пазарен риск</w:t>
      </w:r>
    </w:p>
    <w:p w14:paraId="3396A54D" w14:textId="77777777" w:rsidR="00E07C4E" w:rsidRDefault="00E07C4E" w:rsidP="00E07C4E">
      <w:pPr>
        <w:pStyle w:val="Notesbodytext"/>
        <w:spacing w:after="80" w:line="240" w:lineRule="atLeast"/>
        <w:rPr>
          <w:rFonts w:ascii="Arial" w:hAnsi="Arial"/>
          <w:lang w:val="bg-BG" w:eastAsia="cs-CZ"/>
        </w:rPr>
      </w:pPr>
      <w:r w:rsidRPr="00721663">
        <w:rPr>
          <w:rFonts w:ascii="Arial" w:hAnsi="Arial"/>
          <w:lang w:val="bg-BG" w:eastAsia="cs-CZ"/>
        </w:rPr>
        <w:t>Пазарен риск е рискът, справедливата стойност на бъдещите парични потоци от даден финансов инструмент да варира, поради промени в пазарните цени. Пазарните цени включват три типа риск: лихвен, валутен, и друг ценови риск, какъвто е рискът за цената на собствения капитал. Финансовите инструменти, засегнати от пазарния риск, включват заеми и привлечени средства и търговски и други вземания.</w:t>
      </w:r>
    </w:p>
    <w:p w14:paraId="355042AE" w14:textId="5F549C29" w:rsidR="00E07C4E" w:rsidRDefault="00E07C4E" w:rsidP="00E07C4E">
      <w:pPr>
        <w:pStyle w:val="Notesbodytext"/>
        <w:spacing w:line="240" w:lineRule="atLeast"/>
        <w:rPr>
          <w:rFonts w:ascii="Arial" w:hAnsi="Arial"/>
          <w:lang w:val="bg-BG"/>
        </w:rPr>
      </w:pPr>
      <w:r w:rsidRPr="00721663">
        <w:rPr>
          <w:rFonts w:ascii="Arial" w:hAnsi="Arial"/>
          <w:lang w:val="bg-BG"/>
        </w:rPr>
        <w:t xml:space="preserve">Анализите на чувствителността по-долу са свързани със състоянието на Групата към </w:t>
      </w:r>
      <w:r w:rsidR="00144930">
        <w:rPr>
          <w:rFonts w:ascii="Arial" w:hAnsi="Arial"/>
          <w:lang w:val="bg-BG"/>
        </w:rPr>
        <w:t>30 юни 2017</w:t>
      </w:r>
      <w:r w:rsidRPr="00721663">
        <w:rPr>
          <w:rFonts w:ascii="Arial" w:hAnsi="Arial"/>
          <w:lang w:val="bg-BG"/>
        </w:rPr>
        <w:t xml:space="preserve"> и </w:t>
      </w:r>
      <w:r w:rsidR="00144930">
        <w:rPr>
          <w:rFonts w:ascii="Arial" w:hAnsi="Arial"/>
          <w:lang w:val="bg-BG"/>
        </w:rPr>
        <w:t>31 декември 2016</w:t>
      </w:r>
      <w:r w:rsidRPr="00721663">
        <w:rPr>
          <w:rFonts w:ascii="Arial" w:hAnsi="Arial"/>
          <w:lang w:val="bg-BG"/>
        </w:rPr>
        <w:t xml:space="preserve"> г. </w:t>
      </w:r>
    </w:p>
    <w:p w14:paraId="631AE088" w14:textId="77777777" w:rsidR="00E07C4E" w:rsidRDefault="00E07C4E" w:rsidP="00E07C4E">
      <w:pPr>
        <w:pStyle w:val="Notesbodytext"/>
        <w:spacing w:line="240" w:lineRule="atLeast"/>
        <w:rPr>
          <w:rFonts w:ascii="Arial" w:hAnsi="Arial"/>
          <w:lang w:val="bg-BG"/>
        </w:rPr>
      </w:pPr>
      <w:r w:rsidRPr="00721663">
        <w:rPr>
          <w:rFonts w:ascii="Arial" w:hAnsi="Arial"/>
          <w:lang w:val="bg-BG"/>
        </w:rPr>
        <w:t xml:space="preserve">Анализите на чувствителността са изготвени при условие, че сумата на нетния дълг, съотношението на фиксираните към плаващите лихвени проценти по дълга и съотношението на финансовите инструменти в чуждестранни валути, са постоянни. </w:t>
      </w:r>
    </w:p>
    <w:p w14:paraId="19249AA6" w14:textId="77777777" w:rsidR="00E07C4E" w:rsidRPr="00721663" w:rsidRDefault="00E07C4E" w:rsidP="00E07C4E">
      <w:pPr>
        <w:pStyle w:val="Notesbodytext"/>
        <w:spacing w:line="240" w:lineRule="atLeast"/>
        <w:rPr>
          <w:rFonts w:ascii="Arial" w:hAnsi="Arial"/>
          <w:lang w:val="bg-BG"/>
        </w:rPr>
      </w:pPr>
      <w:r w:rsidRPr="00721663">
        <w:rPr>
          <w:rFonts w:ascii="Arial" w:hAnsi="Arial"/>
          <w:lang w:val="bg-BG"/>
        </w:rPr>
        <w:t>Анализите изключват ефекта от изменението на пазарните променливи в балансовата стойност на провизиите и нефинансовите активи и пасиви от чуждестранни дейности.</w:t>
      </w:r>
    </w:p>
    <w:p w14:paraId="2C4D9298" w14:textId="77777777" w:rsidR="00E07C4E" w:rsidRPr="00721663" w:rsidRDefault="00E07C4E" w:rsidP="00E07C4E">
      <w:pPr>
        <w:spacing w:after="80"/>
        <w:jc w:val="left"/>
        <w:rPr>
          <w:rFonts w:ascii="Arial" w:hAnsi="Arial" w:cs="Arial"/>
          <w:b/>
          <w:sz w:val="18"/>
          <w:szCs w:val="18"/>
          <w:lang w:val="bg-BG"/>
        </w:rPr>
      </w:pPr>
      <w:r w:rsidRPr="00721663">
        <w:rPr>
          <w:rFonts w:ascii="Arial" w:hAnsi="Arial" w:cs="Arial"/>
          <w:b/>
          <w:sz w:val="18"/>
          <w:szCs w:val="18"/>
          <w:lang w:val="bg-BG"/>
        </w:rPr>
        <w:t>Лихвен риск</w:t>
      </w:r>
    </w:p>
    <w:p w14:paraId="36FDA537" w14:textId="77777777" w:rsidR="00E07C4E" w:rsidRPr="00721663" w:rsidRDefault="00E07C4E" w:rsidP="00E07C4E">
      <w:pPr>
        <w:pStyle w:val="Notesbodytext"/>
        <w:spacing w:after="80" w:line="240" w:lineRule="atLeast"/>
        <w:rPr>
          <w:rFonts w:ascii="Arial" w:hAnsi="Arial"/>
          <w:lang w:val="bg-BG"/>
        </w:rPr>
      </w:pPr>
      <w:r w:rsidRPr="00721663">
        <w:rPr>
          <w:rFonts w:ascii="Arial" w:hAnsi="Arial"/>
          <w:lang w:val="bg-BG"/>
        </w:rPr>
        <w:t>Лихвеният риск е рискът, че справедливата стойност или бъдещите парични потоци на финансов инструмент ще се променят, поради промени в пазарните лихвени норми. Експозицията на Групата спрямо риска от промени в пазарните нива на лихвените проценти е свързан главно с дългосрочните задължения по заеми с плаващи лихвени проценти на Групата.</w:t>
      </w:r>
    </w:p>
    <w:p w14:paraId="619E6029" w14:textId="77777777" w:rsidR="00E07C4E" w:rsidRPr="00721663" w:rsidRDefault="00E07C4E" w:rsidP="00E07C4E">
      <w:pPr>
        <w:pStyle w:val="Notesbodytext"/>
        <w:spacing w:line="240" w:lineRule="atLeast"/>
        <w:rPr>
          <w:rFonts w:ascii="Arial" w:hAnsi="Arial"/>
          <w:lang w:val="bg-BG"/>
        </w:rPr>
      </w:pPr>
      <w:r w:rsidRPr="00721663">
        <w:rPr>
          <w:rFonts w:ascii="Arial" w:hAnsi="Arial"/>
          <w:lang w:val="bg-BG"/>
        </w:rPr>
        <w:t>Групата управлява лихвения риск, като поддържа балансиран портфейл от дългове с фиксирани и променливи лихвени проценти.</w:t>
      </w:r>
    </w:p>
    <w:tbl>
      <w:tblPr>
        <w:tblW w:w="8080" w:type="dxa"/>
        <w:tblLayout w:type="fixed"/>
        <w:tblCellMar>
          <w:left w:w="0" w:type="dxa"/>
          <w:right w:w="0" w:type="dxa"/>
        </w:tblCellMar>
        <w:tblLook w:val="0000" w:firstRow="0" w:lastRow="0" w:firstColumn="0" w:lastColumn="0" w:noHBand="0" w:noVBand="0"/>
      </w:tblPr>
      <w:tblGrid>
        <w:gridCol w:w="3544"/>
        <w:gridCol w:w="1559"/>
        <w:gridCol w:w="142"/>
        <w:gridCol w:w="1276"/>
        <w:gridCol w:w="142"/>
        <w:gridCol w:w="1417"/>
      </w:tblGrid>
      <w:tr w:rsidR="00E07C4E" w:rsidRPr="00721663" w14:paraId="10AA132E" w14:textId="77777777" w:rsidTr="00551604">
        <w:trPr>
          <w:trHeight w:val="570"/>
        </w:trPr>
        <w:tc>
          <w:tcPr>
            <w:tcW w:w="3544" w:type="dxa"/>
            <w:tcBorders>
              <w:top w:val="nil"/>
              <w:left w:val="nil"/>
              <w:bottom w:val="nil"/>
              <w:right w:val="nil"/>
            </w:tcBorders>
            <w:noWrap/>
            <w:vAlign w:val="bottom"/>
          </w:tcPr>
          <w:p w14:paraId="13DBF331" w14:textId="191FA3C4" w:rsidR="00E07C4E" w:rsidRPr="00721663" w:rsidRDefault="00E07C4E" w:rsidP="00551604">
            <w:pPr>
              <w:spacing w:line="240" w:lineRule="auto"/>
              <w:jc w:val="left"/>
              <w:rPr>
                <w:rFonts w:ascii="Arial" w:eastAsia="Arial Unicode MS" w:hAnsi="Arial" w:cs="Arial"/>
                <w:b/>
                <w:bCs/>
                <w:sz w:val="18"/>
                <w:szCs w:val="18"/>
                <w:lang w:val="bg-BG"/>
              </w:rPr>
            </w:pPr>
            <w:r w:rsidRPr="00721663">
              <w:rPr>
                <w:rFonts w:ascii="Arial" w:hAnsi="Arial" w:cs="Arial"/>
                <w:sz w:val="18"/>
                <w:szCs w:val="18"/>
                <w:lang w:val="bg-BG"/>
              </w:rPr>
              <w:br w:type="page"/>
            </w:r>
            <w:r w:rsidR="00144930">
              <w:rPr>
                <w:rFonts w:ascii="Arial" w:hAnsi="Arial" w:cs="Arial"/>
                <w:b/>
                <w:bCs/>
                <w:sz w:val="18"/>
                <w:szCs w:val="18"/>
                <w:lang w:val="bg-BG"/>
              </w:rPr>
              <w:t>30 юни 2017</w:t>
            </w:r>
            <w:r w:rsidRPr="00721663">
              <w:rPr>
                <w:rFonts w:ascii="Arial" w:hAnsi="Arial" w:cs="Arial"/>
                <w:b/>
                <w:bCs/>
                <w:sz w:val="18"/>
                <w:szCs w:val="18"/>
                <w:lang w:val="bg-BG"/>
              </w:rPr>
              <w:t xml:space="preserve"> г.</w:t>
            </w:r>
          </w:p>
        </w:tc>
        <w:tc>
          <w:tcPr>
            <w:tcW w:w="1559" w:type="dxa"/>
            <w:tcBorders>
              <w:top w:val="nil"/>
              <w:left w:val="nil"/>
              <w:bottom w:val="single" w:sz="4" w:space="0" w:color="auto"/>
              <w:right w:val="nil"/>
            </w:tcBorders>
            <w:vAlign w:val="bottom"/>
          </w:tcPr>
          <w:p w14:paraId="780D60A9" w14:textId="77777777" w:rsidR="00E07C4E" w:rsidRPr="00721663" w:rsidRDefault="00E07C4E" w:rsidP="00551604">
            <w:pPr>
              <w:spacing w:line="240" w:lineRule="auto"/>
              <w:jc w:val="right"/>
              <w:rPr>
                <w:rFonts w:ascii="Arial" w:eastAsia="Arial Unicode MS" w:hAnsi="Arial" w:cs="Arial"/>
                <w:b/>
                <w:bCs/>
                <w:sz w:val="18"/>
                <w:szCs w:val="18"/>
                <w:lang w:val="bg-BG"/>
              </w:rPr>
            </w:pPr>
            <w:r w:rsidRPr="00721663">
              <w:rPr>
                <w:rFonts w:ascii="Arial" w:eastAsia="Arial Unicode MS" w:hAnsi="Arial" w:cs="Arial"/>
                <w:b/>
                <w:bCs/>
                <w:sz w:val="18"/>
                <w:szCs w:val="18"/>
                <w:lang w:val="bg-BG"/>
              </w:rPr>
              <w:t>Плаващ лихвен процент</w:t>
            </w:r>
          </w:p>
        </w:tc>
        <w:tc>
          <w:tcPr>
            <w:tcW w:w="142" w:type="dxa"/>
            <w:tcBorders>
              <w:top w:val="nil"/>
              <w:left w:val="nil"/>
              <w:bottom w:val="nil"/>
              <w:right w:val="nil"/>
            </w:tcBorders>
            <w:tcMar>
              <w:top w:w="0" w:type="dxa"/>
              <w:left w:w="15" w:type="dxa"/>
              <w:bottom w:w="0" w:type="dxa"/>
              <w:right w:w="15" w:type="dxa"/>
            </w:tcMar>
            <w:vAlign w:val="bottom"/>
          </w:tcPr>
          <w:p w14:paraId="344226A3"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276" w:type="dxa"/>
            <w:tcBorders>
              <w:top w:val="nil"/>
              <w:left w:val="nil"/>
              <w:bottom w:val="single" w:sz="4" w:space="0" w:color="auto"/>
              <w:right w:val="nil"/>
            </w:tcBorders>
            <w:tcMar>
              <w:top w:w="0" w:type="dxa"/>
              <w:left w:w="15" w:type="dxa"/>
              <w:bottom w:w="0" w:type="dxa"/>
              <w:right w:w="15" w:type="dxa"/>
            </w:tcMar>
            <w:vAlign w:val="bottom"/>
          </w:tcPr>
          <w:p w14:paraId="68D0FCC6" w14:textId="77777777" w:rsidR="00E07C4E" w:rsidRPr="00721663" w:rsidRDefault="00E07C4E" w:rsidP="00551604">
            <w:pPr>
              <w:spacing w:line="240" w:lineRule="auto"/>
              <w:jc w:val="right"/>
              <w:rPr>
                <w:rFonts w:ascii="Arial" w:eastAsia="Arial Unicode MS" w:hAnsi="Arial" w:cs="Arial"/>
                <w:b/>
                <w:bCs/>
                <w:sz w:val="18"/>
                <w:szCs w:val="18"/>
                <w:lang w:val="bg-BG"/>
              </w:rPr>
            </w:pPr>
            <w:r w:rsidRPr="00721663">
              <w:rPr>
                <w:rFonts w:ascii="Arial" w:hAnsi="Arial" w:cs="Arial"/>
                <w:b/>
                <w:bCs/>
                <w:sz w:val="18"/>
                <w:szCs w:val="18"/>
                <w:lang w:val="bg-BG"/>
              </w:rPr>
              <w:t>Безлихвени</w:t>
            </w:r>
          </w:p>
        </w:tc>
        <w:tc>
          <w:tcPr>
            <w:tcW w:w="142" w:type="dxa"/>
            <w:tcBorders>
              <w:top w:val="nil"/>
              <w:left w:val="nil"/>
              <w:bottom w:val="nil"/>
              <w:right w:val="nil"/>
            </w:tcBorders>
            <w:tcMar>
              <w:top w:w="0" w:type="dxa"/>
              <w:left w:w="15" w:type="dxa"/>
              <w:bottom w:w="0" w:type="dxa"/>
              <w:right w:w="15" w:type="dxa"/>
            </w:tcMar>
            <w:vAlign w:val="bottom"/>
          </w:tcPr>
          <w:p w14:paraId="347E35A9"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417" w:type="dxa"/>
            <w:tcBorders>
              <w:top w:val="nil"/>
              <w:left w:val="nil"/>
              <w:bottom w:val="single" w:sz="4" w:space="0" w:color="auto"/>
              <w:right w:val="nil"/>
            </w:tcBorders>
            <w:tcMar>
              <w:top w:w="15" w:type="dxa"/>
              <w:left w:w="15" w:type="dxa"/>
              <w:bottom w:w="0" w:type="dxa"/>
              <w:right w:w="15" w:type="dxa"/>
            </w:tcMar>
            <w:vAlign w:val="bottom"/>
          </w:tcPr>
          <w:p w14:paraId="68DD664A" w14:textId="77777777" w:rsidR="00E07C4E" w:rsidRPr="00721663" w:rsidRDefault="00E07C4E" w:rsidP="00551604">
            <w:pPr>
              <w:spacing w:line="240" w:lineRule="auto"/>
              <w:jc w:val="right"/>
              <w:rPr>
                <w:rFonts w:ascii="Arial" w:eastAsia="Arial Unicode MS" w:hAnsi="Arial" w:cs="Arial"/>
                <w:b/>
                <w:bCs/>
                <w:sz w:val="18"/>
                <w:szCs w:val="18"/>
                <w:lang w:val="bg-BG"/>
              </w:rPr>
            </w:pPr>
            <w:r w:rsidRPr="00721663">
              <w:rPr>
                <w:rFonts w:ascii="Arial" w:hAnsi="Arial" w:cs="Arial"/>
                <w:b/>
                <w:bCs/>
                <w:sz w:val="18"/>
                <w:szCs w:val="18"/>
                <w:lang w:val="bg-BG"/>
              </w:rPr>
              <w:t>Общо</w:t>
            </w:r>
          </w:p>
        </w:tc>
      </w:tr>
      <w:tr w:rsidR="00E07C4E" w:rsidRPr="00721663" w14:paraId="36B491BD" w14:textId="77777777" w:rsidTr="00551604">
        <w:trPr>
          <w:trHeight w:hRule="exact" w:val="284"/>
        </w:trPr>
        <w:tc>
          <w:tcPr>
            <w:tcW w:w="3544" w:type="dxa"/>
            <w:tcBorders>
              <w:top w:val="nil"/>
              <w:left w:val="nil"/>
              <w:bottom w:val="nil"/>
              <w:right w:val="nil"/>
            </w:tcBorders>
            <w:noWrap/>
            <w:vAlign w:val="bottom"/>
          </w:tcPr>
          <w:p w14:paraId="67AE8D92" w14:textId="77777777" w:rsidR="00E07C4E" w:rsidRPr="00721663" w:rsidRDefault="00E07C4E" w:rsidP="00551604">
            <w:pPr>
              <w:spacing w:line="240" w:lineRule="auto"/>
              <w:jc w:val="center"/>
              <w:rPr>
                <w:rFonts w:ascii="Arial" w:eastAsia="Arial Unicode MS" w:hAnsi="Arial" w:cs="Arial"/>
                <w:sz w:val="18"/>
                <w:szCs w:val="18"/>
                <w:lang w:val="bg-BG"/>
              </w:rPr>
            </w:pPr>
          </w:p>
        </w:tc>
        <w:tc>
          <w:tcPr>
            <w:tcW w:w="1559" w:type="dxa"/>
            <w:tcBorders>
              <w:top w:val="single" w:sz="4" w:space="0" w:color="auto"/>
              <w:left w:val="nil"/>
              <w:right w:val="nil"/>
            </w:tcBorders>
            <w:noWrap/>
            <w:vAlign w:val="bottom"/>
          </w:tcPr>
          <w:p w14:paraId="2E7A0D48"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142" w:type="dxa"/>
            <w:tcBorders>
              <w:top w:val="nil"/>
              <w:left w:val="nil"/>
              <w:right w:val="nil"/>
            </w:tcBorders>
            <w:noWrap/>
            <w:tcMar>
              <w:top w:w="0" w:type="dxa"/>
              <w:left w:w="15" w:type="dxa"/>
              <w:bottom w:w="0" w:type="dxa"/>
              <w:right w:w="15" w:type="dxa"/>
            </w:tcMar>
            <w:vAlign w:val="bottom"/>
          </w:tcPr>
          <w:p w14:paraId="1B5C4492"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276" w:type="dxa"/>
            <w:tcBorders>
              <w:top w:val="single" w:sz="4" w:space="0" w:color="auto"/>
              <w:left w:val="nil"/>
              <w:right w:val="nil"/>
            </w:tcBorders>
            <w:tcMar>
              <w:top w:w="0" w:type="dxa"/>
              <w:left w:w="15" w:type="dxa"/>
              <w:bottom w:w="0" w:type="dxa"/>
              <w:right w:w="15" w:type="dxa"/>
            </w:tcMar>
            <w:vAlign w:val="bottom"/>
          </w:tcPr>
          <w:p w14:paraId="3DBF5E78"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142" w:type="dxa"/>
            <w:tcBorders>
              <w:top w:val="nil"/>
              <w:left w:val="nil"/>
              <w:right w:val="nil"/>
            </w:tcBorders>
            <w:tcMar>
              <w:top w:w="0" w:type="dxa"/>
              <w:left w:w="15" w:type="dxa"/>
              <w:bottom w:w="0" w:type="dxa"/>
              <w:right w:w="15" w:type="dxa"/>
            </w:tcMar>
            <w:vAlign w:val="bottom"/>
          </w:tcPr>
          <w:p w14:paraId="7197FBBB"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417" w:type="dxa"/>
            <w:tcBorders>
              <w:top w:val="single" w:sz="4" w:space="0" w:color="auto"/>
              <w:left w:val="nil"/>
              <w:right w:val="nil"/>
            </w:tcBorders>
            <w:tcMar>
              <w:top w:w="15" w:type="dxa"/>
              <w:left w:w="15" w:type="dxa"/>
              <w:bottom w:w="0" w:type="dxa"/>
              <w:right w:w="15" w:type="dxa"/>
            </w:tcMar>
            <w:vAlign w:val="bottom"/>
          </w:tcPr>
          <w:p w14:paraId="6EA1227A"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r>
      <w:tr w:rsidR="00E07C4E" w:rsidRPr="00721663" w14:paraId="1B464DC8" w14:textId="77777777" w:rsidTr="00551604">
        <w:trPr>
          <w:trHeight w:val="284"/>
        </w:trPr>
        <w:tc>
          <w:tcPr>
            <w:tcW w:w="3544" w:type="dxa"/>
            <w:tcBorders>
              <w:top w:val="nil"/>
              <w:left w:val="nil"/>
              <w:bottom w:val="nil"/>
              <w:right w:val="nil"/>
            </w:tcBorders>
            <w:noWrap/>
            <w:vAlign w:val="center"/>
          </w:tcPr>
          <w:p w14:paraId="4847DD65" w14:textId="77777777" w:rsidR="00E07C4E" w:rsidRPr="00721663" w:rsidRDefault="00E07C4E" w:rsidP="00551604">
            <w:pPr>
              <w:spacing w:line="240" w:lineRule="auto"/>
              <w:jc w:val="left"/>
              <w:rPr>
                <w:rFonts w:ascii="Arial" w:eastAsia="Arial Unicode MS" w:hAnsi="Arial" w:cs="Arial"/>
                <w:b/>
                <w:bCs/>
                <w:i/>
                <w:iCs/>
                <w:sz w:val="18"/>
                <w:szCs w:val="18"/>
                <w:lang w:val="bg-BG"/>
              </w:rPr>
            </w:pPr>
            <w:r w:rsidRPr="00721663">
              <w:rPr>
                <w:rFonts w:ascii="Arial" w:hAnsi="Arial" w:cs="Arial"/>
                <w:b/>
                <w:bCs/>
                <w:i/>
                <w:iCs/>
                <w:sz w:val="18"/>
                <w:szCs w:val="18"/>
                <w:lang w:val="bg-BG"/>
              </w:rPr>
              <w:t>Финансови активи</w:t>
            </w:r>
          </w:p>
        </w:tc>
        <w:tc>
          <w:tcPr>
            <w:tcW w:w="1559" w:type="dxa"/>
            <w:tcBorders>
              <w:top w:val="nil"/>
              <w:left w:val="nil"/>
              <w:bottom w:val="nil"/>
              <w:right w:val="nil"/>
            </w:tcBorders>
            <w:noWrap/>
            <w:vAlign w:val="bottom"/>
          </w:tcPr>
          <w:p w14:paraId="08054E73"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42" w:type="dxa"/>
            <w:tcBorders>
              <w:top w:val="nil"/>
              <w:left w:val="nil"/>
              <w:bottom w:val="nil"/>
              <w:right w:val="nil"/>
            </w:tcBorders>
            <w:noWrap/>
            <w:tcMar>
              <w:top w:w="0" w:type="dxa"/>
              <w:left w:w="15" w:type="dxa"/>
              <w:bottom w:w="0" w:type="dxa"/>
              <w:right w:w="15" w:type="dxa"/>
            </w:tcMar>
            <w:vAlign w:val="bottom"/>
          </w:tcPr>
          <w:p w14:paraId="4E9F54B0"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276" w:type="dxa"/>
            <w:tcBorders>
              <w:top w:val="nil"/>
              <w:left w:val="nil"/>
              <w:bottom w:val="nil"/>
              <w:right w:val="nil"/>
            </w:tcBorders>
            <w:tcMar>
              <w:top w:w="0" w:type="dxa"/>
              <w:left w:w="15" w:type="dxa"/>
              <w:bottom w:w="0" w:type="dxa"/>
              <w:right w:w="15" w:type="dxa"/>
            </w:tcMar>
            <w:vAlign w:val="bottom"/>
          </w:tcPr>
          <w:p w14:paraId="5180C5A5"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42" w:type="dxa"/>
            <w:tcBorders>
              <w:top w:val="nil"/>
              <w:left w:val="nil"/>
              <w:bottom w:val="nil"/>
              <w:right w:val="nil"/>
            </w:tcBorders>
            <w:tcMar>
              <w:top w:w="0" w:type="dxa"/>
              <w:left w:w="15" w:type="dxa"/>
              <w:bottom w:w="0" w:type="dxa"/>
              <w:right w:w="15" w:type="dxa"/>
            </w:tcMar>
            <w:vAlign w:val="bottom"/>
          </w:tcPr>
          <w:p w14:paraId="542B1F62"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417" w:type="dxa"/>
            <w:tcBorders>
              <w:top w:val="nil"/>
              <w:left w:val="nil"/>
              <w:bottom w:val="nil"/>
              <w:right w:val="nil"/>
            </w:tcBorders>
            <w:noWrap/>
            <w:tcMar>
              <w:top w:w="15" w:type="dxa"/>
              <w:left w:w="15" w:type="dxa"/>
              <w:bottom w:w="0" w:type="dxa"/>
              <w:right w:w="15" w:type="dxa"/>
            </w:tcMar>
            <w:vAlign w:val="bottom"/>
          </w:tcPr>
          <w:p w14:paraId="155FE7A4" w14:textId="77777777" w:rsidR="00E07C4E" w:rsidRPr="00721663" w:rsidRDefault="00E07C4E" w:rsidP="00551604">
            <w:pPr>
              <w:spacing w:line="240" w:lineRule="auto"/>
              <w:jc w:val="right"/>
              <w:rPr>
                <w:rFonts w:ascii="Arial" w:eastAsia="Arial Unicode MS" w:hAnsi="Arial" w:cs="Arial"/>
                <w:sz w:val="18"/>
                <w:szCs w:val="18"/>
                <w:lang w:val="bg-BG"/>
              </w:rPr>
            </w:pPr>
          </w:p>
        </w:tc>
      </w:tr>
      <w:tr w:rsidR="008F17B6" w:rsidRPr="00721663" w14:paraId="086D5F7A" w14:textId="77777777" w:rsidTr="00551604">
        <w:trPr>
          <w:trHeight w:val="300"/>
        </w:trPr>
        <w:tc>
          <w:tcPr>
            <w:tcW w:w="3544" w:type="dxa"/>
            <w:tcBorders>
              <w:top w:val="nil"/>
              <w:left w:val="nil"/>
              <w:bottom w:val="nil"/>
              <w:right w:val="nil"/>
            </w:tcBorders>
            <w:vAlign w:val="center"/>
          </w:tcPr>
          <w:p w14:paraId="7322A4E8" w14:textId="77777777" w:rsidR="008F17B6" w:rsidRPr="00721663" w:rsidRDefault="008F17B6" w:rsidP="008F17B6">
            <w:pPr>
              <w:pStyle w:val="Header"/>
              <w:spacing w:line="240" w:lineRule="auto"/>
              <w:jc w:val="left"/>
              <w:rPr>
                <w:rFonts w:ascii="Arial" w:eastAsia="Arial Unicode MS" w:hAnsi="Arial" w:cs="Arial"/>
                <w:sz w:val="18"/>
                <w:szCs w:val="18"/>
                <w:lang w:val="bg-BG"/>
              </w:rPr>
            </w:pPr>
            <w:r w:rsidRPr="00721663">
              <w:rPr>
                <w:rFonts w:ascii="Arial" w:hAnsi="Arial" w:cs="Arial"/>
                <w:sz w:val="18"/>
                <w:szCs w:val="18"/>
                <w:lang w:val="bg-BG"/>
              </w:rPr>
              <w:t>Търговски вземания</w:t>
            </w:r>
          </w:p>
        </w:tc>
        <w:tc>
          <w:tcPr>
            <w:tcW w:w="1559" w:type="dxa"/>
            <w:tcBorders>
              <w:top w:val="nil"/>
              <w:left w:val="nil"/>
              <w:right w:val="nil"/>
            </w:tcBorders>
            <w:noWrap/>
            <w:vAlign w:val="bottom"/>
          </w:tcPr>
          <w:p w14:paraId="131D3B6A" w14:textId="50B85CCE" w:rsidR="008F17B6" w:rsidRPr="00BC2D1E" w:rsidRDefault="008F17B6" w:rsidP="008F17B6">
            <w:pPr>
              <w:pStyle w:val="xl40"/>
              <w:spacing w:before="0" w:beforeAutospacing="0" w:after="0" w:afterAutospacing="0" w:line="240" w:lineRule="auto"/>
              <w:ind w:right="197"/>
              <w:jc w:val="right"/>
              <w:textAlignment w:val="auto"/>
              <w:rPr>
                <w:rFonts w:ascii="Arial" w:hAnsi="Arial" w:cs="Arial"/>
                <w:b w:val="0"/>
                <w:sz w:val="18"/>
                <w:szCs w:val="18"/>
                <w:lang w:val="en-GB"/>
              </w:rPr>
            </w:pPr>
            <w:r>
              <w:rPr>
                <w:rFonts w:ascii="Arial" w:hAnsi="Arial" w:cs="Arial"/>
                <w:b w:val="0"/>
                <w:sz w:val="18"/>
                <w:szCs w:val="18"/>
                <w:lang w:val="en-GB"/>
              </w:rPr>
              <w:t>-</w:t>
            </w:r>
          </w:p>
        </w:tc>
        <w:tc>
          <w:tcPr>
            <w:tcW w:w="142" w:type="dxa"/>
            <w:tcBorders>
              <w:top w:val="nil"/>
              <w:left w:val="nil"/>
              <w:right w:val="nil"/>
            </w:tcBorders>
            <w:noWrap/>
            <w:tcMar>
              <w:top w:w="0" w:type="dxa"/>
              <w:left w:w="15" w:type="dxa"/>
              <w:bottom w:w="0" w:type="dxa"/>
              <w:right w:w="15" w:type="dxa"/>
            </w:tcMar>
            <w:vAlign w:val="bottom"/>
          </w:tcPr>
          <w:p w14:paraId="637D10F8" w14:textId="77777777" w:rsidR="008F17B6" w:rsidRPr="00BC2D1E" w:rsidRDefault="008F17B6" w:rsidP="008F17B6">
            <w:pPr>
              <w:spacing w:line="240" w:lineRule="auto"/>
              <w:jc w:val="right"/>
              <w:rPr>
                <w:rFonts w:ascii="Arial" w:eastAsia="Arial Unicode MS" w:hAnsi="Arial" w:cs="Arial"/>
                <w:sz w:val="18"/>
                <w:szCs w:val="18"/>
                <w:lang w:val="en-GB"/>
              </w:rPr>
            </w:pPr>
          </w:p>
        </w:tc>
        <w:tc>
          <w:tcPr>
            <w:tcW w:w="1276" w:type="dxa"/>
            <w:tcBorders>
              <w:top w:val="nil"/>
              <w:left w:val="nil"/>
              <w:right w:val="nil"/>
            </w:tcBorders>
            <w:tcMar>
              <w:top w:w="0" w:type="dxa"/>
              <w:left w:w="15" w:type="dxa"/>
              <w:bottom w:w="0" w:type="dxa"/>
              <w:right w:w="15" w:type="dxa"/>
            </w:tcMar>
            <w:vAlign w:val="bottom"/>
          </w:tcPr>
          <w:p w14:paraId="5000F487" w14:textId="196C225B" w:rsidR="008F17B6" w:rsidRPr="00BC2D1E" w:rsidRDefault="008F17B6" w:rsidP="008F17B6">
            <w:pPr>
              <w:spacing w:line="240" w:lineRule="auto"/>
              <w:ind w:right="147"/>
              <w:jc w:val="right"/>
              <w:rPr>
                <w:rFonts w:ascii="Arial" w:eastAsia="Arial Unicode MS" w:hAnsi="Arial" w:cs="Arial"/>
                <w:sz w:val="18"/>
                <w:szCs w:val="18"/>
                <w:lang w:val="en-GB"/>
              </w:rPr>
            </w:pPr>
            <w:r>
              <w:rPr>
                <w:rFonts w:ascii="Arial" w:eastAsia="Arial Unicode MS" w:hAnsi="Arial" w:cs="Arial"/>
                <w:sz w:val="18"/>
                <w:szCs w:val="18"/>
                <w:lang w:val="en-GB" w:eastAsia="bg-BG"/>
              </w:rPr>
              <w:t>248</w:t>
            </w:r>
          </w:p>
        </w:tc>
        <w:tc>
          <w:tcPr>
            <w:tcW w:w="142" w:type="dxa"/>
            <w:tcBorders>
              <w:top w:val="nil"/>
              <w:left w:val="nil"/>
              <w:right w:val="nil"/>
            </w:tcBorders>
            <w:tcMar>
              <w:top w:w="0" w:type="dxa"/>
              <w:left w:w="15" w:type="dxa"/>
              <w:bottom w:w="0" w:type="dxa"/>
              <w:right w:w="15" w:type="dxa"/>
            </w:tcMar>
            <w:vAlign w:val="bottom"/>
          </w:tcPr>
          <w:p w14:paraId="4FB1B13D" w14:textId="77777777" w:rsidR="008F17B6" w:rsidRPr="00BC2D1E" w:rsidRDefault="008F17B6" w:rsidP="008F17B6">
            <w:pPr>
              <w:spacing w:line="240" w:lineRule="auto"/>
              <w:jc w:val="right"/>
              <w:rPr>
                <w:rFonts w:ascii="Arial" w:eastAsia="Arial Unicode MS" w:hAnsi="Arial" w:cs="Arial"/>
                <w:sz w:val="18"/>
                <w:szCs w:val="18"/>
                <w:lang w:val="en-GB"/>
              </w:rPr>
            </w:pPr>
          </w:p>
        </w:tc>
        <w:tc>
          <w:tcPr>
            <w:tcW w:w="1417" w:type="dxa"/>
            <w:tcBorders>
              <w:top w:val="nil"/>
              <w:left w:val="nil"/>
              <w:right w:val="nil"/>
            </w:tcBorders>
            <w:noWrap/>
            <w:tcMar>
              <w:top w:w="15" w:type="dxa"/>
              <w:left w:w="15" w:type="dxa"/>
              <w:bottom w:w="0" w:type="dxa"/>
              <w:right w:w="15" w:type="dxa"/>
            </w:tcMar>
            <w:vAlign w:val="bottom"/>
          </w:tcPr>
          <w:p w14:paraId="6EE954F6" w14:textId="08B04454" w:rsidR="008F17B6" w:rsidRPr="00BC2D1E" w:rsidRDefault="008F17B6" w:rsidP="008F17B6">
            <w:pPr>
              <w:spacing w:line="240" w:lineRule="auto"/>
              <w:ind w:right="80"/>
              <w:jc w:val="right"/>
              <w:rPr>
                <w:rFonts w:ascii="Arial" w:eastAsia="Arial Unicode MS" w:hAnsi="Arial" w:cs="Arial"/>
                <w:sz w:val="18"/>
                <w:szCs w:val="18"/>
                <w:lang w:val="en-GB"/>
              </w:rPr>
            </w:pPr>
            <w:r>
              <w:rPr>
                <w:rFonts w:ascii="Arial" w:eastAsia="Arial Unicode MS" w:hAnsi="Arial" w:cs="Arial"/>
                <w:sz w:val="18"/>
                <w:szCs w:val="18"/>
                <w:lang w:val="en-GB" w:eastAsia="bg-BG"/>
              </w:rPr>
              <w:t>248</w:t>
            </w:r>
          </w:p>
        </w:tc>
      </w:tr>
      <w:tr w:rsidR="008F17B6" w:rsidRPr="00721663" w14:paraId="3C65F2A3" w14:textId="77777777" w:rsidTr="00551604">
        <w:trPr>
          <w:trHeight w:val="300"/>
        </w:trPr>
        <w:tc>
          <w:tcPr>
            <w:tcW w:w="3544" w:type="dxa"/>
            <w:tcBorders>
              <w:top w:val="nil"/>
              <w:left w:val="nil"/>
              <w:bottom w:val="nil"/>
              <w:right w:val="nil"/>
            </w:tcBorders>
            <w:vAlign w:val="center"/>
          </w:tcPr>
          <w:p w14:paraId="66F47368" w14:textId="77777777" w:rsidR="008F17B6" w:rsidRPr="00721663" w:rsidRDefault="008F17B6" w:rsidP="008F17B6">
            <w:pPr>
              <w:pStyle w:val="Header"/>
              <w:spacing w:line="240" w:lineRule="auto"/>
              <w:jc w:val="left"/>
              <w:rPr>
                <w:rFonts w:ascii="Arial" w:hAnsi="Arial" w:cs="Arial"/>
                <w:sz w:val="18"/>
                <w:szCs w:val="18"/>
                <w:lang w:val="bg-BG"/>
              </w:rPr>
            </w:pPr>
            <w:r w:rsidRPr="00721663">
              <w:rPr>
                <w:rFonts w:ascii="Arial" w:hAnsi="Arial" w:cs="Arial"/>
                <w:sz w:val="18"/>
                <w:szCs w:val="18"/>
                <w:lang w:val="bg-BG"/>
              </w:rPr>
              <w:t>Парични средства по банкови сметки</w:t>
            </w:r>
          </w:p>
        </w:tc>
        <w:tc>
          <w:tcPr>
            <w:tcW w:w="1559" w:type="dxa"/>
            <w:tcBorders>
              <w:top w:val="nil"/>
              <w:left w:val="nil"/>
              <w:right w:val="nil"/>
            </w:tcBorders>
            <w:noWrap/>
            <w:vAlign w:val="bottom"/>
          </w:tcPr>
          <w:p w14:paraId="4AFC3D70" w14:textId="65BAA078" w:rsidR="008F17B6" w:rsidRPr="00BC2D1E" w:rsidRDefault="008F17B6" w:rsidP="008F17B6">
            <w:pPr>
              <w:pStyle w:val="xl40"/>
              <w:spacing w:before="0" w:beforeAutospacing="0" w:after="0" w:afterAutospacing="0" w:line="240" w:lineRule="auto"/>
              <w:ind w:right="197"/>
              <w:jc w:val="right"/>
              <w:textAlignment w:val="auto"/>
              <w:rPr>
                <w:rFonts w:ascii="Arial" w:hAnsi="Arial" w:cs="Arial"/>
                <w:b w:val="0"/>
                <w:sz w:val="18"/>
                <w:szCs w:val="18"/>
                <w:lang w:val="en-GB"/>
              </w:rPr>
            </w:pPr>
            <w:r>
              <w:rPr>
                <w:rFonts w:ascii="Arial" w:hAnsi="Arial" w:cs="Arial"/>
                <w:b w:val="0"/>
                <w:sz w:val="18"/>
                <w:szCs w:val="18"/>
                <w:lang w:val="en-GB"/>
              </w:rPr>
              <w:t>2,096</w:t>
            </w:r>
          </w:p>
        </w:tc>
        <w:tc>
          <w:tcPr>
            <w:tcW w:w="142" w:type="dxa"/>
            <w:tcBorders>
              <w:top w:val="nil"/>
              <w:left w:val="nil"/>
              <w:right w:val="nil"/>
            </w:tcBorders>
            <w:noWrap/>
            <w:tcMar>
              <w:top w:w="0" w:type="dxa"/>
              <w:left w:w="15" w:type="dxa"/>
              <w:bottom w:w="0" w:type="dxa"/>
              <w:right w:w="15" w:type="dxa"/>
            </w:tcMar>
            <w:vAlign w:val="bottom"/>
          </w:tcPr>
          <w:p w14:paraId="49CDD7AA" w14:textId="77777777" w:rsidR="008F17B6" w:rsidRPr="00BC2D1E" w:rsidRDefault="008F17B6" w:rsidP="008F17B6">
            <w:pPr>
              <w:spacing w:line="240" w:lineRule="auto"/>
              <w:jc w:val="right"/>
              <w:rPr>
                <w:rFonts w:ascii="Arial" w:eastAsia="Arial Unicode MS" w:hAnsi="Arial" w:cs="Arial"/>
                <w:sz w:val="18"/>
                <w:szCs w:val="18"/>
                <w:lang w:val="en-GB"/>
              </w:rPr>
            </w:pPr>
          </w:p>
        </w:tc>
        <w:tc>
          <w:tcPr>
            <w:tcW w:w="1276" w:type="dxa"/>
            <w:tcBorders>
              <w:top w:val="nil"/>
              <w:left w:val="nil"/>
              <w:bottom w:val="single" w:sz="4" w:space="0" w:color="auto"/>
              <w:right w:val="nil"/>
            </w:tcBorders>
            <w:tcMar>
              <w:top w:w="15" w:type="dxa"/>
              <w:left w:w="15" w:type="dxa"/>
              <w:bottom w:w="0" w:type="dxa"/>
              <w:right w:w="15" w:type="dxa"/>
            </w:tcMar>
            <w:vAlign w:val="bottom"/>
          </w:tcPr>
          <w:p w14:paraId="78D776C3" w14:textId="123FE1DC" w:rsidR="008F17B6" w:rsidRPr="00BC2D1E" w:rsidRDefault="008F17B6" w:rsidP="008F17B6">
            <w:pPr>
              <w:spacing w:line="240" w:lineRule="auto"/>
              <w:ind w:right="147"/>
              <w:jc w:val="right"/>
              <w:rPr>
                <w:rFonts w:ascii="Arial" w:eastAsia="Arial Unicode MS" w:hAnsi="Arial" w:cs="Arial"/>
                <w:sz w:val="18"/>
                <w:szCs w:val="18"/>
                <w:lang w:val="en-GB"/>
              </w:rPr>
            </w:pPr>
            <w:r>
              <w:rPr>
                <w:rFonts w:ascii="Arial" w:eastAsia="Arial Unicode MS" w:hAnsi="Arial" w:cs="Arial"/>
                <w:sz w:val="18"/>
                <w:szCs w:val="18"/>
                <w:lang w:val="en-GB" w:eastAsia="bg-BG"/>
              </w:rPr>
              <w:t>-</w:t>
            </w:r>
          </w:p>
        </w:tc>
        <w:tc>
          <w:tcPr>
            <w:tcW w:w="142" w:type="dxa"/>
            <w:tcBorders>
              <w:top w:val="nil"/>
              <w:left w:val="nil"/>
              <w:right w:val="nil"/>
            </w:tcBorders>
            <w:tcMar>
              <w:top w:w="0" w:type="dxa"/>
              <w:left w:w="15" w:type="dxa"/>
              <w:bottom w:w="0" w:type="dxa"/>
              <w:right w:w="15" w:type="dxa"/>
            </w:tcMar>
            <w:vAlign w:val="bottom"/>
          </w:tcPr>
          <w:p w14:paraId="7CF40727" w14:textId="77777777" w:rsidR="008F17B6" w:rsidRPr="00BC2D1E" w:rsidRDefault="008F17B6" w:rsidP="008F17B6">
            <w:pPr>
              <w:spacing w:line="240" w:lineRule="auto"/>
              <w:jc w:val="right"/>
              <w:rPr>
                <w:rFonts w:ascii="Arial" w:eastAsia="Arial Unicode MS" w:hAnsi="Arial" w:cs="Arial"/>
                <w:sz w:val="18"/>
                <w:szCs w:val="18"/>
                <w:lang w:val="en-GB"/>
              </w:rPr>
            </w:pPr>
          </w:p>
        </w:tc>
        <w:tc>
          <w:tcPr>
            <w:tcW w:w="1417" w:type="dxa"/>
            <w:tcBorders>
              <w:top w:val="nil"/>
              <w:left w:val="nil"/>
              <w:right w:val="nil"/>
            </w:tcBorders>
            <w:noWrap/>
            <w:tcMar>
              <w:top w:w="15" w:type="dxa"/>
              <w:left w:w="15" w:type="dxa"/>
              <w:bottom w:w="0" w:type="dxa"/>
              <w:right w:w="15" w:type="dxa"/>
            </w:tcMar>
            <w:vAlign w:val="bottom"/>
          </w:tcPr>
          <w:p w14:paraId="38C36E29" w14:textId="1EDE1CC8" w:rsidR="008F17B6" w:rsidRPr="00BC2D1E" w:rsidRDefault="008F17B6" w:rsidP="008F17B6">
            <w:pPr>
              <w:spacing w:line="240" w:lineRule="auto"/>
              <w:ind w:right="80"/>
              <w:jc w:val="right"/>
              <w:rPr>
                <w:rFonts w:ascii="Arial" w:eastAsia="Arial Unicode MS" w:hAnsi="Arial" w:cs="Arial"/>
                <w:sz w:val="18"/>
                <w:szCs w:val="18"/>
                <w:lang w:val="en-GB"/>
              </w:rPr>
            </w:pPr>
            <w:r>
              <w:rPr>
                <w:rFonts w:ascii="Arial" w:eastAsia="Arial Unicode MS" w:hAnsi="Arial" w:cs="Arial"/>
                <w:sz w:val="18"/>
                <w:szCs w:val="18"/>
                <w:lang w:val="en-GB" w:eastAsia="bg-BG"/>
              </w:rPr>
              <w:t>2,096</w:t>
            </w:r>
          </w:p>
        </w:tc>
      </w:tr>
      <w:tr w:rsidR="008F17B6" w:rsidRPr="00721663" w14:paraId="091C5AFC" w14:textId="77777777" w:rsidTr="00551604">
        <w:trPr>
          <w:trHeight w:val="300"/>
        </w:trPr>
        <w:tc>
          <w:tcPr>
            <w:tcW w:w="3544" w:type="dxa"/>
            <w:tcBorders>
              <w:top w:val="nil"/>
              <w:left w:val="nil"/>
              <w:bottom w:val="nil"/>
              <w:right w:val="nil"/>
            </w:tcBorders>
            <w:noWrap/>
            <w:tcMar>
              <w:top w:w="0" w:type="dxa"/>
              <w:left w:w="15" w:type="dxa"/>
              <w:bottom w:w="0" w:type="dxa"/>
              <w:right w:w="15" w:type="dxa"/>
            </w:tcMar>
            <w:vAlign w:val="bottom"/>
          </w:tcPr>
          <w:p w14:paraId="2E1A2597" w14:textId="77777777" w:rsidR="008F17B6" w:rsidRPr="00721663" w:rsidRDefault="008F17B6" w:rsidP="008F17B6">
            <w:pPr>
              <w:spacing w:line="240" w:lineRule="auto"/>
              <w:rPr>
                <w:rFonts w:ascii="Arial" w:eastAsia="Arial Unicode MS" w:hAnsi="Arial" w:cs="Arial"/>
                <w:b/>
                <w:bCs/>
                <w:sz w:val="18"/>
                <w:szCs w:val="18"/>
                <w:lang w:val="bg-BG"/>
              </w:rPr>
            </w:pPr>
            <w:r w:rsidRPr="00721663">
              <w:rPr>
                <w:rFonts w:ascii="Arial" w:hAnsi="Arial" w:cs="Arial"/>
                <w:b/>
                <w:bCs/>
                <w:sz w:val="18"/>
                <w:szCs w:val="18"/>
                <w:lang w:val="bg-BG"/>
              </w:rPr>
              <w:t>Общо:</w:t>
            </w:r>
          </w:p>
        </w:tc>
        <w:tc>
          <w:tcPr>
            <w:tcW w:w="1559" w:type="dxa"/>
            <w:tcBorders>
              <w:top w:val="single" w:sz="4" w:space="0" w:color="auto"/>
              <w:left w:val="nil"/>
              <w:bottom w:val="single" w:sz="4" w:space="0" w:color="auto"/>
              <w:right w:val="nil"/>
            </w:tcBorders>
            <w:noWrap/>
            <w:tcMar>
              <w:top w:w="0" w:type="dxa"/>
              <w:left w:w="15" w:type="dxa"/>
              <w:bottom w:w="0" w:type="dxa"/>
              <w:right w:w="15" w:type="dxa"/>
            </w:tcMar>
            <w:vAlign w:val="bottom"/>
          </w:tcPr>
          <w:p w14:paraId="3C20EB8C" w14:textId="6A6F5EEB" w:rsidR="008F17B6" w:rsidRPr="00BC2D1E" w:rsidRDefault="008F17B6" w:rsidP="008F17B6">
            <w:pPr>
              <w:pStyle w:val="xl40"/>
              <w:spacing w:before="0" w:beforeAutospacing="0" w:after="0" w:afterAutospacing="0" w:line="240" w:lineRule="auto"/>
              <w:ind w:right="197"/>
              <w:jc w:val="right"/>
              <w:textAlignment w:val="auto"/>
              <w:rPr>
                <w:rFonts w:ascii="Arial" w:hAnsi="Arial" w:cs="Arial"/>
                <w:bCs w:val="0"/>
                <w:sz w:val="18"/>
                <w:szCs w:val="18"/>
                <w:lang w:val="en-GB"/>
              </w:rPr>
            </w:pPr>
            <w:r>
              <w:rPr>
                <w:rFonts w:ascii="Arial" w:hAnsi="Arial" w:cs="Arial"/>
                <w:bCs w:val="0"/>
                <w:sz w:val="18"/>
                <w:szCs w:val="18"/>
                <w:lang w:val="en-GB"/>
              </w:rPr>
              <w:t>2,096</w:t>
            </w:r>
          </w:p>
        </w:tc>
        <w:tc>
          <w:tcPr>
            <w:tcW w:w="142" w:type="dxa"/>
            <w:tcBorders>
              <w:top w:val="nil"/>
              <w:left w:val="nil"/>
              <w:bottom w:val="nil"/>
              <w:right w:val="nil"/>
            </w:tcBorders>
            <w:noWrap/>
            <w:tcMar>
              <w:top w:w="0" w:type="dxa"/>
              <w:left w:w="15" w:type="dxa"/>
              <w:bottom w:w="0" w:type="dxa"/>
              <w:right w:w="15" w:type="dxa"/>
            </w:tcMar>
            <w:vAlign w:val="bottom"/>
          </w:tcPr>
          <w:p w14:paraId="55F91D98" w14:textId="77777777" w:rsidR="008F17B6" w:rsidRPr="00BC2D1E" w:rsidRDefault="008F17B6" w:rsidP="008F17B6">
            <w:pPr>
              <w:spacing w:line="240" w:lineRule="auto"/>
              <w:jc w:val="right"/>
              <w:rPr>
                <w:rFonts w:ascii="Arial" w:eastAsia="Arial Unicode MS" w:hAnsi="Arial" w:cs="Arial"/>
                <w:b/>
                <w:bCs/>
                <w:sz w:val="18"/>
                <w:szCs w:val="18"/>
                <w:lang w:val="en-GB"/>
              </w:rPr>
            </w:pPr>
          </w:p>
        </w:tc>
        <w:tc>
          <w:tcPr>
            <w:tcW w:w="1276"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50F131D9" w14:textId="0C438922" w:rsidR="008F17B6" w:rsidRPr="00BC2D1E" w:rsidRDefault="008F17B6" w:rsidP="008F17B6">
            <w:pPr>
              <w:tabs>
                <w:tab w:val="left" w:pos="1172"/>
              </w:tabs>
              <w:spacing w:line="240" w:lineRule="auto"/>
              <w:ind w:right="147"/>
              <w:jc w:val="right"/>
              <w:rPr>
                <w:rFonts w:ascii="Arial" w:eastAsia="Arial Unicode MS" w:hAnsi="Arial" w:cs="Arial"/>
                <w:b/>
                <w:bCs/>
                <w:sz w:val="18"/>
                <w:szCs w:val="18"/>
                <w:lang w:val="en-GB"/>
              </w:rPr>
            </w:pPr>
            <w:r>
              <w:rPr>
                <w:rFonts w:ascii="Arial" w:eastAsia="Arial Unicode MS" w:hAnsi="Arial" w:cs="Arial"/>
                <w:b/>
                <w:bCs/>
                <w:sz w:val="18"/>
                <w:szCs w:val="18"/>
                <w:lang w:val="en-GB" w:eastAsia="bg-BG"/>
              </w:rPr>
              <w:t>248</w:t>
            </w:r>
          </w:p>
        </w:tc>
        <w:tc>
          <w:tcPr>
            <w:tcW w:w="142" w:type="dxa"/>
            <w:tcBorders>
              <w:top w:val="nil"/>
              <w:left w:val="nil"/>
              <w:bottom w:val="nil"/>
              <w:right w:val="nil"/>
            </w:tcBorders>
            <w:tcMar>
              <w:top w:w="0" w:type="dxa"/>
              <w:left w:w="15" w:type="dxa"/>
              <w:bottom w:w="0" w:type="dxa"/>
              <w:right w:w="15" w:type="dxa"/>
            </w:tcMar>
            <w:vAlign w:val="bottom"/>
          </w:tcPr>
          <w:p w14:paraId="501245AC" w14:textId="77777777" w:rsidR="008F17B6" w:rsidRPr="00BC2D1E" w:rsidRDefault="008F17B6" w:rsidP="008F17B6">
            <w:pPr>
              <w:spacing w:line="240" w:lineRule="auto"/>
              <w:jc w:val="right"/>
              <w:rPr>
                <w:rFonts w:ascii="Arial" w:eastAsia="Arial Unicode MS" w:hAnsi="Arial" w:cs="Arial"/>
                <w:b/>
                <w:bCs/>
                <w:sz w:val="18"/>
                <w:szCs w:val="18"/>
                <w:lang w:val="en-GB"/>
              </w:rPr>
            </w:pPr>
          </w:p>
        </w:tc>
        <w:tc>
          <w:tcPr>
            <w:tcW w:w="1417"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6807AA47" w14:textId="4B694A3C" w:rsidR="008F17B6" w:rsidRPr="00BC2D1E" w:rsidRDefault="008F17B6" w:rsidP="008F17B6">
            <w:pPr>
              <w:spacing w:line="240" w:lineRule="auto"/>
              <w:ind w:right="80"/>
              <w:jc w:val="right"/>
              <w:rPr>
                <w:rFonts w:ascii="Arial" w:eastAsia="Arial Unicode MS" w:hAnsi="Arial" w:cs="Arial"/>
                <w:b/>
                <w:bCs/>
                <w:sz w:val="18"/>
                <w:szCs w:val="18"/>
                <w:lang w:val="en-GB"/>
              </w:rPr>
            </w:pPr>
            <w:r>
              <w:rPr>
                <w:rFonts w:ascii="Arial" w:eastAsia="Arial Unicode MS" w:hAnsi="Arial" w:cs="Arial"/>
                <w:b/>
                <w:bCs/>
                <w:sz w:val="18"/>
                <w:szCs w:val="18"/>
                <w:lang w:val="en-GB" w:eastAsia="bg-BG"/>
              </w:rPr>
              <w:t>2,344</w:t>
            </w:r>
          </w:p>
        </w:tc>
      </w:tr>
      <w:tr w:rsidR="00E07C4E" w:rsidRPr="00721663" w14:paraId="193DF0A1" w14:textId="77777777" w:rsidTr="00551604">
        <w:trPr>
          <w:trHeight w:val="300"/>
        </w:trPr>
        <w:tc>
          <w:tcPr>
            <w:tcW w:w="3544" w:type="dxa"/>
            <w:tcBorders>
              <w:top w:val="nil"/>
              <w:left w:val="nil"/>
              <w:bottom w:val="nil"/>
              <w:right w:val="nil"/>
            </w:tcBorders>
            <w:noWrap/>
            <w:vAlign w:val="bottom"/>
          </w:tcPr>
          <w:p w14:paraId="1FDB2C52" w14:textId="77777777" w:rsidR="00E07C4E" w:rsidRPr="00721663" w:rsidRDefault="00E07C4E" w:rsidP="00551604">
            <w:pPr>
              <w:spacing w:line="240" w:lineRule="auto"/>
              <w:rPr>
                <w:rFonts w:ascii="Arial" w:eastAsia="Arial Unicode MS" w:hAnsi="Arial" w:cs="Arial"/>
                <w:b/>
                <w:bCs/>
                <w:i/>
                <w:iCs/>
                <w:sz w:val="18"/>
                <w:szCs w:val="18"/>
                <w:lang w:val="bg-BG"/>
              </w:rPr>
            </w:pPr>
            <w:r w:rsidRPr="00721663">
              <w:rPr>
                <w:rFonts w:ascii="Arial" w:hAnsi="Arial" w:cs="Arial"/>
                <w:b/>
                <w:bCs/>
                <w:i/>
                <w:iCs/>
                <w:sz w:val="18"/>
                <w:szCs w:val="18"/>
                <w:lang w:val="bg-BG"/>
              </w:rPr>
              <w:t>Финансови пасиви</w:t>
            </w:r>
          </w:p>
        </w:tc>
        <w:tc>
          <w:tcPr>
            <w:tcW w:w="1559" w:type="dxa"/>
            <w:tcBorders>
              <w:top w:val="single" w:sz="4" w:space="0" w:color="auto"/>
              <w:left w:val="nil"/>
              <w:bottom w:val="nil"/>
              <w:right w:val="nil"/>
            </w:tcBorders>
            <w:noWrap/>
            <w:vAlign w:val="bottom"/>
          </w:tcPr>
          <w:p w14:paraId="36401729" w14:textId="77777777" w:rsidR="00E07C4E" w:rsidRPr="00721663" w:rsidRDefault="00E07C4E" w:rsidP="00551604">
            <w:pPr>
              <w:spacing w:line="240" w:lineRule="auto"/>
              <w:ind w:right="197"/>
              <w:jc w:val="right"/>
              <w:rPr>
                <w:rFonts w:ascii="Arial" w:eastAsia="Arial Unicode MS" w:hAnsi="Arial" w:cs="Arial"/>
                <w:sz w:val="18"/>
                <w:szCs w:val="18"/>
                <w:highlight w:val="yellow"/>
                <w:lang w:val="bg-BG"/>
              </w:rPr>
            </w:pPr>
          </w:p>
        </w:tc>
        <w:tc>
          <w:tcPr>
            <w:tcW w:w="142" w:type="dxa"/>
            <w:tcBorders>
              <w:top w:val="nil"/>
              <w:left w:val="nil"/>
              <w:bottom w:val="nil"/>
              <w:right w:val="nil"/>
            </w:tcBorders>
            <w:noWrap/>
            <w:tcMar>
              <w:top w:w="0" w:type="dxa"/>
              <w:left w:w="15" w:type="dxa"/>
              <w:bottom w:w="0" w:type="dxa"/>
              <w:right w:w="15" w:type="dxa"/>
            </w:tcMar>
            <w:vAlign w:val="bottom"/>
          </w:tcPr>
          <w:p w14:paraId="53C563C6" w14:textId="77777777" w:rsidR="00E07C4E" w:rsidRPr="00721663" w:rsidRDefault="00E07C4E" w:rsidP="00551604">
            <w:pPr>
              <w:spacing w:line="240" w:lineRule="auto"/>
              <w:jc w:val="right"/>
              <w:rPr>
                <w:rFonts w:ascii="Arial" w:eastAsia="Arial Unicode MS" w:hAnsi="Arial" w:cs="Arial"/>
                <w:sz w:val="18"/>
                <w:szCs w:val="18"/>
                <w:highlight w:val="yellow"/>
                <w:lang w:val="bg-BG"/>
              </w:rPr>
            </w:pPr>
          </w:p>
        </w:tc>
        <w:tc>
          <w:tcPr>
            <w:tcW w:w="1276" w:type="dxa"/>
            <w:tcBorders>
              <w:top w:val="nil"/>
              <w:left w:val="nil"/>
              <w:bottom w:val="nil"/>
              <w:right w:val="nil"/>
            </w:tcBorders>
            <w:tcMar>
              <w:top w:w="15" w:type="dxa"/>
              <w:left w:w="15" w:type="dxa"/>
              <w:bottom w:w="0" w:type="dxa"/>
              <w:right w:w="15" w:type="dxa"/>
            </w:tcMar>
            <w:vAlign w:val="bottom"/>
          </w:tcPr>
          <w:p w14:paraId="569181A3" w14:textId="77777777" w:rsidR="00E07C4E" w:rsidRPr="00721663" w:rsidRDefault="00E07C4E" w:rsidP="00551604">
            <w:pPr>
              <w:spacing w:line="240" w:lineRule="auto"/>
              <w:ind w:right="147"/>
              <w:jc w:val="right"/>
              <w:rPr>
                <w:rFonts w:ascii="Arial" w:eastAsia="Arial Unicode MS" w:hAnsi="Arial" w:cs="Arial"/>
                <w:sz w:val="18"/>
                <w:szCs w:val="18"/>
                <w:highlight w:val="yellow"/>
                <w:lang w:val="bg-BG"/>
              </w:rPr>
            </w:pPr>
          </w:p>
        </w:tc>
        <w:tc>
          <w:tcPr>
            <w:tcW w:w="142" w:type="dxa"/>
            <w:tcBorders>
              <w:top w:val="nil"/>
              <w:left w:val="nil"/>
              <w:bottom w:val="nil"/>
              <w:right w:val="nil"/>
            </w:tcBorders>
            <w:tcMar>
              <w:top w:w="0" w:type="dxa"/>
              <w:left w:w="15" w:type="dxa"/>
              <w:bottom w:w="0" w:type="dxa"/>
              <w:right w:w="15" w:type="dxa"/>
            </w:tcMar>
            <w:vAlign w:val="bottom"/>
          </w:tcPr>
          <w:p w14:paraId="27273AD5" w14:textId="77777777" w:rsidR="00E07C4E" w:rsidRPr="00721663" w:rsidRDefault="00E07C4E" w:rsidP="00551604">
            <w:pPr>
              <w:spacing w:line="240" w:lineRule="auto"/>
              <w:jc w:val="right"/>
              <w:rPr>
                <w:rFonts w:ascii="Arial" w:eastAsia="Arial Unicode MS" w:hAnsi="Arial" w:cs="Arial"/>
                <w:sz w:val="18"/>
                <w:szCs w:val="18"/>
                <w:highlight w:val="yellow"/>
                <w:lang w:val="bg-BG"/>
              </w:rPr>
            </w:pPr>
          </w:p>
        </w:tc>
        <w:tc>
          <w:tcPr>
            <w:tcW w:w="1417" w:type="dxa"/>
            <w:tcBorders>
              <w:top w:val="nil"/>
              <w:left w:val="nil"/>
              <w:bottom w:val="nil"/>
              <w:right w:val="nil"/>
            </w:tcBorders>
            <w:noWrap/>
            <w:tcMar>
              <w:top w:w="15" w:type="dxa"/>
              <w:left w:w="15" w:type="dxa"/>
              <w:bottom w:w="0" w:type="dxa"/>
              <w:right w:w="15" w:type="dxa"/>
            </w:tcMar>
            <w:vAlign w:val="bottom"/>
          </w:tcPr>
          <w:p w14:paraId="2708D772" w14:textId="77777777" w:rsidR="00E07C4E" w:rsidRPr="00721663" w:rsidRDefault="00E07C4E" w:rsidP="00551604">
            <w:pPr>
              <w:spacing w:line="240" w:lineRule="auto"/>
              <w:ind w:right="80"/>
              <w:jc w:val="right"/>
              <w:rPr>
                <w:rFonts w:ascii="Arial" w:eastAsia="Arial Unicode MS" w:hAnsi="Arial" w:cs="Arial"/>
                <w:sz w:val="18"/>
                <w:szCs w:val="18"/>
                <w:highlight w:val="yellow"/>
                <w:lang w:val="bg-BG"/>
              </w:rPr>
            </w:pPr>
          </w:p>
        </w:tc>
      </w:tr>
      <w:tr w:rsidR="008F17B6" w:rsidRPr="00721663" w14:paraId="5A60E767" w14:textId="77777777" w:rsidTr="00551604">
        <w:trPr>
          <w:trHeight w:val="300"/>
        </w:trPr>
        <w:tc>
          <w:tcPr>
            <w:tcW w:w="3544" w:type="dxa"/>
            <w:tcBorders>
              <w:top w:val="nil"/>
              <w:left w:val="nil"/>
              <w:bottom w:val="nil"/>
              <w:right w:val="nil"/>
            </w:tcBorders>
            <w:vAlign w:val="center"/>
          </w:tcPr>
          <w:p w14:paraId="78451D83" w14:textId="77777777" w:rsidR="008F17B6" w:rsidRPr="00721663" w:rsidRDefault="008F17B6" w:rsidP="008F17B6">
            <w:pPr>
              <w:spacing w:line="240" w:lineRule="auto"/>
              <w:jc w:val="left"/>
              <w:rPr>
                <w:rFonts w:ascii="Arial" w:eastAsia="Arial Unicode MS" w:hAnsi="Arial" w:cs="Arial"/>
                <w:sz w:val="18"/>
                <w:szCs w:val="18"/>
                <w:lang w:val="bg-BG"/>
              </w:rPr>
            </w:pPr>
            <w:r w:rsidRPr="00721663">
              <w:rPr>
                <w:rFonts w:ascii="Arial" w:hAnsi="Arial" w:cs="Arial"/>
                <w:sz w:val="18"/>
                <w:szCs w:val="18"/>
                <w:lang w:val="bg-BG"/>
              </w:rPr>
              <w:t xml:space="preserve">Заеми и лихви </w:t>
            </w:r>
          </w:p>
        </w:tc>
        <w:tc>
          <w:tcPr>
            <w:tcW w:w="1559" w:type="dxa"/>
            <w:tcBorders>
              <w:top w:val="nil"/>
              <w:left w:val="nil"/>
              <w:right w:val="nil"/>
            </w:tcBorders>
            <w:noWrap/>
            <w:vAlign w:val="bottom"/>
          </w:tcPr>
          <w:p w14:paraId="0E8A204E" w14:textId="71761F61" w:rsidR="008F17B6" w:rsidRPr="007C03DD" w:rsidRDefault="008F17B6" w:rsidP="008F17B6">
            <w:pPr>
              <w:pStyle w:val="xl40"/>
              <w:spacing w:before="0" w:beforeAutospacing="0" w:after="0" w:afterAutospacing="0" w:line="240" w:lineRule="auto"/>
              <w:ind w:right="197"/>
              <w:jc w:val="right"/>
              <w:textAlignment w:val="auto"/>
              <w:rPr>
                <w:rFonts w:ascii="Arial" w:hAnsi="Arial" w:cs="Arial"/>
                <w:b w:val="0"/>
                <w:sz w:val="18"/>
                <w:szCs w:val="18"/>
                <w:lang w:val="en-GB"/>
              </w:rPr>
            </w:pPr>
            <w:r>
              <w:rPr>
                <w:rFonts w:ascii="Arial" w:hAnsi="Arial" w:cs="Arial"/>
                <w:b w:val="0"/>
                <w:sz w:val="18"/>
                <w:szCs w:val="18"/>
                <w:lang w:val="en-GB"/>
              </w:rPr>
              <w:t>19,209</w:t>
            </w:r>
          </w:p>
        </w:tc>
        <w:tc>
          <w:tcPr>
            <w:tcW w:w="142" w:type="dxa"/>
            <w:tcBorders>
              <w:top w:val="nil"/>
              <w:left w:val="nil"/>
              <w:bottom w:val="nil"/>
              <w:right w:val="nil"/>
            </w:tcBorders>
            <w:noWrap/>
            <w:tcMar>
              <w:top w:w="0" w:type="dxa"/>
              <w:left w:w="15" w:type="dxa"/>
              <w:bottom w:w="0" w:type="dxa"/>
              <w:right w:w="15" w:type="dxa"/>
            </w:tcMar>
            <w:vAlign w:val="bottom"/>
          </w:tcPr>
          <w:p w14:paraId="64061199" w14:textId="77777777" w:rsidR="008F17B6" w:rsidRPr="007C03DD" w:rsidRDefault="008F17B6" w:rsidP="008F17B6">
            <w:pPr>
              <w:spacing w:line="240" w:lineRule="auto"/>
              <w:jc w:val="right"/>
              <w:rPr>
                <w:rFonts w:ascii="Arial" w:eastAsia="Arial Unicode MS" w:hAnsi="Arial" w:cs="Arial"/>
                <w:sz w:val="18"/>
                <w:szCs w:val="18"/>
                <w:lang w:val="en-GB"/>
              </w:rPr>
            </w:pPr>
          </w:p>
        </w:tc>
        <w:tc>
          <w:tcPr>
            <w:tcW w:w="1276" w:type="dxa"/>
            <w:tcBorders>
              <w:top w:val="nil"/>
              <w:left w:val="nil"/>
              <w:right w:val="nil"/>
            </w:tcBorders>
            <w:tcMar>
              <w:top w:w="0" w:type="dxa"/>
              <w:left w:w="15" w:type="dxa"/>
              <w:bottom w:w="0" w:type="dxa"/>
              <w:right w:w="15" w:type="dxa"/>
            </w:tcMar>
            <w:vAlign w:val="bottom"/>
          </w:tcPr>
          <w:p w14:paraId="57DDFC70" w14:textId="73F9751C" w:rsidR="008F17B6" w:rsidRPr="007C03DD" w:rsidRDefault="008F17B6" w:rsidP="008F17B6">
            <w:pPr>
              <w:spacing w:line="240" w:lineRule="auto"/>
              <w:ind w:right="147"/>
              <w:jc w:val="right"/>
              <w:rPr>
                <w:rFonts w:ascii="Arial" w:eastAsia="Arial Unicode MS" w:hAnsi="Arial" w:cs="Arial"/>
                <w:sz w:val="18"/>
                <w:szCs w:val="18"/>
                <w:lang w:val="en-GB"/>
              </w:rPr>
            </w:pPr>
            <w:r>
              <w:rPr>
                <w:rFonts w:ascii="Arial" w:eastAsia="Arial Unicode MS" w:hAnsi="Arial" w:cs="Arial"/>
                <w:sz w:val="18"/>
                <w:szCs w:val="18"/>
                <w:lang w:val="en-GB" w:eastAsia="bg-BG"/>
              </w:rPr>
              <w:t>792</w:t>
            </w:r>
          </w:p>
        </w:tc>
        <w:tc>
          <w:tcPr>
            <w:tcW w:w="142" w:type="dxa"/>
            <w:tcBorders>
              <w:top w:val="nil"/>
              <w:left w:val="nil"/>
              <w:bottom w:val="nil"/>
              <w:right w:val="nil"/>
            </w:tcBorders>
            <w:tcMar>
              <w:top w:w="0" w:type="dxa"/>
              <w:left w:w="15" w:type="dxa"/>
              <w:bottom w:w="0" w:type="dxa"/>
              <w:right w:w="15" w:type="dxa"/>
            </w:tcMar>
            <w:vAlign w:val="bottom"/>
          </w:tcPr>
          <w:p w14:paraId="7A2A3711" w14:textId="77777777" w:rsidR="008F17B6" w:rsidRPr="007C03DD" w:rsidRDefault="008F17B6" w:rsidP="008F17B6">
            <w:pPr>
              <w:spacing w:line="240" w:lineRule="auto"/>
              <w:jc w:val="right"/>
              <w:rPr>
                <w:rFonts w:ascii="Arial" w:eastAsia="Arial Unicode MS" w:hAnsi="Arial" w:cs="Arial"/>
                <w:sz w:val="18"/>
                <w:szCs w:val="18"/>
                <w:lang w:val="en-GB"/>
              </w:rPr>
            </w:pPr>
          </w:p>
        </w:tc>
        <w:tc>
          <w:tcPr>
            <w:tcW w:w="1417" w:type="dxa"/>
            <w:tcBorders>
              <w:top w:val="nil"/>
              <w:left w:val="nil"/>
              <w:bottom w:val="nil"/>
              <w:right w:val="nil"/>
            </w:tcBorders>
            <w:noWrap/>
            <w:tcMar>
              <w:top w:w="15" w:type="dxa"/>
              <w:left w:w="15" w:type="dxa"/>
              <w:bottom w:w="0" w:type="dxa"/>
              <w:right w:w="15" w:type="dxa"/>
            </w:tcMar>
            <w:vAlign w:val="bottom"/>
          </w:tcPr>
          <w:p w14:paraId="408F73F9" w14:textId="7F5E05B9" w:rsidR="008F17B6" w:rsidRPr="007C03DD" w:rsidRDefault="008F17B6" w:rsidP="008F17B6">
            <w:pPr>
              <w:spacing w:line="240" w:lineRule="auto"/>
              <w:ind w:right="80"/>
              <w:jc w:val="right"/>
              <w:rPr>
                <w:rFonts w:ascii="Arial" w:eastAsia="Arial Unicode MS" w:hAnsi="Arial" w:cs="Arial"/>
                <w:sz w:val="18"/>
                <w:szCs w:val="18"/>
                <w:lang w:val="en-GB"/>
              </w:rPr>
            </w:pPr>
            <w:r>
              <w:rPr>
                <w:rFonts w:ascii="Arial" w:eastAsia="Arial Unicode MS" w:hAnsi="Arial" w:cs="Arial"/>
                <w:sz w:val="18"/>
                <w:szCs w:val="18"/>
                <w:lang w:val="en-GB" w:eastAsia="bg-BG"/>
              </w:rPr>
              <w:t>20,001</w:t>
            </w:r>
          </w:p>
        </w:tc>
      </w:tr>
      <w:tr w:rsidR="008F17B6" w:rsidRPr="00721663" w14:paraId="4C4B0288" w14:textId="77777777" w:rsidTr="00551604">
        <w:trPr>
          <w:trHeight w:val="300"/>
        </w:trPr>
        <w:tc>
          <w:tcPr>
            <w:tcW w:w="3544" w:type="dxa"/>
            <w:tcBorders>
              <w:top w:val="nil"/>
              <w:left w:val="nil"/>
              <w:bottom w:val="nil"/>
              <w:right w:val="nil"/>
            </w:tcBorders>
            <w:vAlign w:val="center"/>
          </w:tcPr>
          <w:p w14:paraId="529A535A" w14:textId="77777777" w:rsidR="008F17B6" w:rsidRPr="00721663" w:rsidRDefault="008F17B6" w:rsidP="008F17B6">
            <w:pPr>
              <w:spacing w:line="240" w:lineRule="auto"/>
              <w:jc w:val="left"/>
              <w:rPr>
                <w:rFonts w:ascii="Arial" w:eastAsia="Arial Unicode MS" w:hAnsi="Arial" w:cs="Arial"/>
                <w:sz w:val="18"/>
                <w:szCs w:val="18"/>
                <w:lang w:val="bg-BG"/>
              </w:rPr>
            </w:pPr>
            <w:r w:rsidRPr="00721663">
              <w:rPr>
                <w:rFonts w:ascii="Arial" w:hAnsi="Arial" w:cs="Arial"/>
                <w:sz w:val="18"/>
                <w:szCs w:val="18"/>
                <w:lang w:val="bg-BG"/>
              </w:rPr>
              <w:t>Търговски задължения</w:t>
            </w:r>
          </w:p>
        </w:tc>
        <w:tc>
          <w:tcPr>
            <w:tcW w:w="1559" w:type="dxa"/>
            <w:tcBorders>
              <w:top w:val="nil"/>
              <w:left w:val="nil"/>
              <w:bottom w:val="single" w:sz="4" w:space="0" w:color="auto"/>
              <w:right w:val="nil"/>
            </w:tcBorders>
            <w:noWrap/>
            <w:vAlign w:val="bottom"/>
          </w:tcPr>
          <w:p w14:paraId="057C83FB" w14:textId="2B64BE82" w:rsidR="008F17B6" w:rsidRPr="007C03DD" w:rsidRDefault="008F17B6" w:rsidP="008F17B6">
            <w:pPr>
              <w:pStyle w:val="xl40"/>
              <w:spacing w:before="0" w:beforeAutospacing="0" w:after="0" w:afterAutospacing="0" w:line="240" w:lineRule="auto"/>
              <w:ind w:right="197"/>
              <w:jc w:val="right"/>
              <w:textAlignment w:val="auto"/>
              <w:rPr>
                <w:rFonts w:ascii="Arial" w:hAnsi="Arial" w:cs="Arial"/>
                <w:b w:val="0"/>
                <w:sz w:val="18"/>
                <w:szCs w:val="18"/>
                <w:lang w:val="en-GB"/>
              </w:rPr>
            </w:pPr>
            <w:r>
              <w:rPr>
                <w:rFonts w:ascii="Arial" w:hAnsi="Arial" w:cs="Arial"/>
                <w:b w:val="0"/>
                <w:sz w:val="18"/>
                <w:szCs w:val="18"/>
                <w:lang w:val="en-GB"/>
              </w:rPr>
              <w:t>-</w:t>
            </w:r>
          </w:p>
        </w:tc>
        <w:tc>
          <w:tcPr>
            <w:tcW w:w="142" w:type="dxa"/>
            <w:tcBorders>
              <w:top w:val="nil"/>
              <w:left w:val="nil"/>
              <w:bottom w:val="nil"/>
              <w:right w:val="nil"/>
            </w:tcBorders>
            <w:noWrap/>
            <w:tcMar>
              <w:top w:w="0" w:type="dxa"/>
              <w:left w:w="15" w:type="dxa"/>
              <w:bottom w:w="0" w:type="dxa"/>
              <w:right w:w="15" w:type="dxa"/>
            </w:tcMar>
            <w:vAlign w:val="bottom"/>
          </w:tcPr>
          <w:p w14:paraId="14DFF753" w14:textId="77777777" w:rsidR="008F17B6" w:rsidRPr="007C03DD" w:rsidRDefault="008F17B6" w:rsidP="008F17B6">
            <w:pPr>
              <w:spacing w:line="240" w:lineRule="auto"/>
              <w:jc w:val="right"/>
              <w:rPr>
                <w:rFonts w:ascii="Arial" w:eastAsia="Arial Unicode MS" w:hAnsi="Arial" w:cs="Arial"/>
                <w:sz w:val="18"/>
                <w:szCs w:val="18"/>
                <w:lang w:val="en-GB"/>
              </w:rPr>
            </w:pPr>
          </w:p>
        </w:tc>
        <w:tc>
          <w:tcPr>
            <w:tcW w:w="1276" w:type="dxa"/>
            <w:tcBorders>
              <w:top w:val="nil"/>
              <w:left w:val="nil"/>
              <w:bottom w:val="single" w:sz="4" w:space="0" w:color="auto"/>
              <w:right w:val="nil"/>
            </w:tcBorders>
            <w:tcMar>
              <w:top w:w="0" w:type="dxa"/>
              <w:left w:w="15" w:type="dxa"/>
              <w:bottom w:w="0" w:type="dxa"/>
              <w:right w:w="15" w:type="dxa"/>
            </w:tcMar>
            <w:vAlign w:val="bottom"/>
          </w:tcPr>
          <w:p w14:paraId="6F1FD509" w14:textId="75EE16CE" w:rsidR="008F17B6" w:rsidRPr="007C03DD" w:rsidRDefault="008F17B6" w:rsidP="008F17B6">
            <w:pPr>
              <w:spacing w:line="240" w:lineRule="auto"/>
              <w:ind w:right="147"/>
              <w:jc w:val="right"/>
              <w:rPr>
                <w:rFonts w:ascii="Arial" w:eastAsia="Arial Unicode MS" w:hAnsi="Arial" w:cs="Arial"/>
                <w:sz w:val="18"/>
                <w:szCs w:val="18"/>
                <w:lang w:val="en-GB"/>
              </w:rPr>
            </w:pPr>
            <w:r>
              <w:rPr>
                <w:rFonts w:ascii="Arial" w:eastAsia="Arial Unicode MS" w:hAnsi="Arial" w:cs="Arial"/>
                <w:sz w:val="18"/>
                <w:szCs w:val="18"/>
                <w:lang w:val="en-GB" w:eastAsia="bg-BG"/>
              </w:rPr>
              <w:t>78</w:t>
            </w:r>
          </w:p>
        </w:tc>
        <w:tc>
          <w:tcPr>
            <w:tcW w:w="142" w:type="dxa"/>
            <w:tcBorders>
              <w:top w:val="nil"/>
              <w:left w:val="nil"/>
              <w:bottom w:val="nil"/>
              <w:right w:val="nil"/>
            </w:tcBorders>
            <w:tcMar>
              <w:top w:w="0" w:type="dxa"/>
              <w:left w:w="15" w:type="dxa"/>
              <w:bottom w:w="0" w:type="dxa"/>
              <w:right w:w="15" w:type="dxa"/>
            </w:tcMar>
            <w:vAlign w:val="bottom"/>
          </w:tcPr>
          <w:p w14:paraId="333CA8B7" w14:textId="77777777" w:rsidR="008F17B6" w:rsidRPr="007C03DD" w:rsidRDefault="008F17B6" w:rsidP="008F17B6">
            <w:pPr>
              <w:spacing w:line="240" w:lineRule="auto"/>
              <w:jc w:val="right"/>
              <w:rPr>
                <w:rFonts w:ascii="Arial" w:eastAsia="Arial Unicode MS" w:hAnsi="Arial" w:cs="Arial"/>
                <w:sz w:val="18"/>
                <w:szCs w:val="18"/>
                <w:lang w:val="en-GB"/>
              </w:rPr>
            </w:pPr>
          </w:p>
        </w:tc>
        <w:tc>
          <w:tcPr>
            <w:tcW w:w="1417" w:type="dxa"/>
            <w:tcBorders>
              <w:top w:val="nil"/>
              <w:left w:val="nil"/>
              <w:bottom w:val="single" w:sz="4" w:space="0" w:color="auto"/>
              <w:right w:val="nil"/>
            </w:tcBorders>
            <w:noWrap/>
            <w:tcMar>
              <w:top w:w="15" w:type="dxa"/>
              <w:left w:w="15" w:type="dxa"/>
              <w:bottom w:w="0" w:type="dxa"/>
              <w:right w:w="15" w:type="dxa"/>
            </w:tcMar>
            <w:vAlign w:val="bottom"/>
          </w:tcPr>
          <w:p w14:paraId="3921446E" w14:textId="41042B52" w:rsidR="008F17B6" w:rsidRPr="007C03DD" w:rsidRDefault="008F17B6" w:rsidP="008F17B6">
            <w:pPr>
              <w:spacing w:line="240" w:lineRule="auto"/>
              <w:ind w:right="80"/>
              <w:jc w:val="right"/>
              <w:rPr>
                <w:rFonts w:ascii="Arial" w:eastAsia="Arial Unicode MS" w:hAnsi="Arial" w:cs="Arial"/>
                <w:sz w:val="18"/>
                <w:szCs w:val="18"/>
                <w:lang w:val="en-GB"/>
              </w:rPr>
            </w:pPr>
            <w:r>
              <w:rPr>
                <w:rFonts w:ascii="Arial" w:eastAsia="Arial Unicode MS" w:hAnsi="Arial" w:cs="Arial"/>
                <w:sz w:val="18"/>
                <w:szCs w:val="18"/>
                <w:lang w:val="en-GB" w:eastAsia="bg-BG"/>
              </w:rPr>
              <w:t>78</w:t>
            </w:r>
          </w:p>
        </w:tc>
      </w:tr>
      <w:tr w:rsidR="008F17B6" w:rsidRPr="00721663" w14:paraId="0EB0988E" w14:textId="77777777" w:rsidTr="00551604">
        <w:trPr>
          <w:trHeight w:val="300"/>
        </w:trPr>
        <w:tc>
          <w:tcPr>
            <w:tcW w:w="3544" w:type="dxa"/>
            <w:tcBorders>
              <w:top w:val="nil"/>
              <w:left w:val="nil"/>
              <w:bottom w:val="nil"/>
              <w:right w:val="nil"/>
            </w:tcBorders>
            <w:noWrap/>
            <w:tcMar>
              <w:top w:w="0" w:type="dxa"/>
              <w:left w:w="15" w:type="dxa"/>
              <w:bottom w:w="0" w:type="dxa"/>
              <w:right w:w="15" w:type="dxa"/>
            </w:tcMar>
            <w:vAlign w:val="bottom"/>
          </w:tcPr>
          <w:p w14:paraId="74ACFBB0" w14:textId="77777777" w:rsidR="008F17B6" w:rsidRPr="00721663" w:rsidRDefault="008F17B6" w:rsidP="008F17B6">
            <w:pPr>
              <w:spacing w:line="240" w:lineRule="auto"/>
              <w:rPr>
                <w:rFonts w:ascii="Arial" w:eastAsia="Arial Unicode MS" w:hAnsi="Arial" w:cs="Arial"/>
                <w:b/>
                <w:bCs/>
                <w:sz w:val="18"/>
                <w:szCs w:val="18"/>
                <w:lang w:val="bg-BG"/>
              </w:rPr>
            </w:pPr>
            <w:r w:rsidRPr="00721663">
              <w:rPr>
                <w:rFonts w:ascii="Arial" w:hAnsi="Arial" w:cs="Arial"/>
                <w:b/>
                <w:bCs/>
                <w:sz w:val="18"/>
                <w:szCs w:val="18"/>
                <w:lang w:val="bg-BG"/>
              </w:rPr>
              <w:t>Общо:</w:t>
            </w:r>
          </w:p>
        </w:tc>
        <w:tc>
          <w:tcPr>
            <w:tcW w:w="1559" w:type="dxa"/>
            <w:tcBorders>
              <w:top w:val="single" w:sz="4" w:space="0" w:color="auto"/>
              <w:left w:val="nil"/>
              <w:bottom w:val="double" w:sz="4" w:space="0" w:color="auto"/>
              <w:right w:val="nil"/>
            </w:tcBorders>
            <w:noWrap/>
            <w:tcMar>
              <w:top w:w="0" w:type="dxa"/>
              <w:left w:w="15" w:type="dxa"/>
              <w:bottom w:w="0" w:type="dxa"/>
              <w:right w:w="15" w:type="dxa"/>
            </w:tcMar>
            <w:vAlign w:val="bottom"/>
          </w:tcPr>
          <w:p w14:paraId="2B407870" w14:textId="61C59FF2" w:rsidR="008F17B6" w:rsidRPr="007C03DD" w:rsidRDefault="008F17B6" w:rsidP="008F17B6">
            <w:pPr>
              <w:pStyle w:val="xl40"/>
              <w:spacing w:before="0" w:beforeAutospacing="0" w:after="0" w:afterAutospacing="0" w:line="240" w:lineRule="auto"/>
              <w:ind w:right="197"/>
              <w:jc w:val="right"/>
              <w:textAlignment w:val="auto"/>
              <w:rPr>
                <w:rFonts w:ascii="Arial" w:eastAsia="Times New Roman" w:hAnsi="Arial" w:cs="Arial"/>
                <w:bCs w:val="0"/>
                <w:sz w:val="18"/>
                <w:szCs w:val="18"/>
                <w:lang w:val="en-GB"/>
              </w:rPr>
            </w:pPr>
            <w:r>
              <w:rPr>
                <w:rFonts w:ascii="Arial" w:eastAsia="Times New Roman" w:hAnsi="Arial" w:cs="Arial"/>
                <w:bCs w:val="0"/>
                <w:sz w:val="18"/>
                <w:szCs w:val="18"/>
                <w:lang w:val="en-GB"/>
              </w:rPr>
              <w:t>19,209</w:t>
            </w:r>
          </w:p>
        </w:tc>
        <w:tc>
          <w:tcPr>
            <w:tcW w:w="142" w:type="dxa"/>
            <w:tcBorders>
              <w:top w:val="nil"/>
              <w:left w:val="nil"/>
              <w:bottom w:val="nil"/>
              <w:right w:val="nil"/>
            </w:tcBorders>
            <w:noWrap/>
            <w:tcMar>
              <w:top w:w="0" w:type="dxa"/>
              <w:left w:w="15" w:type="dxa"/>
              <w:bottom w:w="0" w:type="dxa"/>
              <w:right w:w="15" w:type="dxa"/>
            </w:tcMar>
            <w:vAlign w:val="bottom"/>
          </w:tcPr>
          <w:p w14:paraId="635930EF" w14:textId="77777777" w:rsidR="008F17B6" w:rsidRPr="007C03DD" w:rsidRDefault="008F17B6" w:rsidP="008F17B6">
            <w:pPr>
              <w:spacing w:line="240" w:lineRule="auto"/>
              <w:jc w:val="right"/>
              <w:rPr>
                <w:rFonts w:ascii="Arial" w:eastAsia="Arial Unicode MS" w:hAnsi="Arial" w:cs="Arial"/>
                <w:b/>
                <w:bCs/>
                <w:sz w:val="18"/>
                <w:szCs w:val="18"/>
                <w:lang w:val="en-GB"/>
              </w:rPr>
            </w:pPr>
          </w:p>
        </w:tc>
        <w:tc>
          <w:tcPr>
            <w:tcW w:w="1276" w:type="dxa"/>
            <w:tcBorders>
              <w:top w:val="single" w:sz="4" w:space="0" w:color="auto"/>
              <w:left w:val="nil"/>
              <w:bottom w:val="double" w:sz="4" w:space="0" w:color="auto"/>
              <w:right w:val="nil"/>
            </w:tcBorders>
            <w:noWrap/>
            <w:tcMar>
              <w:top w:w="15" w:type="dxa"/>
              <w:left w:w="15" w:type="dxa"/>
              <w:bottom w:w="0" w:type="dxa"/>
              <w:right w:w="15" w:type="dxa"/>
            </w:tcMar>
            <w:vAlign w:val="bottom"/>
          </w:tcPr>
          <w:p w14:paraId="6FB72F44" w14:textId="144BE1B9" w:rsidR="008F17B6" w:rsidRPr="007C03DD" w:rsidRDefault="008F17B6" w:rsidP="008F17B6">
            <w:pPr>
              <w:spacing w:line="240" w:lineRule="auto"/>
              <w:ind w:right="147"/>
              <w:jc w:val="right"/>
              <w:rPr>
                <w:rFonts w:ascii="Arial" w:eastAsia="Arial Unicode MS" w:hAnsi="Arial" w:cs="Arial"/>
                <w:b/>
                <w:bCs/>
                <w:sz w:val="18"/>
                <w:szCs w:val="18"/>
                <w:lang w:val="en-GB"/>
              </w:rPr>
            </w:pPr>
            <w:r>
              <w:rPr>
                <w:rFonts w:ascii="Arial" w:eastAsia="Arial Unicode MS" w:hAnsi="Arial" w:cs="Arial"/>
                <w:b/>
                <w:bCs/>
                <w:sz w:val="18"/>
                <w:szCs w:val="18"/>
                <w:lang w:val="en-GB" w:eastAsia="bg-BG"/>
              </w:rPr>
              <w:t>870</w:t>
            </w:r>
          </w:p>
        </w:tc>
        <w:tc>
          <w:tcPr>
            <w:tcW w:w="142" w:type="dxa"/>
            <w:tcBorders>
              <w:top w:val="nil"/>
              <w:left w:val="nil"/>
              <w:bottom w:val="nil"/>
              <w:right w:val="nil"/>
            </w:tcBorders>
            <w:tcMar>
              <w:top w:w="0" w:type="dxa"/>
              <w:left w:w="15" w:type="dxa"/>
              <w:bottom w:w="0" w:type="dxa"/>
              <w:right w:w="15" w:type="dxa"/>
            </w:tcMar>
            <w:vAlign w:val="bottom"/>
          </w:tcPr>
          <w:p w14:paraId="619D39DD" w14:textId="77777777" w:rsidR="008F17B6" w:rsidRPr="007C03DD" w:rsidRDefault="008F17B6" w:rsidP="008F17B6">
            <w:pPr>
              <w:spacing w:line="240" w:lineRule="auto"/>
              <w:jc w:val="right"/>
              <w:rPr>
                <w:rFonts w:ascii="Arial" w:eastAsia="Arial Unicode MS" w:hAnsi="Arial" w:cs="Arial"/>
                <w:b/>
                <w:bCs/>
                <w:sz w:val="18"/>
                <w:szCs w:val="18"/>
                <w:lang w:val="en-GB"/>
              </w:rPr>
            </w:pPr>
          </w:p>
        </w:tc>
        <w:tc>
          <w:tcPr>
            <w:tcW w:w="1417" w:type="dxa"/>
            <w:tcBorders>
              <w:top w:val="single" w:sz="4" w:space="0" w:color="auto"/>
              <w:left w:val="nil"/>
              <w:bottom w:val="double" w:sz="4" w:space="0" w:color="auto"/>
              <w:right w:val="nil"/>
            </w:tcBorders>
            <w:noWrap/>
            <w:tcMar>
              <w:top w:w="15" w:type="dxa"/>
              <w:left w:w="15" w:type="dxa"/>
              <w:bottom w:w="0" w:type="dxa"/>
              <w:right w:w="15" w:type="dxa"/>
            </w:tcMar>
            <w:vAlign w:val="bottom"/>
          </w:tcPr>
          <w:p w14:paraId="67C1BE5B" w14:textId="5077433D" w:rsidR="008F17B6" w:rsidRPr="007C03DD" w:rsidRDefault="008F17B6" w:rsidP="008F17B6">
            <w:pPr>
              <w:pStyle w:val="xl40"/>
              <w:spacing w:before="0" w:beforeAutospacing="0" w:after="0" w:afterAutospacing="0" w:line="240" w:lineRule="auto"/>
              <w:ind w:right="80"/>
              <w:jc w:val="right"/>
              <w:textAlignment w:val="auto"/>
              <w:rPr>
                <w:rFonts w:ascii="Arial" w:hAnsi="Arial" w:cs="Arial"/>
                <w:bCs w:val="0"/>
                <w:sz w:val="18"/>
                <w:szCs w:val="18"/>
                <w:lang w:val="en-GB"/>
              </w:rPr>
            </w:pPr>
            <w:r>
              <w:rPr>
                <w:rFonts w:ascii="Arial" w:hAnsi="Arial" w:cs="Arial"/>
                <w:bCs w:val="0"/>
                <w:sz w:val="18"/>
                <w:szCs w:val="18"/>
                <w:lang w:val="en-GB"/>
              </w:rPr>
              <w:t>20,079</w:t>
            </w:r>
          </w:p>
        </w:tc>
      </w:tr>
    </w:tbl>
    <w:p w14:paraId="27D93DDA" w14:textId="77777777" w:rsidR="00E07C4E" w:rsidRPr="00721663" w:rsidRDefault="00E07C4E" w:rsidP="00E07C4E">
      <w:pPr>
        <w:pStyle w:val="Notesbodytext"/>
        <w:spacing w:after="0"/>
        <w:jc w:val="both"/>
        <w:rPr>
          <w:rFonts w:ascii="Arial" w:hAnsi="Arial"/>
          <w:b/>
          <w:i/>
          <w:lang w:val="bg-BG"/>
        </w:rPr>
      </w:pPr>
    </w:p>
    <w:tbl>
      <w:tblPr>
        <w:tblW w:w="8080" w:type="dxa"/>
        <w:tblLayout w:type="fixed"/>
        <w:tblCellMar>
          <w:left w:w="0" w:type="dxa"/>
          <w:right w:w="0" w:type="dxa"/>
        </w:tblCellMar>
        <w:tblLook w:val="0000" w:firstRow="0" w:lastRow="0" w:firstColumn="0" w:lastColumn="0" w:noHBand="0" w:noVBand="0"/>
      </w:tblPr>
      <w:tblGrid>
        <w:gridCol w:w="3544"/>
        <w:gridCol w:w="1559"/>
        <w:gridCol w:w="142"/>
        <w:gridCol w:w="1276"/>
        <w:gridCol w:w="142"/>
        <w:gridCol w:w="1417"/>
      </w:tblGrid>
      <w:tr w:rsidR="00E07C4E" w:rsidRPr="00721663" w14:paraId="649AFC89" w14:textId="77777777" w:rsidTr="00551604">
        <w:trPr>
          <w:trHeight w:val="301"/>
        </w:trPr>
        <w:tc>
          <w:tcPr>
            <w:tcW w:w="3544" w:type="dxa"/>
            <w:tcBorders>
              <w:top w:val="nil"/>
              <w:left w:val="nil"/>
              <w:bottom w:val="nil"/>
              <w:right w:val="nil"/>
            </w:tcBorders>
            <w:noWrap/>
            <w:vAlign w:val="bottom"/>
          </w:tcPr>
          <w:p w14:paraId="5426ABDC" w14:textId="7C8244BC" w:rsidR="00E07C4E" w:rsidRPr="00721663" w:rsidRDefault="00E07C4E" w:rsidP="00551604">
            <w:pPr>
              <w:spacing w:line="240" w:lineRule="auto"/>
              <w:jc w:val="left"/>
              <w:rPr>
                <w:rFonts w:ascii="Arial" w:eastAsia="Arial Unicode MS" w:hAnsi="Arial" w:cs="Arial"/>
                <w:b/>
                <w:bCs/>
                <w:sz w:val="18"/>
                <w:szCs w:val="18"/>
                <w:lang w:val="bg-BG"/>
              </w:rPr>
            </w:pPr>
            <w:r w:rsidRPr="00721663">
              <w:rPr>
                <w:rFonts w:ascii="Arial" w:hAnsi="Arial" w:cs="Arial"/>
                <w:sz w:val="18"/>
                <w:szCs w:val="18"/>
                <w:lang w:val="bg-BG"/>
              </w:rPr>
              <w:br w:type="page"/>
            </w:r>
            <w:r w:rsidR="00144930">
              <w:rPr>
                <w:rFonts w:ascii="Arial" w:hAnsi="Arial" w:cs="Arial"/>
                <w:b/>
                <w:bCs/>
                <w:sz w:val="18"/>
                <w:szCs w:val="18"/>
                <w:lang w:val="bg-BG"/>
              </w:rPr>
              <w:t>31 декември 2016</w:t>
            </w:r>
            <w:r w:rsidRPr="00721663">
              <w:rPr>
                <w:rFonts w:ascii="Arial" w:hAnsi="Arial" w:cs="Arial"/>
                <w:b/>
                <w:bCs/>
                <w:sz w:val="18"/>
                <w:szCs w:val="18"/>
                <w:lang w:val="bg-BG"/>
              </w:rPr>
              <w:t xml:space="preserve"> г.</w:t>
            </w:r>
          </w:p>
        </w:tc>
        <w:tc>
          <w:tcPr>
            <w:tcW w:w="1559" w:type="dxa"/>
            <w:tcBorders>
              <w:top w:val="nil"/>
              <w:left w:val="nil"/>
              <w:bottom w:val="single" w:sz="4" w:space="0" w:color="auto"/>
              <w:right w:val="nil"/>
            </w:tcBorders>
            <w:vAlign w:val="bottom"/>
          </w:tcPr>
          <w:p w14:paraId="6A9C04B1" w14:textId="77777777" w:rsidR="00E07C4E" w:rsidRPr="00721663" w:rsidRDefault="00E07C4E" w:rsidP="00551604">
            <w:pPr>
              <w:spacing w:line="240" w:lineRule="auto"/>
              <w:jc w:val="right"/>
              <w:rPr>
                <w:rFonts w:ascii="Arial" w:eastAsia="Arial Unicode MS" w:hAnsi="Arial" w:cs="Arial"/>
                <w:b/>
                <w:bCs/>
                <w:sz w:val="18"/>
                <w:szCs w:val="18"/>
                <w:lang w:val="bg-BG"/>
              </w:rPr>
            </w:pPr>
            <w:r w:rsidRPr="00721663">
              <w:rPr>
                <w:rFonts w:ascii="Arial" w:eastAsia="Arial Unicode MS" w:hAnsi="Arial" w:cs="Arial"/>
                <w:b/>
                <w:bCs/>
                <w:sz w:val="18"/>
                <w:szCs w:val="18"/>
                <w:lang w:val="bg-BG"/>
              </w:rPr>
              <w:t>Плаващ лихвен процент</w:t>
            </w:r>
          </w:p>
        </w:tc>
        <w:tc>
          <w:tcPr>
            <w:tcW w:w="142" w:type="dxa"/>
            <w:tcBorders>
              <w:top w:val="nil"/>
              <w:left w:val="nil"/>
              <w:bottom w:val="nil"/>
              <w:right w:val="nil"/>
            </w:tcBorders>
            <w:tcMar>
              <w:top w:w="0" w:type="dxa"/>
              <w:left w:w="15" w:type="dxa"/>
              <w:bottom w:w="0" w:type="dxa"/>
              <w:right w:w="15" w:type="dxa"/>
            </w:tcMar>
            <w:vAlign w:val="bottom"/>
          </w:tcPr>
          <w:p w14:paraId="7E6CD81C"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276" w:type="dxa"/>
            <w:tcBorders>
              <w:top w:val="nil"/>
              <w:left w:val="nil"/>
              <w:bottom w:val="single" w:sz="4" w:space="0" w:color="auto"/>
              <w:right w:val="nil"/>
            </w:tcBorders>
            <w:tcMar>
              <w:top w:w="0" w:type="dxa"/>
              <w:left w:w="15" w:type="dxa"/>
              <w:bottom w:w="0" w:type="dxa"/>
              <w:right w:w="15" w:type="dxa"/>
            </w:tcMar>
            <w:vAlign w:val="bottom"/>
          </w:tcPr>
          <w:p w14:paraId="30AB93E6" w14:textId="77777777" w:rsidR="00E07C4E" w:rsidRPr="00721663" w:rsidRDefault="00E07C4E" w:rsidP="00551604">
            <w:pPr>
              <w:spacing w:line="240" w:lineRule="auto"/>
              <w:jc w:val="right"/>
              <w:rPr>
                <w:rFonts w:ascii="Arial" w:eastAsia="Arial Unicode MS" w:hAnsi="Arial" w:cs="Arial"/>
                <w:b/>
                <w:bCs/>
                <w:sz w:val="18"/>
                <w:szCs w:val="18"/>
                <w:lang w:val="bg-BG"/>
              </w:rPr>
            </w:pPr>
            <w:r w:rsidRPr="00721663">
              <w:rPr>
                <w:rFonts w:ascii="Arial" w:hAnsi="Arial" w:cs="Arial"/>
                <w:b/>
                <w:bCs/>
                <w:sz w:val="18"/>
                <w:szCs w:val="18"/>
                <w:lang w:val="bg-BG"/>
              </w:rPr>
              <w:t>Безлихвени</w:t>
            </w:r>
          </w:p>
        </w:tc>
        <w:tc>
          <w:tcPr>
            <w:tcW w:w="142" w:type="dxa"/>
            <w:tcBorders>
              <w:top w:val="nil"/>
              <w:left w:val="nil"/>
              <w:bottom w:val="nil"/>
              <w:right w:val="nil"/>
            </w:tcBorders>
            <w:tcMar>
              <w:top w:w="0" w:type="dxa"/>
              <w:left w:w="15" w:type="dxa"/>
              <w:bottom w:w="0" w:type="dxa"/>
              <w:right w:w="15" w:type="dxa"/>
            </w:tcMar>
            <w:vAlign w:val="bottom"/>
          </w:tcPr>
          <w:p w14:paraId="41559D6B"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417" w:type="dxa"/>
            <w:tcBorders>
              <w:top w:val="nil"/>
              <w:left w:val="nil"/>
              <w:bottom w:val="single" w:sz="4" w:space="0" w:color="auto"/>
              <w:right w:val="nil"/>
            </w:tcBorders>
            <w:tcMar>
              <w:top w:w="15" w:type="dxa"/>
              <w:left w:w="15" w:type="dxa"/>
              <w:bottom w:w="0" w:type="dxa"/>
              <w:right w:w="15" w:type="dxa"/>
            </w:tcMar>
            <w:vAlign w:val="bottom"/>
          </w:tcPr>
          <w:p w14:paraId="0C84FAED" w14:textId="77777777" w:rsidR="00E07C4E" w:rsidRPr="00721663" w:rsidRDefault="00E07C4E" w:rsidP="00551604">
            <w:pPr>
              <w:spacing w:line="240" w:lineRule="auto"/>
              <w:jc w:val="right"/>
              <w:rPr>
                <w:rFonts w:ascii="Arial" w:eastAsia="Arial Unicode MS" w:hAnsi="Arial" w:cs="Arial"/>
                <w:b/>
                <w:bCs/>
                <w:sz w:val="18"/>
                <w:szCs w:val="18"/>
                <w:lang w:val="bg-BG"/>
              </w:rPr>
            </w:pPr>
            <w:r w:rsidRPr="00721663">
              <w:rPr>
                <w:rFonts w:ascii="Arial" w:hAnsi="Arial" w:cs="Arial"/>
                <w:b/>
                <w:bCs/>
                <w:sz w:val="18"/>
                <w:szCs w:val="18"/>
                <w:lang w:val="bg-BG"/>
              </w:rPr>
              <w:t>Общо</w:t>
            </w:r>
          </w:p>
        </w:tc>
      </w:tr>
      <w:tr w:rsidR="00E07C4E" w:rsidRPr="00721663" w14:paraId="30BB34BD" w14:textId="77777777" w:rsidTr="00551604">
        <w:trPr>
          <w:trHeight w:hRule="exact" w:val="284"/>
        </w:trPr>
        <w:tc>
          <w:tcPr>
            <w:tcW w:w="3544" w:type="dxa"/>
            <w:tcBorders>
              <w:top w:val="nil"/>
              <w:left w:val="nil"/>
              <w:bottom w:val="nil"/>
              <w:right w:val="nil"/>
            </w:tcBorders>
            <w:noWrap/>
            <w:vAlign w:val="bottom"/>
          </w:tcPr>
          <w:p w14:paraId="28D6F494" w14:textId="77777777" w:rsidR="00E07C4E" w:rsidRPr="00721663" w:rsidRDefault="00E07C4E" w:rsidP="00551604">
            <w:pPr>
              <w:spacing w:line="240" w:lineRule="auto"/>
              <w:jc w:val="center"/>
              <w:rPr>
                <w:rFonts w:ascii="Arial" w:eastAsia="Arial Unicode MS" w:hAnsi="Arial" w:cs="Arial"/>
                <w:sz w:val="18"/>
                <w:szCs w:val="18"/>
                <w:lang w:val="bg-BG"/>
              </w:rPr>
            </w:pPr>
          </w:p>
        </w:tc>
        <w:tc>
          <w:tcPr>
            <w:tcW w:w="1559" w:type="dxa"/>
            <w:tcBorders>
              <w:top w:val="single" w:sz="4" w:space="0" w:color="auto"/>
              <w:left w:val="nil"/>
              <w:right w:val="nil"/>
            </w:tcBorders>
            <w:noWrap/>
            <w:vAlign w:val="bottom"/>
          </w:tcPr>
          <w:p w14:paraId="59719F51"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142" w:type="dxa"/>
            <w:tcBorders>
              <w:top w:val="nil"/>
              <w:left w:val="nil"/>
              <w:right w:val="nil"/>
            </w:tcBorders>
            <w:noWrap/>
            <w:tcMar>
              <w:top w:w="0" w:type="dxa"/>
              <w:left w:w="15" w:type="dxa"/>
              <w:bottom w:w="0" w:type="dxa"/>
              <w:right w:w="15" w:type="dxa"/>
            </w:tcMar>
            <w:vAlign w:val="bottom"/>
          </w:tcPr>
          <w:p w14:paraId="76F9C030"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276" w:type="dxa"/>
            <w:tcBorders>
              <w:top w:val="single" w:sz="4" w:space="0" w:color="auto"/>
              <w:left w:val="nil"/>
              <w:right w:val="nil"/>
            </w:tcBorders>
            <w:tcMar>
              <w:top w:w="0" w:type="dxa"/>
              <w:left w:w="15" w:type="dxa"/>
              <w:bottom w:w="0" w:type="dxa"/>
              <w:right w:w="15" w:type="dxa"/>
            </w:tcMar>
            <w:vAlign w:val="bottom"/>
          </w:tcPr>
          <w:p w14:paraId="664EE281"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142" w:type="dxa"/>
            <w:tcBorders>
              <w:top w:val="nil"/>
              <w:left w:val="nil"/>
              <w:right w:val="nil"/>
            </w:tcBorders>
            <w:tcMar>
              <w:top w:w="0" w:type="dxa"/>
              <w:left w:w="15" w:type="dxa"/>
              <w:bottom w:w="0" w:type="dxa"/>
              <w:right w:w="15" w:type="dxa"/>
            </w:tcMar>
            <w:vAlign w:val="bottom"/>
          </w:tcPr>
          <w:p w14:paraId="7B544C72"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417" w:type="dxa"/>
            <w:tcBorders>
              <w:top w:val="single" w:sz="4" w:space="0" w:color="auto"/>
              <w:left w:val="nil"/>
              <w:right w:val="nil"/>
            </w:tcBorders>
            <w:tcMar>
              <w:top w:w="15" w:type="dxa"/>
              <w:left w:w="15" w:type="dxa"/>
              <w:bottom w:w="0" w:type="dxa"/>
              <w:right w:w="15" w:type="dxa"/>
            </w:tcMar>
            <w:vAlign w:val="bottom"/>
          </w:tcPr>
          <w:p w14:paraId="6C05AC98"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r>
      <w:tr w:rsidR="00E07C4E" w:rsidRPr="00721663" w14:paraId="2832445D" w14:textId="77777777" w:rsidTr="00551604">
        <w:trPr>
          <w:trHeight w:val="284"/>
        </w:trPr>
        <w:tc>
          <w:tcPr>
            <w:tcW w:w="3544" w:type="dxa"/>
            <w:tcBorders>
              <w:top w:val="nil"/>
              <w:left w:val="nil"/>
              <w:bottom w:val="nil"/>
              <w:right w:val="nil"/>
            </w:tcBorders>
            <w:noWrap/>
            <w:vAlign w:val="center"/>
          </w:tcPr>
          <w:p w14:paraId="18E2F155" w14:textId="77777777" w:rsidR="00E07C4E" w:rsidRPr="00721663" w:rsidRDefault="00E07C4E" w:rsidP="00551604">
            <w:pPr>
              <w:spacing w:line="240" w:lineRule="auto"/>
              <w:jc w:val="left"/>
              <w:rPr>
                <w:rFonts w:ascii="Arial" w:eastAsia="Arial Unicode MS" w:hAnsi="Arial" w:cs="Arial"/>
                <w:b/>
                <w:bCs/>
                <w:i/>
                <w:iCs/>
                <w:sz w:val="18"/>
                <w:szCs w:val="18"/>
                <w:lang w:val="bg-BG"/>
              </w:rPr>
            </w:pPr>
            <w:r w:rsidRPr="00721663">
              <w:rPr>
                <w:rFonts w:ascii="Arial" w:hAnsi="Arial" w:cs="Arial"/>
                <w:b/>
                <w:bCs/>
                <w:i/>
                <w:iCs/>
                <w:sz w:val="18"/>
                <w:szCs w:val="18"/>
                <w:lang w:val="bg-BG"/>
              </w:rPr>
              <w:t>Финансови активи</w:t>
            </w:r>
          </w:p>
        </w:tc>
        <w:tc>
          <w:tcPr>
            <w:tcW w:w="1559" w:type="dxa"/>
            <w:tcBorders>
              <w:top w:val="nil"/>
              <w:left w:val="nil"/>
              <w:bottom w:val="nil"/>
              <w:right w:val="nil"/>
            </w:tcBorders>
            <w:noWrap/>
            <w:vAlign w:val="center"/>
          </w:tcPr>
          <w:p w14:paraId="555105F8"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42" w:type="dxa"/>
            <w:tcBorders>
              <w:top w:val="nil"/>
              <w:left w:val="nil"/>
              <w:bottom w:val="nil"/>
              <w:right w:val="nil"/>
            </w:tcBorders>
            <w:noWrap/>
            <w:tcMar>
              <w:top w:w="0" w:type="dxa"/>
              <w:left w:w="15" w:type="dxa"/>
              <w:bottom w:w="0" w:type="dxa"/>
              <w:right w:w="15" w:type="dxa"/>
            </w:tcMar>
            <w:vAlign w:val="center"/>
          </w:tcPr>
          <w:p w14:paraId="205EEEDC"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276" w:type="dxa"/>
            <w:tcBorders>
              <w:top w:val="nil"/>
              <w:left w:val="nil"/>
              <w:bottom w:val="nil"/>
              <w:right w:val="nil"/>
            </w:tcBorders>
            <w:tcMar>
              <w:top w:w="0" w:type="dxa"/>
              <w:left w:w="15" w:type="dxa"/>
              <w:bottom w:w="0" w:type="dxa"/>
              <w:right w:w="15" w:type="dxa"/>
            </w:tcMar>
            <w:vAlign w:val="center"/>
          </w:tcPr>
          <w:p w14:paraId="74FE39BF"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42" w:type="dxa"/>
            <w:tcBorders>
              <w:top w:val="nil"/>
              <w:left w:val="nil"/>
              <w:bottom w:val="nil"/>
              <w:right w:val="nil"/>
            </w:tcBorders>
            <w:tcMar>
              <w:top w:w="0" w:type="dxa"/>
              <w:left w:w="15" w:type="dxa"/>
              <w:bottom w:w="0" w:type="dxa"/>
              <w:right w:w="15" w:type="dxa"/>
            </w:tcMar>
            <w:vAlign w:val="center"/>
          </w:tcPr>
          <w:p w14:paraId="57FA4DB2"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417" w:type="dxa"/>
            <w:tcBorders>
              <w:top w:val="nil"/>
              <w:left w:val="nil"/>
              <w:bottom w:val="nil"/>
              <w:right w:val="nil"/>
            </w:tcBorders>
            <w:noWrap/>
            <w:tcMar>
              <w:top w:w="15" w:type="dxa"/>
              <w:left w:w="15" w:type="dxa"/>
              <w:bottom w:w="0" w:type="dxa"/>
              <w:right w:w="15" w:type="dxa"/>
            </w:tcMar>
            <w:vAlign w:val="center"/>
          </w:tcPr>
          <w:p w14:paraId="38838280" w14:textId="77777777" w:rsidR="00E07C4E" w:rsidRPr="00721663" w:rsidRDefault="00E07C4E" w:rsidP="00551604">
            <w:pPr>
              <w:spacing w:line="240" w:lineRule="auto"/>
              <w:jc w:val="right"/>
              <w:rPr>
                <w:rFonts w:ascii="Arial" w:eastAsia="Arial Unicode MS" w:hAnsi="Arial" w:cs="Arial"/>
                <w:sz w:val="18"/>
                <w:szCs w:val="18"/>
                <w:lang w:val="bg-BG"/>
              </w:rPr>
            </w:pPr>
          </w:p>
        </w:tc>
      </w:tr>
      <w:tr w:rsidR="008F17B6" w:rsidRPr="00721663" w14:paraId="0A3F681F" w14:textId="77777777" w:rsidTr="00551604">
        <w:trPr>
          <w:trHeight w:val="300"/>
        </w:trPr>
        <w:tc>
          <w:tcPr>
            <w:tcW w:w="3544" w:type="dxa"/>
            <w:tcBorders>
              <w:top w:val="nil"/>
              <w:left w:val="nil"/>
              <w:bottom w:val="nil"/>
              <w:right w:val="nil"/>
            </w:tcBorders>
            <w:vAlign w:val="center"/>
          </w:tcPr>
          <w:p w14:paraId="2B7571C9" w14:textId="77777777" w:rsidR="008F17B6" w:rsidRPr="00721663" w:rsidRDefault="008F17B6" w:rsidP="008F17B6">
            <w:pPr>
              <w:pStyle w:val="Header"/>
              <w:spacing w:line="240" w:lineRule="auto"/>
              <w:jc w:val="left"/>
              <w:rPr>
                <w:rFonts w:ascii="Arial" w:eastAsia="Arial Unicode MS" w:hAnsi="Arial" w:cs="Arial"/>
                <w:sz w:val="18"/>
                <w:szCs w:val="18"/>
                <w:lang w:val="bg-BG"/>
              </w:rPr>
            </w:pPr>
            <w:r w:rsidRPr="00721663">
              <w:rPr>
                <w:rFonts w:ascii="Arial" w:hAnsi="Arial" w:cs="Arial"/>
                <w:sz w:val="18"/>
                <w:szCs w:val="18"/>
                <w:lang w:val="bg-BG"/>
              </w:rPr>
              <w:t>Търговски вземания</w:t>
            </w:r>
          </w:p>
        </w:tc>
        <w:tc>
          <w:tcPr>
            <w:tcW w:w="1559" w:type="dxa"/>
            <w:tcBorders>
              <w:top w:val="nil"/>
              <w:left w:val="nil"/>
              <w:right w:val="nil"/>
            </w:tcBorders>
            <w:noWrap/>
            <w:vAlign w:val="bottom"/>
          </w:tcPr>
          <w:p w14:paraId="539B093B" w14:textId="598DA9B6" w:rsidR="008F17B6" w:rsidRPr="00BC2D1E" w:rsidRDefault="008F17B6" w:rsidP="008F17B6">
            <w:pPr>
              <w:pStyle w:val="xl40"/>
              <w:spacing w:before="0" w:beforeAutospacing="0" w:after="0" w:afterAutospacing="0" w:line="240" w:lineRule="auto"/>
              <w:ind w:right="197"/>
              <w:jc w:val="right"/>
              <w:textAlignment w:val="auto"/>
              <w:rPr>
                <w:rFonts w:ascii="Arial" w:hAnsi="Arial" w:cs="Arial"/>
                <w:b w:val="0"/>
                <w:sz w:val="18"/>
                <w:szCs w:val="18"/>
                <w:lang w:val="en-GB"/>
              </w:rPr>
            </w:pPr>
            <w:r>
              <w:rPr>
                <w:rFonts w:ascii="Arial" w:hAnsi="Arial" w:cs="Arial"/>
                <w:b w:val="0"/>
                <w:sz w:val="18"/>
                <w:szCs w:val="18"/>
                <w:lang w:val="en-GB"/>
              </w:rPr>
              <w:t>-</w:t>
            </w:r>
          </w:p>
        </w:tc>
        <w:tc>
          <w:tcPr>
            <w:tcW w:w="142" w:type="dxa"/>
            <w:tcBorders>
              <w:top w:val="nil"/>
              <w:left w:val="nil"/>
              <w:right w:val="nil"/>
            </w:tcBorders>
            <w:noWrap/>
            <w:tcMar>
              <w:top w:w="0" w:type="dxa"/>
              <w:left w:w="15" w:type="dxa"/>
              <w:bottom w:w="0" w:type="dxa"/>
              <w:right w:w="15" w:type="dxa"/>
            </w:tcMar>
            <w:vAlign w:val="bottom"/>
          </w:tcPr>
          <w:p w14:paraId="7DBDF4C5" w14:textId="77777777" w:rsidR="008F17B6" w:rsidRPr="00BC2D1E" w:rsidRDefault="008F17B6" w:rsidP="008F17B6">
            <w:pPr>
              <w:spacing w:line="240" w:lineRule="auto"/>
              <w:jc w:val="right"/>
              <w:rPr>
                <w:rFonts w:ascii="Arial" w:eastAsia="Arial Unicode MS" w:hAnsi="Arial" w:cs="Arial"/>
                <w:sz w:val="18"/>
                <w:szCs w:val="18"/>
                <w:lang w:val="en-GB"/>
              </w:rPr>
            </w:pPr>
          </w:p>
        </w:tc>
        <w:tc>
          <w:tcPr>
            <w:tcW w:w="1276" w:type="dxa"/>
            <w:tcBorders>
              <w:top w:val="nil"/>
              <w:left w:val="nil"/>
              <w:right w:val="nil"/>
            </w:tcBorders>
            <w:tcMar>
              <w:top w:w="0" w:type="dxa"/>
              <w:left w:w="15" w:type="dxa"/>
              <w:bottom w:w="0" w:type="dxa"/>
              <w:right w:w="15" w:type="dxa"/>
            </w:tcMar>
            <w:vAlign w:val="bottom"/>
          </w:tcPr>
          <w:p w14:paraId="7B642FAF" w14:textId="69EA81D9" w:rsidR="008F17B6" w:rsidRPr="00BC2D1E" w:rsidRDefault="008F17B6" w:rsidP="008F17B6">
            <w:pPr>
              <w:spacing w:line="240" w:lineRule="auto"/>
              <w:ind w:right="147"/>
              <w:jc w:val="right"/>
              <w:rPr>
                <w:rFonts w:ascii="Arial" w:eastAsia="Arial Unicode MS" w:hAnsi="Arial" w:cs="Arial"/>
                <w:sz w:val="18"/>
                <w:szCs w:val="18"/>
                <w:lang w:val="en-GB"/>
              </w:rPr>
            </w:pPr>
            <w:r>
              <w:rPr>
                <w:rFonts w:ascii="Arial" w:eastAsia="Arial Unicode MS" w:hAnsi="Arial" w:cs="Arial"/>
                <w:sz w:val="18"/>
                <w:szCs w:val="18"/>
                <w:lang w:val="en-GB" w:eastAsia="bg-BG"/>
              </w:rPr>
              <w:t>498</w:t>
            </w:r>
          </w:p>
        </w:tc>
        <w:tc>
          <w:tcPr>
            <w:tcW w:w="142" w:type="dxa"/>
            <w:tcBorders>
              <w:top w:val="nil"/>
              <w:left w:val="nil"/>
              <w:right w:val="nil"/>
            </w:tcBorders>
            <w:tcMar>
              <w:top w:w="0" w:type="dxa"/>
              <w:left w:w="15" w:type="dxa"/>
              <w:bottom w:w="0" w:type="dxa"/>
              <w:right w:w="15" w:type="dxa"/>
            </w:tcMar>
            <w:vAlign w:val="bottom"/>
          </w:tcPr>
          <w:p w14:paraId="4D86522C" w14:textId="77777777" w:rsidR="008F17B6" w:rsidRPr="00BC2D1E" w:rsidRDefault="008F17B6" w:rsidP="008F17B6">
            <w:pPr>
              <w:spacing w:line="240" w:lineRule="auto"/>
              <w:jc w:val="right"/>
              <w:rPr>
                <w:rFonts w:ascii="Arial" w:eastAsia="Arial Unicode MS" w:hAnsi="Arial" w:cs="Arial"/>
                <w:sz w:val="18"/>
                <w:szCs w:val="18"/>
                <w:lang w:val="en-GB"/>
              </w:rPr>
            </w:pPr>
          </w:p>
        </w:tc>
        <w:tc>
          <w:tcPr>
            <w:tcW w:w="1417" w:type="dxa"/>
            <w:tcBorders>
              <w:top w:val="nil"/>
              <w:left w:val="nil"/>
              <w:right w:val="nil"/>
            </w:tcBorders>
            <w:noWrap/>
            <w:tcMar>
              <w:top w:w="15" w:type="dxa"/>
              <w:left w:w="15" w:type="dxa"/>
              <w:bottom w:w="0" w:type="dxa"/>
              <w:right w:w="15" w:type="dxa"/>
            </w:tcMar>
            <w:vAlign w:val="bottom"/>
          </w:tcPr>
          <w:p w14:paraId="350B36BB" w14:textId="4195B446" w:rsidR="008F17B6" w:rsidRPr="00BC2D1E" w:rsidRDefault="008F17B6" w:rsidP="008F17B6">
            <w:pPr>
              <w:spacing w:line="240" w:lineRule="auto"/>
              <w:ind w:right="80"/>
              <w:jc w:val="right"/>
              <w:rPr>
                <w:rFonts w:ascii="Arial" w:eastAsia="Arial Unicode MS" w:hAnsi="Arial" w:cs="Arial"/>
                <w:sz w:val="18"/>
                <w:szCs w:val="18"/>
                <w:lang w:val="en-GB"/>
              </w:rPr>
            </w:pPr>
            <w:r>
              <w:rPr>
                <w:rFonts w:ascii="Arial" w:eastAsia="Arial Unicode MS" w:hAnsi="Arial" w:cs="Arial"/>
                <w:sz w:val="18"/>
                <w:szCs w:val="18"/>
                <w:lang w:val="en-GB" w:eastAsia="bg-BG"/>
              </w:rPr>
              <w:t>498</w:t>
            </w:r>
          </w:p>
        </w:tc>
      </w:tr>
      <w:tr w:rsidR="008F17B6" w:rsidRPr="00721663" w14:paraId="288FB214" w14:textId="77777777" w:rsidTr="00551604">
        <w:trPr>
          <w:trHeight w:val="300"/>
        </w:trPr>
        <w:tc>
          <w:tcPr>
            <w:tcW w:w="3544" w:type="dxa"/>
            <w:tcBorders>
              <w:top w:val="nil"/>
              <w:left w:val="nil"/>
              <w:bottom w:val="nil"/>
              <w:right w:val="nil"/>
            </w:tcBorders>
            <w:vAlign w:val="center"/>
          </w:tcPr>
          <w:p w14:paraId="3D8A2BFA" w14:textId="77777777" w:rsidR="008F17B6" w:rsidRPr="00721663" w:rsidRDefault="008F17B6" w:rsidP="008F17B6">
            <w:pPr>
              <w:pStyle w:val="Header"/>
              <w:spacing w:line="240" w:lineRule="auto"/>
              <w:jc w:val="left"/>
              <w:rPr>
                <w:rFonts w:ascii="Arial" w:hAnsi="Arial" w:cs="Arial"/>
                <w:sz w:val="18"/>
                <w:szCs w:val="18"/>
                <w:lang w:val="bg-BG"/>
              </w:rPr>
            </w:pPr>
            <w:r w:rsidRPr="00721663">
              <w:rPr>
                <w:rFonts w:ascii="Arial" w:hAnsi="Arial" w:cs="Arial"/>
                <w:sz w:val="18"/>
                <w:szCs w:val="18"/>
                <w:lang w:val="bg-BG"/>
              </w:rPr>
              <w:t>Парични средства по банкови сметки</w:t>
            </w:r>
          </w:p>
        </w:tc>
        <w:tc>
          <w:tcPr>
            <w:tcW w:w="1559" w:type="dxa"/>
            <w:tcBorders>
              <w:top w:val="nil"/>
              <w:left w:val="nil"/>
              <w:right w:val="nil"/>
            </w:tcBorders>
            <w:noWrap/>
            <w:vAlign w:val="bottom"/>
          </w:tcPr>
          <w:p w14:paraId="78C5F0EE" w14:textId="3BAA8390" w:rsidR="008F17B6" w:rsidRPr="00BC2D1E" w:rsidRDefault="008F17B6" w:rsidP="008F17B6">
            <w:pPr>
              <w:pStyle w:val="xl40"/>
              <w:spacing w:before="0" w:beforeAutospacing="0" w:after="0" w:afterAutospacing="0" w:line="240" w:lineRule="auto"/>
              <w:ind w:right="197"/>
              <w:jc w:val="right"/>
              <w:textAlignment w:val="auto"/>
              <w:rPr>
                <w:rFonts w:ascii="Arial" w:hAnsi="Arial" w:cs="Arial"/>
                <w:b w:val="0"/>
                <w:sz w:val="18"/>
                <w:szCs w:val="18"/>
                <w:lang w:val="en-GB"/>
              </w:rPr>
            </w:pPr>
            <w:r>
              <w:rPr>
                <w:rFonts w:ascii="Arial" w:hAnsi="Arial" w:cs="Arial"/>
                <w:b w:val="0"/>
                <w:sz w:val="18"/>
                <w:szCs w:val="18"/>
                <w:lang w:val="en-GB"/>
              </w:rPr>
              <w:t>1,836</w:t>
            </w:r>
          </w:p>
        </w:tc>
        <w:tc>
          <w:tcPr>
            <w:tcW w:w="142" w:type="dxa"/>
            <w:tcBorders>
              <w:top w:val="nil"/>
              <w:left w:val="nil"/>
              <w:right w:val="nil"/>
            </w:tcBorders>
            <w:noWrap/>
            <w:tcMar>
              <w:top w:w="0" w:type="dxa"/>
              <w:left w:w="15" w:type="dxa"/>
              <w:bottom w:w="0" w:type="dxa"/>
              <w:right w:w="15" w:type="dxa"/>
            </w:tcMar>
            <w:vAlign w:val="bottom"/>
          </w:tcPr>
          <w:p w14:paraId="5CB8D5DE" w14:textId="77777777" w:rsidR="008F17B6" w:rsidRPr="00BC2D1E" w:rsidRDefault="008F17B6" w:rsidP="008F17B6">
            <w:pPr>
              <w:spacing w:line="240" w:lineRule="auto"/>
              <w:jc w:val="right"/>
              <w:rPr>
                <w:rFonts w:ascii="Arial" w:eastAsia="Arial Unicode MS" w:hAnsi="Arial" w:cs="Arial"/>
                <w:sz w:val="18"/>
                <w:szCs w:val="18"/>
                <w:lang w:val="en-GB"/>
              </w:rPr>
            </w:pPr>
          </w:p>
        </w:tc>
        <w:tc>
          <w:tcPr>
            <w:tcW w:w="1276" w:type="dxa"/>
            <w:tcBorders>
              <w:top w:val="nil"/>
              <w:left w:val="nil"/>
              <w:bottom w:val="single" w:sz="4" w:space="0" w:color="auto"/>
              <w:right w:val="nil"/>
            </w:tcBorders>
            <w:tcMar>
              <w:top w:w="15" w:type="dxa"/>
              <w:left w:w="15" w:type="dxa"/>
              <w:bottom w:w="0" w:type="dxa"/>
              <w:right w:w="15" w:type="dxa"/>
            </w:tcMar>
            <w:vAlign w:val="bottom"/>
          </w:tcPr>
          <w:p w14:paraId="39F185C8" w14:textId="0CD3AB95" w:rsidR="008F17B6" w:rsidRPr="00BC2D1E" w:rsidRDefault="008F17B6" w:rsidP="008F17B6">
            <w:pPr>
              <w:spacing w:line="240" w:lineRule="auto"/>
              <w:ind w:right="147"/>
              <w:jc w:val="right"/>
              <w:rPr>
                <w:rFonts w:ascii="Arial" w:eastAsia="Arial Unicode MS" w:hAnsi="Arial" w:cs="Arial"/>
                <w:sz w:val="18"/>
                <w:szCs w:val="18"/>
                <w:lang w:val="en-GB"/>
              </w:rPr>
            </w:pPr>
            <w:r>
              <w:rPr>
                <w:rFonts w:ascii="Arial" w:eastAsia="Arial Unicode MS" w:hAnsi="Arial" w:cs="Arial"/>
                <w:sz w:val="18"/>
                <w:szCs w:val="18"/>
                <w:lang w:val="en-GB" w:eastAsia="bg-BG"/>
              </w:rPr>
              <w:t>-</w:t>
            </w:r>
          </w:p>
        </w:tc>
        <w:tc>
          <w:tcPr>
            <w:tcW w:w="142" w:type="dxa"/>
            <w:tcBorders>
              <w:top w:val="nil"/>
              <w:left w:val="nil"/>
              <w:right w:val="nil"/>
            </w:tcBorders>
            <w:tcMar>
              <w:top w:w="0" w:type="dxa"/>
              <w:left w:w="15" w:type="dxa"/>
              <w:bottom w:w="0" w:type="dxa"/>
              <w:right w:w="15" w:type="dxa"/>
            </w:tcMar>
            <w:vAlign w:val="bottom"/>
          </w:tcPr>
          <w:p w14:paraId="01A62539" w14:textId="77777777" w:rsidR="008F17B6" w:rsidRPr="00BC2D1E" w:rsidRDefault="008F17B6" w:rsidP="008F17B6">
            <w:pPr>
              <w:spacing w:line="240" w:lineRule="auto"/>
              <w:jc w:val="right"/>
              <w:rPr>
                <w:rFonts w:ascii="Arial" w:eastAsia="Arial Unicode MS" w:hAnsi="Arial" w:cs="Arial"/>
                <w:sz w:val="18"/>
                <w:szCs w:val="18"/>
                <w:lang w:val="en-GB"/>
              </w:rPr>
            </w:pPr>
          </w:p>
        </w:tc>
        <w:tc>
          <w:tcPr>
            <w:tcW w:w="1417" w:type="dxa"/>
            <w:tcBorders>
              <w:top w:val="nil"/>
              <w:left w:val="nil"/>
              <w:right w:val="nil"/>
            </w:tcBorders>
            <w:noWrap/>
            <w:tcMar>
              <w:top w:w="15" w:type="dxa"/>
              <w:left w:w="15" w:type="dxa"/>
              <w:bottom w:w="0" w:type="dxa"/>
              <w:right w:w="15" w:type="dxa"/>
            </w:tcMar>
            <w:vAlign w:val="bottom"/>
          </w:tcPr>
          <w:p w14:paraId="5DEEADD5" w14:textId="1823C54B" w:rsidR="008F17B6" w:rsidRPr="00BC2D1E" w:rsidRDefault="008F17B6" w:rsidP="008F17B6">
            <w:pPr>
              <w:spacing w:line="240" w:lineRule="auto"/>
              <w:ind w:right="80"/>
              <w:jc w:val="right"/>
              <w:rPr>
                <w:rFonts w:ascii="Arial" w:eastAsia="Arial Unicode MS" w:hAnsi="Arial" w:cs="Arial"/>
                <w:sz w:val="18"/>
                <w:szCs w:val="18"/>
                <w:lang w:val="en-GB"/>
              </w:rPr>
            </w:pPr>
            <w:r>
              <w:rPr>
                <w:rFonts w:ascii="Arial" w:eastAsia="Arial Unicode MS" w:hAnsi="Arial" w:cs="Arial"/>
                <w:sz w:val="18"/>
                <w:szCs w:val="18"/>
                <w:lang w:val="en-GB" w:eastAsia="bg-BG"/>
              </w:rPr>
              <w:t>1,836</w:t>
            </w:r>
          </w:p>
        </w:tc>
      </w:tr>
      <w:tr w:rsidR="008F17B6" w:rsidRPr="00721663" w14:paraId="14A02490" w14:textId="77777777" w:rsidTr="00551604">
        <w:trPr>
          <w:trHeight w:val="300"/>
        </w:trPr>
        <w:tc>
          <w:tcPr>
            <w:tcW w:w="3544" w:type="dxa"/>
            <w:tcBorders>
              <w:top w:val="nil"/>
              <w:left w:val="nil"/>
              <w:bottom w:val="nil"/>
              <w:right w:val="nil"/>
            </w:tcBorders>
            <w:noWrap/>
            <w:tcMar>
              <w:top w:w="0" w:type="dxa"/>
              <w:left w:w="15" w:type="dxa"/>
              <w:bottom w:w="0" w:type="dxa"/>
              <w:right w:w="15" w:type="dxa"/>
            </w:tcMar>
            <w:vAlign w:val="bottom"/>
          </w:tcPr>
          <w:p w14:paraId="2BAF6536" w14:textId="77777777" w:rsidR="008F17B6" w:rsidRPr="00721663" w:rsidRDefault="008F17B6" w:rsidP="008F17B6">
            <w:pPr>
              <w:spacing w:line="240" w:lineRule="auto"/>
              <w:rPr>
                <w:rFonts w:ascii="Arial" w:eastAsia="Arial Unicode MS" w:hAnsi="Arial" w:cs="Arial"/>
                <w:b/>
                <w:bCs/>
                <w:sz w:val="18"/>
                <w:szCs w:val="18"/>
                <w:lang w:val="bg-BG"/>
              </w:rPr>
            </w:pPr>
            <w:r w:rsidRPr="00721663">
              <w:rPr>
                <w:rFonts w:ascii="Arial" w:hAnsi="Arial" w:cs="Arial"/>
                <w:b/>
                <w:bCs/>
                <w:sz w:val="18"/>
                <w:szCs w:val="18"/>
                <w:lang w:val="bg-BG"/>
              </w:rPr>
              <w:t>Общо:</w:t>
            </w:r>
          </w:p>
        </w:tc>
        <w:tc>
          <w:tcPr>
            <w:tcW w:w="1559" w:type="dxa"/>
            <w:tcBorders>
              <w:top w:val="single" w:sz="4" w:space="0" w:color="auto"/>
              <w:left w:val="nil"/>
              <w:bottom w:val="single" w:sz="4" w:space="0" w:color="auto"/>
              <w:right w:val="nil"/>
            </w:tcBorders>
            <w:noWrap/>
            <w:tcMar>
              <w:top w:w="0" w:type="dxa"/>
              <w:left w:w="15" w:type="dxa"/>
              <w:bottom w:w="0" w:type="dxa"/>
              <w:right w:w="15" w:type="dxa"/>
            </w:tcMar>
            <w:vAlign w:val="bottom"/>
          </w:tcPr>
          <w:p w14:paraId="02CA8816" w14:textId="56DC3512" w:rsidR="008F17B6" w:rsidRPr="00BC2D1E" w:rsidRDefault="008F17B6" w:rsidP="008F17B6">
            <w:pPr>
              <w:pStyle w:val="xl40"/>
              <w:spacing w:before="0" w:beforeAutospacing="0" w:after="0" w:afterAutospacing="0" w:line="240" w:lineRule="auto"/>
              <w:ind w:right="197"/>
              <w:jc w:val="right"/>
              <w:textAlignment w:val="auto"/>
              <w:rPr>
                <w:rFonts w:ascii="Arial" w:hAnsi="Arial" w:cs="Arial"/>
                <w:bCs w:val="0"/>
                <w:sz w:val="18"/>
                <w:szCs w:val="18"/>
                <w:lang w:val="en-GB"/>
              </w:rPr>
            </w:pPr>
            <w:r>
              <w:rPr>
                <w:rFonts w:ascii="Arial" w:hAnsi="Arial" w:cs="Arial"/>
                <w:bCs w:val="0"/>
                <w:sz w:val="18"/>
                <w:szCs w:val="18"/>
                <w:lang w:val="en-GB"/>
              </w:rPr>
              <w:t>1,836</w:t>
            </w:r>
          </w:p>
        </w:tc>
        <w:tc>
          <w:tcPr>
            <w:tcW w:w="142" w:type="dxa"/>
            <w:tcBorders>
              <w:top w:val="nil"/>
              <w:left w:val="nil"/>
              <w:bottom w:val="nil"/>
              <w:right w:val="nil"/>
            </w:tcBorders>
            <w:noWrap/>
            <w:tcMar>
              <w:top w:w="0" w:type="dxa"/>
              <w:left w:w="15" w:type="dxa"/>
              <w:bottom w:w="0" w:type="dxa"/>
              <w:right w:w="15" w:type="dxa"/>
            </w:tcMar>
            <w:vAlign w:val="bottom"/>
          </w:tcPr>
          <w:p w14:paraId="2ED361B3" w14:textId="77777777" w:rsidR="008F17B6" w:rsidRPr="00BC2D1E" w:rsidRDefault="008F17B6" w:rsidP="008F17B6">
            <w:pPr>
              <w:spacing w:line="240" w:lineRule="auto"/>
              <w:jc w:val="right"/>
              <w:rPr>
                <w:rFonts w:ascii="Arial" w:eastAsia="Arial Unicode MS" w:hAnsi="Arial" w:cs="Arial"/>
                <w:b/>
                <w:bCs/>
                <w:sz w:val="18"/>
                <w:szCs w:val="18"/>
                <w:lang w:val="en-GB"/>
              </w:rPr>
            </w:pPr>
          </w:p>
        </w:tc>
        <w:tc>
          <w:tcPr>
            <w:tcW w:w="1276"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7E57E239" w14:textId="0F3F5789" w:rsidR="008F17B6" w:rsidRPr="00BC2D1E" w:rsidRDefault="008F17B6" w:rsidP="008F17B6">
            <w:pPr>
              <w:tabs>
                <w:tab w:val="left" w:pos="1172"/>
              </w:tabs>
              <w:spacing w:line="240" w:lineRule="auto"/>
              <w:ind w:right="147"/>
              <w:jc w:val="right"/>
              <w:rPr>
                <w:rFonts w:ascii="Arial" w:eastAsia="Arial Unicode MS" w:hAnsi="Arial" w:cs="Arial"/>
                <w:b/>
                <w:bCs/>
                <w:sz w:val="18"/>
                <w:szCs w:val="18"/>
                <w:lang w:val="en-GB"/>
              </w:rPr>
            </w:pPr>
            <w:r>
              <w:rPr>
                <w:rFonts w:ascii="Arial" w:eastAsia="Arial Unicode MS" w:hAnsi="Arial" w:cs="Arial"/>
                <w:b/>
                <w:bCs/>
                <w:sz w:val="18"/>
                <w:szCs w:val="18"/>
                <w:lang w:val="en-GB" w:eastAsia="bg-BG"/>
              </w:rPr>
              <w:t>498</w:t>
            </w:r>
          </w:p>
        </w:tc>
        <w:tc>
          <w:tcPr>
            <w:tcW w:w="142" w:type="dxa"/>
            <w:tcBorders>
              <w:top w:val="nil"/>
              <w:left w:val="nil"/>
              <w:bottom w:val="nil"/>
              <w:right w:val="nil"/>
            </w:tcBorders>
            <w:tcMar>
              <w:top w:w="0" w:type="dxa"/>
              <w:left w:w="15" w:type="dxa"/>
              <w:bottom w:w="0" w:type="dxa"/>
              <w:right w:w="15" w:type="dxa"/>
            </w:tcMar>
            <w:vAlign w:val="bottom"/>
          </w:tcPr>
          <w:p w14:paraId="0C8E9F85" w14:textId="77777777" w:rsidR="008F17B6" w:rsidRPr="00BC2D1E" w:rsidRDefault="008F17B6" w:rsidP="008F17B6">
            <w:pPr>
              <w:spacing w:line="240" w:lineRule="auto"/>
              <w:jc w:val="right"/>
              <w:rPr>
                <w:rFonts w:ascii="Arial" w:eastAsia="Arial Unicode MS" w:hAnsi="Arial" w:cs="Arial"/>
                <w:b/>
                <w:bCs/>
                <w:sz w:val="18"/>
                <w:szCs w:val="18"/>
                <w:lang w:val="en-GB"/>
              </w:rPr>
            </w:pPr>
          </w:p>
        </w:tc>
        <w:tc>
          <w:tcPr>
            <w:tcW w:w="1417"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568A59B4" w14:textId="09DB40D2" w:rsidR="008F17B6" w:rsidRPr="00BC2D1E" w:rsidRDefault="008F17B6" w:rsidP="008F17B6">
            <w:pPr>
              <w:spacing w:line="240" w:lineRule="auto"/>
              <w:ind w:right="80"/>
              <w:jc w:val="right"/>
              <w:rPr>
                <w:rFonts w:ascii="Arial" w:eastAsia="Arial Unicode MS" w:hAnsi="Arial" w:cs="Arial"/>
                <w:b/>
                <w:bCs/>
                <w:sz w:val="18"/>
                <w:szCs w:val="18"/>
                <w:lang w:val="en-GB"/>
              </w:rPr>
            </w:pPr>
            <w:r>
              <w:rPr>
                <w:rFonts w:ascii="Arial" w:eastAsia="Arial Unicode MS" w:hAnsi="Arial" w:cs="Arial"/>
                <w:b/>
                <w:bCs/>
                <w:sz w:val="18"/>
                <w:szCs w:val="18"/>
                <w:lang w:val="en-GB" w:eastAsia="bg-BG"/>
              </w:rPr>
              <w:t>2,334</w:t>
            </w:r>
          </w:p>
        </w:tc>
      </w:tr>
      <w:tr w:rsidR="00E07C4E" w:rsidRPr="00721663" w14:paraId="29FD9604" w14:textId="77777777" w:rsidTr="00551604">
        <w:trPr>
          <w:trHeight w:val="300"/>
        </w:trPr>
        <w:tc>
          <w:tcPr>
            <w:tcW w:w="3544" w:type="dxa"/>
            <w:tcBorders>
              <w:top w:val="nil"/>
              <w:left w:val="nil"/>
              <w:bottom w:val="nil"/>
              <w:right w:val="nil"/>
            </w:tcBorders>
            <w:noWrap/>
            <w:vAlign w:val="bottom"/>
          </w:tcPr>
          <w:p w14:paraId="5EA75771" w14:textId="77777777" w:rsidR="00E07C4E" w:rsidRPr="00721663" w:rsidRDefault="00E07C4E" w:rsidP="00551604">
            <w:pPr>
              <w:spacing w:line="240" w:lineRule="auto"/>
              <w:rPr>
                <w:rFonts w:ascii="Arial" w:eastAsia="Arial Unicode MS" w:hAnsi="Arial" w:cs="Arial"/>
                <w:b/>
                <w:bCs/>
                <w:i/>
                <w:iCs/>
                <w:sz w:val="18"/>
                <w:szCs w:val="18"/>
                <w:lang w:val="bg-BG"/>
              </w:rPr>
            </w:pPr>
            <w:r w:rsidRPr="00721663">
              <w:rPr>
                <w:rFonts w:ascii="Arial" w:hAnsi="Arial" w:cs="Arial"/>
                <w:b/>
                <w:bCs/>
                <w:i/>
                <w:iCs/>
                <w:sz w:val="18"/>
                <w:szCs w:val="18"/>
                <w:lang w:val="bg-BG"/>
              </w:rPr>
              <w:t>Финансови пасиви</w:t>
            </w:r>
          </w:p>
        </w:tc>
        <w:tc>
          <w:tcPr>
            <w:tcW w:w="1559" w:type="dxa"/>
            <w:tcBorders>
              <w:top w:val="single" w:sz="4" w:space="0" w:color="auto"/>
              <w:left w:val="nil"/>
              <w:bottom w:val="nil"/>
              <w:right w:val="nil"/>
            </w:tcBorders>
            <w:noWrap/>
            <w:vAlign w:val="bottom"/>
          </w:tcPr>
          <w:p w14:paraId="54D26D8E" w14:textId="77777777" w:rsidR="00E07C4E" w:rsidRPr="00BC2D1E" w:rsidRDefault="00E07C4E" w:rsidP="00551604">
            <w:pPr>
              <w:spacing w:line="240" w:lineRule="auto"/>
              <w:ind w:right="197"/>
              <w:jc w:val="right"/>
              <w:rPr>
                <w:rFonts w:ascii="Arial" w:eastAsia="Arial Unicode MS" w:hAnsi="Arial" w:cs="Arial"/>
                <w:sz w:val="18"/>
                <w:szCs w:val="18"/>
                <w:highlight w:val="yellow"/>
                <w:lang w:val="en-GB"/>
              </w:rPr>
            </w:pPr>
          </w:p>
        </w:tc>
        <w:tc>
          <w:tcPr>
            <w:tcW w:w="142" w:type="dxa"/>
            <w:tcBorders>
              <w:top w:val="nil"/>
              <w:left w:val="nil"/>
              <w:bottom w:val="nil"/>
              <w:right w:val="nil"/>
            </w:tcBorders>
            <w:noWrap/>
            <w:tcMar>
              <w:top w:w="0" w:type="dxa"/>
              <w:left w:w="15" w:type="dxa"/>
              <w:bottom w:w="0" w:type="dxa"/>
              <w:right w:w="15" w:type="dxa"/>
            </w:tcMar>
            <w:vAlign w:val="bottom"/>
          </w:tcPr>
          <w:p w14:paraId="27C1C2D2" w14:textId="77777777" w:rsidR="00E07C4E" w:rsidRPr="00BC2D1E" w:rsidRDefault="00E07C4E" w:rsidP="00551604">
            <w:pPr>
              <w:spacing w:line="240" w:lineRule="auto"/>
              <w:jc w:val="right"/>
              <w:rPr>
                <w:rFonts w:ascii="Arial" w:eastAsia="Arial Unicode MS" w:hAnsi="Arial" w:cs="Arial"/>
                <w:sz w:val="18"/>
                <w:szCs w:val="18"/>
                <w:highlight w:val="yellow"/>
                <w:lang w:val="en-GB"/>
              </w:rPr>
            </w:pPr>
          </w:p>
        </w:tc>
        <w:tc>
          <w:tcPr>
            <w:tcW w:w="1276" w:type="dxa"/>
            <w:tcBorders>
              <w:top w:val="nil"/>
              <w:left w:val="nil"/>
              <w:bottom w:val="nil"/>
              <w:right w:val="nil"/>
            </w:tcBorders>
            <w:tcMar>
              <w:top w:w="15" w:type="dxa"/>
              <w:left w:w="15" w:type="dxa"/>
              <w:bottom w:w="0" w:type="dxa"/>
              <w:right w:w="15" w:type="dxa"/>
            </w:tcMar>
            <w:vAlign w:val="bottom"/>
          </w:tcPr>
          <w:p w14:paraId="4F5BAAC9" w14:textId="77777777" w:rsidR="00E07C4E" w:rsidRPr="00BC2D1E" w:rsidRDefault="00E07C4E" w:rsidP="00551604">
            <w:pPr>
              <w:spacing w:line="240" w:lineRule="auto"/>
              <w:ind w:right="147"/>
              <w:jc w:val="right"/>
              <w:rPr>
                <w:rFonts w:ascii="Arial" w:eastAsia="Arial Unicode MS" w:hAnsi="Arial" w:cs="Arial"/>
                <w:sz w:val="18"/>
                <w:szCs w:val="18"/>
                <w:highlight w:val="yellow"/>
                <w:lang w:val="en-GB"/>
              </w:rPr>
            </w:pPr>
          </w:p>
        </w:tc>
        <w:tc>
          <w:tcPr>
            <w:tcW w:w="142" w:type="dxa"/>
            <w:tcBorders>
              <w:top w:val="nil"/>
              <w:left w:val="nil"/>
              <w:bottom w:val="nil"/>
              <w:right w:val="nil"/>
            </w:tcBorders>
            <w:tcMar>
              <w:top w:w="0" w:type="dxa"/>
              <w:left w:w="15" w:type="dxa"/>
              <w:bottom w:w="0" w:type="dxa"/>
              <w:right w:w="15" w:type="dxa"/>
            </w:tcMar>
            <w:vAlign w:val="bottom"/>
          </w:tcPr>
          <w:p w14:paraId="0AB3B937" w14:textId="77777777" w:rsidR="00E07C4E" w:rsidRPr="00BC2D1E" w:rsidRDefault="00E07C4E" w:rsidP="00551604">
            <w:pPr>
              <w:spacing w:line="240" w:lineRule="auto"/>
              <w:jc w:val="right"/>
              <w:rPr>
                <w:rFonts w:ascii="Arial" w:eastAsia="Arial Unicode MS" w:hAnsi="Arial" w:cs="Arial"/>
                <w:sz w:val="18"/>
                <w:szCs w:val="18"/>
                <w:highlight w:val="yellow"/>
                <w:lang w:val="en-GB"/>
              </w:rPr>
            </w:pPr>
          </w:p>
        </w:tc>
        <w:tc>
          <w:tcPr>
            <w:tcW w:w="1417" w:type="dxa"/>
            <w:tcBorders>
              <w:top w:val="nil"/>
              <w:left w:val="nil"/>
              <w:bottom w:val="nil"/>
              <w:right w:val="nil"/>
            </w:tcBorders>
            <w:noWrap/>
            <w:tcMar>
              <w:top w:w="15" w:type="dxa"/>
              <w:left w:w="15" w:type="dxa"/>
              <w:bottom w:w="0" w:type="dxa"/>
              <w:right w:w="15" w:type="dxa"/>
            </w:tcMar>
            <w:vAlign w:val="bottom"/>
          </w:tcPr>
          <w:p w14:paraId="2BD51E71" w14:textId="77777777" w:rsidR="00E07C4E" w:rsidRPr="00BC2D1E" w:rsidRDefault="00E07C4E" w:rsidP="00551604">
            <w:pPr>
              <w:spacing w:line="240" w:lineRule="auto"/>
              <w:ind w:right="80"/>
              <w:jc w:val="right"/>
              <w:rPr>
                <w:rFonts w:ascii="Arial" w:eastAsia="Arial Unicode MS" w:hAnsi="Arial" w:cs="Arial"/>
                <w:sz w:val="18"/>
                <w:szCs w:val="18"/>
                <w:highlight w:val="yellow"/>
                <w:lang w:val="en-GB"/>
              </w:rPr>
            </w:pPr>
          </w:p>
        </w:tc>
      </w:tr>
      <w:tr w:rsidR="008F17B6" w:rsidRPr="00721663" w14:paraId="26E6F2D8" w14:textId="77777777" w:rsidTr="00551604">
        <w:trPr>
          <w:trHeight w:val="300"/>
        </w:trPr>
        <w:tc>
          <w:tcPr>
            <w:tcW w:w="3544" w:type="dxa"/>
            <w:tcBorders>
              <w:top w:val="nil"/>
              <w:left w:val="nil"/>
              <w:bottom w:val="nil"/>
              <w:right w:val="nil"/>
            </w:tcBorders>
            <w:vAlign w:val="center"/>
          </w:tcPr>
          <w:p w14:paraId="0070DD71" w14:textId="77777777" w:rsidR="008F17B6" w:rsidRPr="00721663" w:rsidRDefault="008F17B6" w:rsidP="008F17B6">
            <w:pPr>
              <w:spacing w:line="240" w:lineRule="auto"/>
              <w:jc w:val="left"/>
              <w:rPr>
                <w:rFonts w:ascii="Arial" w:eastAsia="Arial Unicode MS" w:hAnsi="Arial" w:cs="Arial"/>
                <w:sz w:val="18"/>
                <w:szCs w:val="18"/>
                <w:lang w:val="bg-BG"/>
              </w:rPr>
            </w:pPr>
            <w:r w:rsidRPr="00721663">
              <w:rPr>
                <w:rFonts w:ascii="Arial" w:hAnsi="Arial" w:cs="Arial"/>
                <w:sz w:val="18"/>
                <w:szCs w:val="18"/>
                <w:lang w:val="bg-BG"/>
              </w:rPr>
              <w:t xml:space="preserve">Заеми и лихви </w:t>
            </w:r>
          </w:p>
        </w:tc>
        <w:tc>
          <w:tcPr>
            <w:tcW w:w="1559" w:type="dxa"/>
            <w:tcBorders>
              <w:top w:val="nil"/>
              <w:left w:val="nil"/>
              <w:right w:val="nil"/>
            </w:tcBorders>
            <w:noWrap/>
            <w:vAlign w:val="bottom"/>
          </w:tcPr>
          <w:p w14:paraId="04EBDE31" w14:textId="039E3C1A" w:rsidR="008F17B6" w:rsidRPr="00BC2D1E" w:rsidRDefault="008F17B6" w:rsidP="008F17B6">
            <w:pPr>
              <w:pStyle w:val="xl40"/>
              <w:spacing w:before="0" w:beforeAutospacing="0" w:after="0" w:afterAutospacing="0" w:line="240" w:lineRule="auto"/>
              <w:ind w:right="197"/>
              <w:jc w:val="right"/>
              <w:textAlignment w:val="auto"/>
              <w:rPr>
                <w:rFonts w:ascii="Arial" w:hAnsi="Arial" w:cs="Arial"/>
                <w:b w:val="0"/>
                <w:sz w:val="18"/>
                <w:szCs w:val="18"/>
                <w:lang w:val="en-GB"/>
              </w:rPr>
            </w:pPr>
            <w:r>
              <w:rPr>
                <w:rFonts w:ascii="Arial" w:hAnsi="Arial" w:cs="Arial"/>
                <w:b w:val="0"/>
                <w:sz w:val="18"/>
                <w:szCs w:val="18"/>
                <w:lang w:val="en-GB"/>
              </w:rPr>
              <w:t>19,989</w:t>
            </w:r>
          </w:p>
        </w:tc>
        <w:tc>
          <w:tcPr>
            <w:tcW w:w="142" w:type="dxa"/>
            <w:tcBorders>
              <w:top w:val="nil"/>
              <w:left w:val="nil"/>
              <w:bottom w:val="nil"/>
              <w:right w:val="nil"/>
            </w:tcBorders>
            <w:noWrap/>
            <w:tcMar>
              <w:top w:w="0" w:type="dxa"/>
              <w:left w:w="15" w:type="dxa"/>
              <w:bottom w:w="0" w:type="dxa"/>
              <w:right w:w="15" w:type="dxa"/>
            </w:tcMar>
            <w:vAlign w:val="bottom"/>
          </w:tcPr>
          <w:p w14:paraId="67B7C2BC" w14:textId="77777777" w:rsidR="008F17B6" w:rsidRPr="00BC2D1E" w:rsidRDefault="008F17B6" w:rsidP="008F17B6">
            <w:pPr>
              <w:spacing w:line="240" w:lineRule="auto"/>
              <w:jc w:val="right"/>
              <w:rPr>
                <w:rFonts w:ascii="Arial" w:eastAsia="Arial Unicode MS" w:hAnsi="Arial" w:cs="Arial"/>
                <w:sz w:val="18"/>
                <w:szCs w:val="18"/>
                <w:lang w:val="en-GB"/>
              </w:rPr>
            </w:pPr>
          </w:p>
        </w:tc>
        <w:tc>
          <w:tcPr>
            <w:tcW w:w="1276" w:type="dxa"/>
            <w:tcBorders>
              <w:top w:val="nil"/>
              <w:left w:val="nil"/>
              <w:right w:val="nil"/>
            </w:tcBorders>
            <w:tcMar>
              <w:top w:w="0" w:type="dxa"/>
              <w:left w:w="15" w:type="dxa"/>
              <w:bottom w:w="0" w:type="dxa"/>
              <w:right w:w="15" w:type="dxa"/>
            </w:tcMar>
            <w:vAlign w:val="bottom"/>
          </w:tcPr>
          <w:p w14:paraId="0FB68FD5" w14:textId="54DA7D33" w:rsidR="008F17B6" w:rsidRPr="00BC2D1E" w:rsidRDefault="008F17B6" w:rsidP="008F17B6">
            <w:pPr>
              <w:spacing w:line="240" w:lineRule="auto"/>
              <w:ind w:right="147"/>
              <w:jc w:val="right"/>
              <w:rPr>
                <w:rFonts w:ascii="Arial" w:eastAsia="Arial Unicode MS" w:hAnsi="Arial" w:cs="Arial"/>
                <w:sz w:val="18"/>
                <w:szCs w:val="18"/>
                <w:lang w:val="en-GB"/>
              </w:rPr>
            </w:pPr>
            <w:r>
              <w:rPr>
                <w:rFonts w:ascii="Arial" w:eastAsia="Arial Unicode MS" w:hAnsi="Arial" w:cs="Arial"/>
                <w:sz w:val="18"/>
                <w:szCs w:val="18"/>
                <w:lang w:val="en-GB" w:eastAsia="bg-BG"/>
              </w:rPr>
              <w:t>716</w:t>
            </w:r>
          </w:p>
        </w:tc>
        <w:tc>
          <w:tcPr>
            <w:tcW w:w="142" w:type="dxa"/>
            <w:tcBorders>
              <w:top w:val="nil"/>
              <w:left w:val="nil"/>
              <w:bottom w:val="nil"/>
              <w:right w:val="nil"/>
            </w:tcBorders>
            <w:tcMar>
              <w:top w:w="0" w:type="dxa"/>
              <w:left w:w="15" w:type="dxa"/>
              <w:bottom w:w="0" w:type="dxa"/>
              <w:right w:w="15" w:type="dxa"/>
            </w:tcMar>
            <w:vAlign w:val="bottom"/>
          </w:tcPr>
          <w:p w14:paraId="69B89752" w14:textId="77777777" w:rsidR="008F17B6" w:rsidRPr="00BC2D1E" w:rsidRDefault="008F17B6" w:rsidP="008F17B6">
            <w:pPr>
              <w:spacing w:line="240" w:lineRule="auto"/>
              <w:jc w:val="right"/>
              <w:rPr>
                <w:rFonts w:ascii="Arial" w:eastAsia="Arial Unicode MS" w:hAnsi="Arial" w:cs="Arial"/>
                <w:sz w:val="18"/>
                <w:szCs w:val="18"/>
                <w:highlight w:val="yellow"/>
                <w:lang w:val="en-GB"/>
              </w:rPr>
            </w:pPr>
          </w:p>
        </w:tc>
        <w:tc>
          <w:tcPr>
            <w:tcW w:w="1417" w:type="dxa"/>
            <w:tcBorders>
              <w:top w:val="nil"/>
              <w:left w:val="nil"/>
              <w:bottom w:val="nil"/>
              <w:right w:val="nil"/>
            </w:tcBorders>
            <w:noWrap/>
            <w:tcMar>
              <w:top w:w="15" w:type="dxa"/>
              <w:left w:w="15" w:type="dxa"/>
              <w:bottom w:w="0" w:type="dxa"/>
              <w:right w:w="15" w:type="dxa"/>
            </w:tcMar>
            <w:vAlign w:val="bottom"/>
          </w:tcPr>
          <w:p w14:paraId="699226CA" w14:textId="2C1E9DF2" w:rsidR="008F17B6" w:rsidRPr="00BC2D1E" w:rsidRDefault="008F17B6" w:rsidP="008F17B6">
            <w:pPr>
              <w:spacing w:line="240" w:lineRule="auto"/>
              <w:ind w:right="80"/>
              <w:jc w:val="right"/>
              <w:rPr>
                <w:rFonts w:ascii="Arial" w:eastAsia="Arial Unicode MS" w:hAnsi="Arial" w:cs="Arial"/>
                <w:sz w:val="18"/>
                <w:szCs w:val="18"/>
                <w:highlight w:val="yellow"/>
                <w:lang w:val="en-GB"/>
              </w:rPr>
            </w:pPr>
            <w:r>
              <w:rPr>
                <w:rFonts w:ascii="Arial" w:eastAsia="Arial Unicode MS" w:hAnsi="Arial" w:cs="Arial"/>
                <w:sz w:val="18"/>
                <w:szCs w:val="18"/>
                <w:lang w:val="en-GB" w:eastAsia="bg-BG"/>
              </w:rPr>
              <w:t>20,705</w:t>
            </w:r>
          </w:p>
        </w:tc>
      </w:tr>
      <w:tr w:rsidR="008F17B6" w:rsidRPr="00721663" w14:paraId="092DE351" w14:textId="77777777" w:rsidTr="00551604">
        <w:trPr>
          <w:trHeight w:val="300"/>
        </w:trPr>
        <w:tc>
          <w:tcPr>
            <w:tcW w:w="3544" w:type="dxa"/>
            <w:tcBorders>
              <w:top w:val="nil"/>
              <w:left w:val="nil"/>
              <w:bottom w:val="nil"/>
              <w:right w:val="nil"/>
            </w:tcBorders>
            <w:vAlign w:val="center"/>
          </w:tcPr>
          <w:p w14:paraId="04FF0BAF" w14:textId="77777777" w:rsidR="008F17B6" w:rsidRPr="00721663" w:rsidRDefault="008F17B6" w:rsidP="008F17B6">
            <w:pPr>
              <w:spacing w:line="240" w:lineRule="auto"/>
              <w:jc w:val="left"/>
              <w:rPr>
                <w:rFonts w:ascii="Arial" w:eastAsia="Arial Unicode MS" w:hAnsi="Arial" w:cs="Arial"/>
                <w:sz w:val="18"/>
                <w:szCs w:val="18"/>
                <w:lang w:val="bg-BG"/>
              </w:rPr>
            </w:pPr>
            <w:r w:rsidRPr="00721663">
              <w:rPr>
                <w:rFonts w:ascii="Arial" w:hAnsi="Arial" w:cs="Arial"/>
                <w:sz w:val="18"/>
                <w:szCs w:val="18"/>
                <w:lang w:val="bg-BG"/>
              </w:rPr>
              <w:t>Търговски задължения</w:t>
            </w:r>
          </w:p>
        </w:tc>
        <w:tc>
          <w:tcPr>
            <w:tcW w:w="1559" w:type="dxa"/>
            <w:tcBorders>
              <w:top w:val="nil"/>
              <w:left w:val="nil"/>
              <w:bottom w:val="single" w:sz="4" w:space="0" w:color="auto"/>
              <w:right w:val="nil"/>
            </w:tcBorders>
            <w:noWrap/>
            <w:vAlign w:val="bottom"/>
          </w:tcPr>
          <w:p w14:paraId="476FE96D" w14:textId="22CF3F00" w:rsidR="008F17B6" w:rsidRPr="00BC2D1E" w:rsidRDefault="008F17B6" w:rsidP="008F17B6">
            <w:pPr>
              <w:pStyle w:val="xl40"/>
              <w:spacing w:before="0" w:beforeAutospacing="0" w:after="0" w:afterAutospacing="0" w:line="240" w:lineRule="auto"/>
              <w:ind w:right="197"/>
              <w:jc w:val="right"/>
              <w:textAlignment w:val="auto"/>
              <w:rPr>
                <w:rFonts w:ascii="Arial" w:hAnsi="Arial" w:cs="Arial"/>
                <w:b w:val="0"/>
                <w:sz w:val="18"/>
                <w:szCs w:val="18"/>
                <w:lang w:val="en-GB"/>
              </w:rPr>
            </w:pPr>
            <w:r>
              <w:rPr>
                <w:rFonts w:ascii="Arial" w:hAnsi="Arial" w:cs="Arial"/>
                <w:b w:val="0"/>
                <w:sz w:val="18"/>
                <w:szCs w:val="18"/>
                <w:lang w:val="en-GB"/>
              </w:rPr>
              <w:t>-</w:t>
            </w:r>
          </w:p>
        </w:tc>
        <w:tc>
          <w:tcPr>
            <w:tcW w:w="142" w:type="dxa"/>
            <w:tcBorders>
              <w:top w:val="nil"/>
              <w:left w:val="nil"/>
              <w:bottom w:val="nil"/>
              <w:right w:val="nil"/>
            </w:tcBorders>
            <w:noWrap/>
            <w:tcMar>
              <w:top w:w="0" w:type="dxa"/>
              <w:left w:w="15" w:type="dxa"/>
              <w:bottom w:w="0" w:type="dxa"/>
              <w:right w:w="15" w:type="dxa"/>
            </w:tcMar>
            <w:vAlign w:val="bottom"/>
          </w:tcPr>
          <w:p w14:paraId="2B5AE4EC" w14:textId="77777777" w:rsidR="008F17B6" w:rsidRPr="00BC2D1E" w:rsidRDefault="008F17B6" w:rsidP="008F17B6">
            <w:pPr>
              <w:spacing w:line="240" w:lineRule="auto"/>
              <w:jc w:val="right"/>
              <w:rPr>
                <w:rFonts w:ascii="Arial" w:eastAsia="Arial Unicode MS" w:hAnsi="Arial" w:cs="Arial"/>
                <w:sz w:val="18"/>
                <w:szCs w:val="18"/>
                <w:lang w:val="en-GB"/>
              </w:rPr>
            </w:pPr>
          </w:p>
        </w:tc>
        <w:tc>
          <w:tcPr>
            <w:tcW w:w="1276" w:type="dxa"/>
            <w:tcBorders>
              <w:top w:val="nil"/>
              <w:left w:val="nil"/>
              <w:bottom w:val="single" w:sz="4" w:space="0" w:color="auto"/>
              <w:right w:val="nil"/>
            </w:tcBorders>
            <w:tcMar>
              <w:top w:w="0" w:type="dxa"/>
              <w:left w:w="15" w:type="dxa"/>
              <w:bottom w:w="0" w:type="dxa"/>
              <w:right w:w="15" w:type="dxa"/>
            </w:tcMar>
            <w:vAlign w:val="bottom"/>
          </w:tcPr>
          <w:p w14:paraId="590D01E8" w14:textId="2B91B513" w:rsidR="008F17B6" w:rsidRPr="00BC2D1E" w:rsidRDefault="008F17B6" w:rsidP="008F17B6">
            <w:pPr>
              <w:spacing w:line="240" w:lineRule="auto"/>
              <w:ind w:right="147"/>
              <w:jc w:val="right"/>
              <w:rPr>
                <w:rFonts w:ascii="Arial" w:eastAsia="Arial Unicode MS" w:hAnsi="Arial" w:cs="Arial"/>
                <w:sz w:val="18"/>
                <w:szCs w:val="18"/>
                <w:lang w:val="en-GB"/>
              </w:rPr>
            </w:pPr>
            <w:r>
              <w:rPr>
                <w:rFonts w:ascii="Arial" w:eastAsia="Arial Unicode MS" w:hAnsi="Arial" w:cs="Arial"/>
                <w:sz w:val="18"/>
                <w:szCs w:val="18"/>
                <w:lang w:val="en-GB" w:eastAsia="bg-BG"/>
              </w:rPr>
              <w:t>315</w:t>
            </w:r>
          </w:p>
        </w:tc>
        <w:tc>
          <w:tcPr>
            <w:tcW w:w="142" w:type="dxa"/>
            <w:tcBorders>
              <w:top w:val="nil"/>
              <w:left w:val="nil"/>
              <w:bottom w:val="nil"/>
              <w:right w:val="nil"/>
            </w:tcBorders>
            <w:tcMar>
              <w:top w:w="0" w:type="dxa"/>
              <w:left w:w="15" w:type="dxa"/>
              <w:bottom w:w="0" w:type="dxa"/>
              <w:right w:w="15" w:type="dxa"/>
            </w:tcMar>
            <w:vAlign w:val="bottom"/>
          </w:tcPr>
          <w:p w14:paraId="630F08C1" w14:textId="77777777" w:rsidR="008F17B6" w:rsidRPr="00BC2D1E" w:rsidRDefault="008F17B6" w:rsidP="008F17B6">
            <w:pPr>
              <w:spacing w:line="240" w:lineRule="auto"/>
              <w:jc w:val="right"/>
              <w:rPr>
                <w:rFonts w:ascii="Arial" w:eastAsia="Arial Unicode MS" w:hAnsi="Arial" w:cs="Arial"/>
                <w:sz w:val="18"/>
                <w:szCs w:val="18"/>
                <w:lang w:val="en-GB"/>
              </w:rPr>
            </w:pPr>
          </w:p>
        </w:tc>
        <w:tc>
          <w:tcPr>
            <w:tcW w:w="1417" w:type="dxa"/>
            <w:tcBorders>
              <w:top w:val="nil"/>
              <w:left w:val="nil"/>
              <w:bottom w:val="single" w:sz="4" w:space="0" w:color="auto"/>
              <w:right w:val="nil"/>
            </w:tcBorders>
            <w:noWrap/>
            <w:tcMar>
              <w:top w:w="15" w:type="dxa"/>
              <w:left w:w="15" w:type="dxa"/>
              <w:bottom w:w="0" w:type="dxa"/>
              <w:right w:w="15" w:type="dxa"/>
            </w:tcMar>
            <w:vAlign w:val="bottom"/>
          </w:tcPr>
          <w:p w14:paraId="52CFCE65" w14:textId="173A12BC" w:rsidR="008F17B6" w:rsidRPr="00BC2D1E" w:rsidRDefault="008F17B6" w:rsidP="008F17B6">
            <w:pPr>
              <w:spacing w:line="240" w:lineRule="auto"/>
              <w:ind w:right="80"/>
              <w:jc w:val="right"/>
              <w:rPr>
                <w:rFonts w:ascii="Arial" w:eastAsia="Arial Unicode MS" w:hAnsi="Arial" w:cs="Arial"/>
                <w:sz w:val="18"/>
                <w:szCs w:val="18"/>
                <w:lang w:val="en-GB"/>
              </w:rPr>
            </w:pPr>
            <w:r>
              <w:rPr>
                <w:rFonts w:ascii="Arial" w:eastAsia="Arial Unicode MS" w:hAnsi="Arial" w:cs="Arial"/>
                <w:sz w:val="18"/>
                <w:szCs w:val="18"/>
                <w:lang w:val="en-GB" w:eastAsia="bg-BG"/>
              </w:rPr>
              <w:t>315</w:t>
            </w:r>
          </w:p>
        </w:tc>
      </w:tr>
      <w:tr w:rsidR="008F17B6" w:rsidRPr="00721663" w14:paraId="7861B969" w14:textId="77777777" w:rsidTr="00551604">
        <w:trPr>
          <w:trHeight w:val="300"/>
        </w:trPr>
        <w:tc>
          <w:tcPr>
            <w:tcW w:w="3544" w:type="dxa"/>
            <w:tcBorders>
              <w:top w:val="nil"/>
              <w:left w:val="nil"/>
              <w:bottom w:val="nil"/>
              <w:right w:val="nil"/>
            </w:tcBorders>
            <w:noWrap/>
            <w:tcMar>
              <w:top w:w="0" w:type="dxa"/>
              <w:left w:w="15" w:type="dxa"/>
              <w:bottom w:w="0" w:type="dxa"/>
              <w:right w:w="15" w:type="dxa"/>
            </w:tcMar>
            <w:vAlign w:val="bottom"/>
          </w:tcPr>
          <w:p w14:paraId="4076601C" w14:textId="77777777" w:rsidR="008F17B6" w:rsidRPr="00721663" w:rsidRDefault="008F17B6" w:rsidP="008F17B6">
            <w:pPr>
              <w:spacing w:line="240" w:lineRule="auto"/>
              <w:rPr>
                <w:rFonts w:ascii="Arial" w:eastAsia="Arial Unicode MS" w:hAnsi="Arial" w:cs="Arial"/>
                <w:b/>
                <w:bCs/>
                <w:sz w:val="18"/>
                <w:szCs w:val="18"/>
                <w:lang w:val="bg-BG"/>
              </w:rPr>
            </w:pPr>
            <w:r w:rsidRPr="00721663">
              <w:rPr>
                <w:rFonts w:ascii="Arial" w:hAnsi="Arial" w:cs="Arial"/>
                <w:b/>
                <w:bCs/>
                <w:sz w:val="18"/>
                <w:szCs w:val="18"/>
                <w:lang w:val="bg-BG"/>
              </w:rPr>
              <w:t>Общо:</w:t>
            </w:r>
          </w:p>
        </w:tc>
        <w:tc>
          <w:tcPr>
            <w:tcW w:w="1559" w:type="dxa"/>
            <w:tcBorders>
              <w:top w:val="single" w:sz="4" w:space="0" w:color="auto"/>
              <w:left w:val="nil"/>
              <w:bottom w:val="double" w:sz="4" w:space="0" w:color="auto"/>
              <w:right w:val="nil"/>
            </w:tcBorders>
            <w:noWrap/>
            <w:tcMar>
              <w:top w:w="0" w:type="dxa"/>
              <w:left w:w="15" w:type="dxa"/>
              <w:bottom w:w="0" w:type="dxa"/>
              <w:right w:w="15" w:type="dxa"/>
            </w:tcMar>
            <w:vAlign w:val="bottom"/>
          </w:tcPr>
          <w:p w14:paraId="1851E92B" w14:textId="131F6CB1" w:rsidR="008F17B6" w:rsidRPr="00BC2D1E" w:rsidRDefault="008F17B6" w:rsidP="008F17B6">
            <w:pPr>
              <w:pStyle w:val="xl40"/>
              <w:spacing w:before="0" w:beforeAutospacing="0" w:after="0" w:afterAutospacing="0" w:line="240" w:lineRule="auto"/>
              <w:ind w:right="197"/>
              <w:jc w:val="right"/>
              <w:textAlignment w:val="auto"/>
              <w:rPr>
                <w:rFonts w:ascii="Arial" w:eastAsia="Times New Roman" w:hAnsi="Arial" w:cs="Arial"/>
                <w:bCs w:val="0"/>
                <w:sz w:val="18"/>
                <w:szCs w:val="18"/>
                <w:lang w:val="en-GB"/>
              </w:rPr>
            </w:pPr>
            <w:r>
              <w:rPr>
                <w:rFonts w:ascii="Arial" w:eastAsia="Times New Roman" w:hAnsi="Arial" w:cs="Arial"/>
                <w:bCs w:val="0"/>
                <w:sz w:val="18"/>
                <w:szCs w:val="18"/>
                <w:lang w:val="en-GB"/>
              </w:rPr>
              <w:t>19,989</w:t>
            </w:r>
          </w:p>
        </w:tc>
        <w:tc>
          <w:tcPr>
            <w:tcW w:w="142" w:type="dxa"/>
            <w:tcBorders>
              <w:top w:val="nil"/>
              <w:left w:val="nil"/>
              <w:bottom w:val="nil"/>
              <w:right w:val="nil"/>
            </w:tcBorders>
            <w:noWrap/>
            <w:tcMar>
              <w:top w:w="0" w:type="dxa"/>
              <w:left w:w="15" w:type="dxa"/>
              <w:bottom w:w="0" w:type="dxa"/>
              <w:right w:w="15" w:type="dxa"/>
            </w:tcMar>
            <w:vAlign w:val="bottom"/>
          </w:tcPr>
          <w:p w14:paraId="196AC5AE" w14:textId="77777777" w:rsidR="008F17B6" w:rsidRPr="00BC2D1E" w:rsidRDefault="008F17B6" w:rsidP="008F17B6">
            <w:pPr>
              <w:spacing w:line="240" w:lineRule="auto"/>
              <w:jc w:val="right"/>
              <w:rPr>
                <w:rFonts w:ascii="Arial" w:eastAsia="Arial Unicode MS" w:hAnsi="Arial" w:cs="Arial"/>
                <w:b/>
                <w:bCs/>
                <w:sz w:val="18"/>
                <w:szCs w:val="18"/>
                <w:lang w:val="en-GB"/>
              </w:rPr>
            </w:pPr>
          </w:p>
        </w:tc>
        <w:tc>
          <w:tcPr>
            <w:tcW w:w="1276" w:type="dxa"/>
            <w:tcBorders>
              <w:top w:val="single" w:sz="4" w:space="0" w:color="auto"/>
              <w:left w:val="nil"/>
              <w:bottom w:val="double" w:sz="4" w:space="0" w:color="auto"/>
              <w:right w:val="nil"/>
            </w:tcBorders>
            <w:noWrap/>
            <w:tcMar>
              <w:top w:w="15" w:type="dxa"/>
              <w:left w:w="15" w:type="dxa"/>
              <w:bottom w:w="0" w:type="dxa"/>
              <w:right w:w="15" w:type="dxa"/>
            </w:tcMar>
            <w:vAlign w:val="bottom"/>
          </w:tcPr>
          <w:p w14:paraId="302E5A63" w14:textId="17648CA8" w:rsidR="008F17B6" w:rsidRPr="00BC2D1E" w:rsidRDefault="008F17B6" w:rsidP="008F17B6">
            <w:pPr>
              <w:spacing w:line="240" w:lineRule="auto"/>
              <w:ind w:right="147"/>
              <w:jc w:val="right"/>
              <w:rPr>
                <w:rFonts w:ascii="Arial" w:eastAsia="Arial Unicode MS" w:hAnsi="Arial" w:cs="Arial"/>
                <w:b/>
                <w:bCs/>
                <w:sz w:val="18"/>
                <w:szCs w:val="18"/>
                <w:lang w:val="en-GB"/>
              </w:rPr>
            </w:pPr>
            <w:r>
              <w:rPr>
                <w:rFonts w:ascii="Arial" w:eastAsia="Arial Unicode MS" w:hAnsi="Arial" w:cs="Arial"/>
                <w:b/>
                <w:bCs/>
                <w:sz w:val="18"/>
                <w:szCs w:val="18"/>
                <w:lang w:val="en-GB" w:eastAsia="bg-BG"/>
              </w:rPr>
              <w:t>1,031</w:t>
            </w:r>
          </w:p>
        </w:tc>
        <w:tc>
          <w:tcPr>
            <w:tcW w:w="142" w:type="dxa"/>
            <w:tcBorders>
              <w:top w:val="nil"/>
              <w:left w:val="nil"/>
              <w:bottom w:val="nil"/>
              <w:right w:val="nil"/>
            </w:tcBorders>
            <w:tcMar>
              <w:top w:w="0" w:type="dxa"/>
              <w:left w:w="15" w:type="dxa"/>
              <w:bottom w:w="0" w:type="dxa"/>
              <w:right w:w="15" w:type="dxa"/>
            </w:tcMar>
            <w:vAlign w:val="bottom"/>
          </w:tcPr>
          <w:p w14:paraId="7D4E47F3" w14:textId="77777777" w:rsidR="008F17B6" w:rsidRPr="00BC2D1E" w:rsidRDefault="008F17B6" w:rsidP="008F17B6">
            <w:pPr>
              <w:spacing w:line="240" w:lineRule="auto"/>
              <w:jc w:val="right"/>
              <w:rPr>
                <w:rFonts w:ascii="Arial" w:eastAsia="Arial Unicode MS" w:hAnsi="Arial" w:cs="Arial"/>
                <w:b/>
                <w:bCs/>
                <w:sz w:val="18"/>
                <w:szCs w:val="18"/>
                <w:highlight w:val="yellow"/>
                <w:lang w:val="en-GB"/>
              </w:rPr>
            </w:pPr>
          </w:p>
        </w:tc>
        <w:tc>
          <w:tcPr>
            <w:tcW w:w="1417" w:type="dxa"/>
            <w:tcBorders>
              <w:top w:val="single" w:sz="4" w:space="0" w:color="auto"/>
              <w:left w:val="nil"/>
              <w:bottom w:val="double" w:sz="4" w:space="0" w:color="auto"/>
              <w:right w:val="nil"/>
            </w:tcBorders>
            <w:noWrap/>
            <w:tcMar>
              <w:top w:w="15" w:type="dxa"/>
              <w:left w:w="15" w:type="dxa"/>
              <w:bottom w:w="0" w:type="dxa"/>
              <w:right w:w="15" w:type="dxa"/>
            </w:tcMar>
            <w:vAlign w:val="bottom"/>
          </w:tcPr>
          <w:p w14:paraId="3F2B3A20" w14:textId="233FE69C" w:rsidR="008F17B6" w:rsidRPr="00BC2D1E" w:rsidRDefault="008F17B6" w:rsidP="008F17B6">
            <w:pPr>
              <w:pStyle w:val="xl40"/>
              <w:spacing w:before="0" w:beforeAutospacing="0" w:after="0" w:afterAutospacing="0" w:line="240" w:lineRule="auto"/>
              <w:ind w:right="80"/>
              <w:jc w:val="right"/>
              <w:textAlignment w:val="auto"/>
              <w:rPr>
                <w:rFonts w:ascii="Arial" w:hAnsi="Arial" w:cs="Arial"/>
                <w:bCs w:val="0"/>
                <w:sz w:val="18"/>
                <w:szCs w:val="18"/>
                <w:highlight w:val="yellow"/>
                <w:lang w:val="en-GB"/>
              </w:rPr>
            </w:pPr>
            <w:r>
              <w:rPr>
                <w:rFonts w:ascii="Arial" w:hAnsi="Arial" w:cs="Arial"/>
                <w:bCs w:val="0"/>
                <w:sz w:val="18"/>
                <w:szCs w:val="18"/>
                <w:lang w:val="en-GB"/>
              </w:rPr>
              <w:t>21,020</w:t>
            </w:r>
          </w:p>
        </w:tc>
      </w:tr>
    </w:tbl>
    <w:p w14:paraId="484744A5" w14:textId="77777777" w:rsidR="008F17B6" w:rsidRDefault="008F17B6" w:rsidP="00E07C4E">
      <w:pPr>
        <w:pStyle w:val="Notesbodytext"/>
        <w:spacing w:before="120"/>
        <w:rPr>
          <w:rFonts w:ascii="Arial" w:hAnsi="Arial"/>
          <w:szCs w:val="18"/>
          <w:lang w:val="bg-BG"/>
        </w:rPr>
      </w:pPr>
    </w:p>
    <w:p w14:paraId="26E23D46" w14:textId="77777777" w:rsidR="008F17B6" w:rsidRDefault="008F17B6">
      <w:pPr>
        <w:spacing w:line="240" w:lineRule="auto"/>
        <w:jc w:val="left"/>
        <w:rPr>
          <w:rFonts w:ascii="Arial" w:hAnsi="Arial" w:cs="Arial"/>
          <w:color w:val="000000"/>
          <w:sz w:val="18"/>
          <w:szCs w:val="18"/>
          <w:lang w:val="bg-BG"/>
        </w:rPr>
      </w:pPr>
      <w:r>
        <w:rPr>
          <w:rFonts w:ascii="Arial" w:hAnsi="Arial"/>
          <w:szCs w:val="18"/>
          <w:lang w:val="bg-BG"/>
        </w:rPr>
        <w:br w:type="page"/>
      </w:r>
    </w:p>
    <w:p w14:paraId="7B322838" w14:textId="77777777" w:rsidR="008F17B6" w:rsidRPr="008F17B6" w:rsidRDefault="008F17B6" w:rsidP="008F17B6">
      <w:pPr>
        <w:pStyle w:val="BodyText"/>
        <w:jc w:val="left"/>
        <w:rPr>
          <w:rFonts w:ascii="Arial" w:hAnsi="Arial" w:cs="Arial"/>
          <w:b/>
          <w:lang w:val="bg-BG"/>
        </w:rPr>
      </w:pPr>
      <w:r w:rsidRPr="008F17B6">
        <w:rPr>
          <w:rFonts w:ascii="Arial" w:hAnsi="Arial" w:cs="Arial"/>
          <w:b/>
          <w:lang w:val="bg-BG"/>
        </w:rPr>
        <w:t>17. Цели и политики за управление на финансовия риск (продължение)</w:t>
      </w:r>
    </w:p>
    <w:p w14:paraId="361EE5D6" w14:textId="5A640760" w:rsidR="008F17B6" w:rsidRPr="00721663" w:rsidRDefault="008F17B6" w:rsidP="008F17B6">
      <w:pPr>
        <w:spacing w:after="80"/>
        <w:jc w:val="left"/>
        <w:rPr>
          <w:rFonts w:ascii="Arial" w:hAnsi="Arial" w:cs="Arial"/>
          <w:b/>
          <w:sz w:val="18"/>
          <w:szCs w:val="18"/>
          <w:lang w:val="bg-BG"/>
        </w:rPr>
      </w:pPr>
      <w:r w:rsidRPr="00721663">
        <w:rPr>
          <w:rFonts w:ascii="Arial" w:hAnsi="Arial" w:cs="Arial"/>
          <w:b/>
          <w:sz w:val="18"/>
          <w:szCs w:val="18"/>
          <w:lang w:val="bg-BG"/>
        </w:rPr>
        <w:t>Лихвен риск</w:t>
      </w:r>
      <w:r>
        <w:rPr>
          <w:rFonts w:ascii="Arial" w:hAnsi="Arial" w:cs="Arial"/>
          <w:b/>
          <w:sz w:val="18"/>
          <w:szCs w:val="18"/>
          <w:lang w:val="bg-BG"/>
        </w:rPr>
        <w:t xml:space="preserve"> (продължение)</w:t>
      </w:r>
    </w:p>
    <w:p w14:paraId="5812DE8A" w14:textId="712155B7" w:rsidR="00E07C4E" w:rsidRPr="00721663" w:rsidRDefault="00E07C4E" w:rsidP="00E07C4E">
      <w:pPr>
        <w:pStyle w:val="Notesbodytext"/>
        <w:spacing w:before="120"/>
        <w:rPr>
          <w:rFonts w:ascii="Arial" w:hAnsi="Arial"/>
          <w:szCs w:val="18"/>
          <w:lang w:val="bg-BG"/>
        </w:rPr>
      </w:pPr>
      <w:r w:rsidRPr="00721663">
        <w:rPr>
          <w:rFonts w:ascii="Arial" w:hAnsi="Arial"/>
          <w:szCs w:val="18"/>
          <w:lang w:val="bg-BG"/>
        </w:rPr>
        <w:t>Таблицата по-долу показва чувствителността към евентуална възможна промяна във обменните курсове, като всички други променливи величини са запазени постоянни, на финансовия резултат на Групата преди данъци (чрез промени в задълженията с плаващ лихвен процент):</w:t>
      </w:r>
    </w:p>
    <w:tbl>
      <w:tblPr>
        <w:tblW w:w="8080" w:type="dxa"/>
        <w:tblInd w:w="72" w:type="dxa"/>
        <w:tblLayout w:type="fixed"/>
        <w:tblCellMar>
          <w:left w:w="72" w:type="dxa"/>
          <w:right w:w="72" w:type="dxa"/>
        </w:tblCellMar>
        <w:tblLook w:val="01E0" w:firstRow="1" w:lastRow="1" w:firstColumn="1" w:lastColumn="1" w:noHBand="0" w:noVBand="0"/>
      </w:tblPr>
      <w:tblGrid>
        <w:gridCol w:w="2268"/>
        <w:gridCol w:w="3119"/>
        <w:gridCol w:w="2693"/>
      </w:tblGrid>
      <w:tr w:rsidR="00E07C4E" w:rsidRPr="00721663" w14:paraId="56D2FDBD" w14:textId="77777777" w:rsidTr="00551604">
        <w:trPr>
          <w:trHeight w:hRule="exact" w:val="472"/>
        </w:trPr>
        <w:tc>
          <w:tcPr>
            <w:tcW w:w="2268" w:type="dxa"/>
            <w:vAlign w:val="center"/>
          </w:tcPr>
          <w:p w14:paraId="66F03576" w14:textId="77777777" w:rsidR="00E07C4E" w:rsidRPr="00721663" w:rsidRDefault="00E07C4E" w:rsidP="00551604">
            <w:pPr>
              <w:pStyle w:val="tabletxthd"/>
              <w:rPr>
                <w:rFonts w:ascii="Arial" w:hAnsi="Arial" w:cs="Arial"/>
                <w:noProof w:val="0"/>
                <w:sz w:val="18"/>
                <w:szCs w:val="18"/>
                <w:lang w:val="bg-BG"/>
              </w:rPr>
            </w:pPr>
          </w:p>
        </w:tc>
        <w:tc>
          <w:tcPr>
            <w:tcW w:w="3119" w:type="dxa"/>
            <w:vAlign w:val="bottom"/>
          </w:tcPr>
          <w:p w14:paraId="283FEE33" w14:textId="77777777" w:rsidR="00E07C4E" w:rsidRPr="00721663" w:rsidRDefault="00E07C4E" w:rsidP="00551604">
            <w:pPr>
              <w:pStyle w:val="tabletxthdital"/>
              <w:tabs>
                <w:tab w:val="clear" w:pos="782"/>
                <w:tab w:val="right" w:pos="919"/>
              </w:tabs>
              <w:jc w:val="right"/>
              <w:rPr>
                <w:rFonts w:ascii="Arial" w:hAnsi="Arial" w:cs="Arial"/>
                <w:i w:val="0"/>
                <w:sz w:val="18"/>
                <w:szCs w:val="18"/>
                <w:lang w:val="bg-BG"/>
              </w:rPr>
            </w:pPr>
            <w:r w:rsidRPr="00721663">
              <w:rPr>
                <w:rFonts w:ascii="Arial" w:hAnsi="Arial" w:cs="Arial"/>
                <w:i w:val="0"/>
                <w:sz w:val="18"/>
                <w:szCs w:val="18"/>
                <w:lang w:val="bg-BG"/>
              </w:rPr>
              <w:t>Увеличение/намаление на лихвения процент</w:t>
            </w:r>
          </w:p>
        </w:tc>
        <w:tc>
          <w:tcPr>
            <w:tcW w:w="2693" w:type="dxa"/>
            <w:vAlign w:val="bottom"/>
          </w:tcPr>
          <w:p w14:paraId="37A1D772" w14:textId="77777777" w:rsidR="00E07C4E" w:rsidRPr="00721663" w:rsidRDefault="00E07C4E" w:rsidP="00551604">
            <w:pPr>
              <w:pStyle w:val="tabletxthdital"/>
              <w:tabs>
                <w:tab w:val="clear" w:pos="782"/>
                <w:tab w:val="decimal" w:pos="810"/>
              </w:tabs>
              <w:jc w:val="right"/>
              <w:rPr>
                <w:rFonts w:ascii="Arial" w:hAnsi="Arial" w:cs="Arial"/>
                <w:i w:val="0"/>
                <w:sz w:val="18"/>
                <w:szCs w:val="18"/>
                <w:lang w:val="bg-BG"/>
              </w:rPr>
            </w:pPr>
            <w:r w:rsidRPr="00721663">
              <w:rPr>
                <w:rFonts w:ascii="Arial" w:hAnsi="Arial" w:cs="Arial"/>
                <w:i w:val="0"/>
                <w:sz w:val="18"/>
                <w:szCs w:val="18"/>
                <w:lang w:val="bg-BG"/>
              </w:rPr>
              <w:t>Ефект върху резултата преди данъци</w:t>
            </w:r>
          </w:p>
        </w:tc>
      </w:tr>
      <w:tr w:rsidR="00E07C4E" w:rsidRPr="00721663" w14:paraId="197915E3" w14:textId="77777777" w:rsidTr="00551604">
        <w:tc>
          <w:tcPr>
            <w:tcW w:w="2268" w:type="dxa"/>
            <w:vAlign w:val="center"/>
          </w:tcPr>
          <w:p w14:paraId="775D26E1" w14:textId="77777777" w:rsidR="00E07C4E" w:rsidRPr="00721663" w:rsidRDefault="00E07C4E" w:rsidP="00551604">
            <w:pPr>
              <w:pStyle w:val="tabletxtns"/>
              <w:rPr>
                <w:rFonts w:ascii="Arial" w:hAnsi="Arial" w:cs="Arial"/>
                <w:sz w:val="18"/>
                <w:szCs w:val="18"/>
                <w:lang w:val="bg-BG"/>
              </w:rPr>
            </w:pPr>
          </w:p>
        </w:tc>
        <w:tc>
          <w:tcPr>
            <w:tcW w:w="3119" w:type="dxa"/>
            <w:vAlign w:val="center"/>
          </w:tcPr>
          <w:p w14:paraId="4BA9832B" w14:textId="77777777" w:rsidR="00E07C4E" w:rsidRPr="00721663" w:rsidRDefault="00E07C4E" w:rsidP="00551604">
            <w:pPr>
              <w:pStyle w:val="tabletxtns"/>
              <w:tabs>
                <w:tab w:val="decimal" w:pos="782"/>
              </w:tabs>
              <w:rPr>
                <w:rFonts w:ascii="Arial" w:hAnsi="Arial" w:cs="Arial"/>
                <w:sz w:val="18"/>
                <w:szCs w:val="18"/>
                <w:lang w:val="bg-BG"/>
              </w:rPr>
            </w:pPr>
          </w:p>
        </w:tc>
        <w:tc>
          <w:tcPr>
            <w:tcW w:w="2693" w:type="dxa"/>
            <w:vAlign w:val="center"/>
          </w:tcPr>
          <w:p w14:paraId="4119E528" w14:textId="77777777" w:rsidR="00E07C4E" w:rsidRPr="00721663" w:rsidRDefault="00E07C4E" w:rsidP="00551604">
            <w:pPr>
              <w:pStyle w:val="tabletxtns"/>
              <w:tabs>
                <w:tab w:val="decimal" w:pos="887"/>
              </w:tabs>
              <w:rPr>
                <w:rFonts w:ascii="Arial" w:hAnsi="Arial" w:cs="Arial"/>
                <w:sz w:val="18"/>
                <w:szCs w:val="18"/>
                <w:lang w:val="bg-BG"/>
              </w:rPr>
            </w:pPr>
          </w:p>
        </w:tc>
      </w:tr>
      <w:tr w:rsidR="00E07C4E" w:rsidRPr="00721663" w14:paraId="3536ACF4" w14:textId="77777777" w:rsidTr="00551604">
        <w:trPr>
          <w:trHeight w:hRule="exact" w:val="301"/>
        </w:trPr>
        <w:tc>
          <w:tcPr>
            <w:tcW w:w="2268" w:type="dxa"/>
            <w:vAlign w:val="center"/>
          </w:tcPr>
          <w:p w14:paraId="55495D96" w14:textId="77777777" w:rsidR="00E07C4E" w:rsidRPr="00721663" w:rsidRDefault="00E07C4E" w:rsidP="00551604">
            <w:pPr>
              <w:pStyle w:val="tabletxteyg"/>
              <w:spacing w:after="0" w:line="200" w:lineRule="exact"/>
              <w:rPr>
                <w:rFonts w:ascii="Arial" w:hAnsi="Arial" w:cs="Arial"/>
                <w:sz w:val="18"/>
                <w:szCs w:val="18"/>
                <w:lang w:val="bg-BG"/>
              </w:rPr>
            </w:pPr>
            <w:r>
              <w:rPr>
                <w:rFonts w:ascii="Arial" w:hAnsi="Arial" w:cs="Arial"/>
                <w:sz w:val="18"/>
                <w:szCs w:val="18"/>
                <w:lang w:val="bg-BG"/>
              </w:rPr>
              <w:t>2016</w:t>
            </w:r>
            <w:r w:rsidRPr="00721663">
              <w:rPr>
                <w:rFonts w:ascii="Arial" w:hAnsi="Arial" w:cs="Arial"/>
                <w:sz w:val="18"/>
                <w:szCs w:val="18"/>
                <w:lang w:val="bg-BG"/>
              </w:rPr>
              <w:t xml:space="preserve"> г.</w:t>
            </w:r>
          </w:p>
        </w:tc>
        <w:tc>
          <w:tcPr>
            <w:tcW w:w="3119" w:type="dxa"/>
            <w:vAlign w:val="center"/>
          </w:tcPr>
          <w:p w14:paraId="7A981F33" w14:textId="77777777" w:rsidR="00E07C4E" w:rsidRPr="00721663" w:rsidRDefault="00E07C4E" w:rsidP="00551604">
            <w:pPr>
              <w:pStyle w:val="tabletxtssm"/>
              <w:tabs>
                <w:tab w:val="clear" w:pos="504"/>
                <w:tab w:val="decimal" w:pos="633"/>
              </w:tabs>
              <w:jc w:val="right"/>
              <w:rPr>
                <w:rFonts w:ascii="Arial" w:hAnsi="Arial" w:cs="Arial"/>
                <w:noProof w:val="0"/>
                <w:sz w:val="18"/>
                <w:szCs w:val="18"/>
                <w:lang w:val="bg-BG"/>
              </w:rPr>
            </w:pPr>
            <w:r w:rsidRPr="00721663">
              <w:rPr>
                <w:rFonts w:ascii="Arial" w:hAnsi="Arial" w:cs="Arial"/>
                <w:noProof w:val="0"/>
                <w:sz w:val="18"/>
                <w:szCs w:val="18"/>
                <w:lang w:val="bg-BG"/>
              </w:rPr>
              <w:t>+2%</w:t>
            </w:r>
          </w:p>
        </w:tc>
        <w:tc>
          <w:tcPr>
            <w:tcW w:w="2693" w:type="dxa"/>
            <w:vAlign w:val="center"/>
          </w:tcPr>
          <w:p w14:paraId="38F1F452" w14:textId="0BDCEFCF" w:rsidR="00E07C4E" w:rsidRPr="00721663" w:rsidRDefault="00E07C4E" w:rsidP="008F17B6">
            <w:pPr>
              <w:pStyle w:val="tabletxtssm"/>
              <w:tabs>
                <w:tab w:val="clear" w:pos="504"/>
                <w:tab w:val="decimal" w:pos="764"/>
              </w:tabs>
              <w:jc w:val="right"/>
              <w:rPr>
                <w:rFonts w:ascii="Arial" w:hAnsi="Arial" w:cs="Arial"/>
                <w:noProof w:val="0"/>
                <w:sz w:val="18"/>
                <w:szCs w:val="18"/>
                <w:lang w:val="bg-BG"/>
              </w:rPr>
            </w:pPr>
            <w:r w:rsidRPr="00721663">
              <w:rPr>
                <w:rFonts w:ascii="Arial" w:hAnsi="Arial" w:cs="Arial"/>
                <w:noProof w:val="0"/>
                <w:sz w:val="18"/>
                <w:szCs w:val="18"/>
                <w:lang w:val="bg-BG"/>
              </w:rPr>
              <w:t>(</w:t>
            </w:r>
            <w:r w:rsidR="008F17B6">
              <w:rPr>
                <w:rFonts w:ascii="Arial" w:hAnsi="Arial" w:cs="Arial"/>
                <w:noProof w:val="0"/>
                <w:sz w:val="18"/>
                <w:szCs w:val="18"/>
                <w:lang w:val="bg-BG"/>
              </w:rPr>
              <w:t>384</w:t>
            </w:r>
            <w:r w:rsidRPr="00721663">
              <w:rPr>
                <w:rFonts w:ascii="Arial" w:hAnsi="Arial" w:cs="Arial"/>
                <w:noProof w:val="0"/>
                <w:sz w:val="18"/>
                <w:szCs w:val="18"/>
                <w:lang w:val="bg-BG"/>
              </w:rPr>
              <w:t xml:space="preserve"> хил. лв)</w:t>
            </w:r>
          </w:p>
        </w:tc>
      </w:tr>
      <w:tr w:rsidR="00E07C4E" w:rsidRPr="00721663" w14:paraId="415390C7" w14:textId="77777777" w:rsidTr="00551604">
        <w:trPr>
          <w:trHeight w:hRule="exact" w:val="301"/>
        </w:trPr>
        <w:tc>
          <w:tcPr>
            <w:tcW w:w="2268" w:type="dxa"/>
            <w:vAlign w:val="center"/>
          </w:tcPr>
          <w:p w14:paraId="0D95EB34" w14:textId="77777777" w:rsidR="00E07C4E" w:rsidRPr="00721663" w:rsidRDefault="00E07C4E" w:rsidP="00551604">
            <w:pPr>
              <w:pStyle w:val="tabletxteyg"/>
              <w:spacing w:after="0" w:line="200" w:lineRule="exact"/>
              <w:rPr>
                <w:rFonts w:ascii="Arial" w:hAnsi="Arial" w:cs="Arial"/>
                <w:b/>
                <w:bCs/>
                <w:sz w:val="18"/>
                <w:szCs w:val="18"/>
                <w:lang w:val="bg-BG"/>
              </w:rPr>
            </w:pPr>
            <w:r w:rsidRPr="00721663">
              <w:rPr>
                <w:rFonts w:ascii="Arial" w:hAnsi="Arial" w:cs="Arial"/>
                <w:sz w:val="18"/>
                <w:szCs w:val="18"/>
                <w:lang w:val="bg-BG"/>
              </w:rPr>
              <w:t>(лева)</w:t>
            </w:r>
          </w:p>
        </w:tc>
        <w:tc>
          <w:tcPr>
            <w:tcW w:w="3119" w:type="dxa"/>
            <w:vAlign w:val="center"/>
          </w:tcPr>
          <w:p w14:paraId="4B6CE635" w14:textId="77777777" w:rsidR="00E07C4E" w:rsidRPr="00721663" w:rsidRDefault="00E07C4E" w:rsidP="00551604">
            <w:pPr>
              <w:pStyle w:val="tabletxtssm"/>
              <w:tabs>
                <w:tab w:val="clear" w:pos="504"/>
                <w:tab w:val="decimal" w:pos="633"/>
              </w:tabs>
              <w:jc w:val="right"/>
              <w:rPr>
                <w:rFonts w:ascii="Arial" w:hAnsi="Arial" w:cs="Arial"/>
                <w:noProof w:val="0"/>
                <w:sz w:val="18"/>
                <w:szCs w:val="18"/>
                <w:lang w:val="bg-BG"/>
              </w:rPr>
            </w:pPr>
            <w:r w:rsidRPr="00721663">
              <w:rPr>
                <w:rFonts w:ascii="Arial" w:hAnsi="Arial" w:cs="Arial"/>
                <w:noProof w:val="0"/>
                <w:sz w:val="18"/>
                <w:szCs w:val="18"/>
                <w:lang w:val="bg-BG"/>
              </w:rPr>
              <w:t>-2%</w:t>
            </w:r>
          </w:p>
        </w:tc>
        <w:tc>
          <w:tcPr>
            <w:tcW w:w="2693" w:type="dxa"/>
            <w:vAlign w:val="center"/>
          </w:tcPr>
          <w:p w14:paraId="2BC86190" w14:textId="34E181EB" w:rsidR="00E07C4E" w:rsidRPr="00721663" w:rsidRDefault="008F17B6" w:rsidP="00551604">
            <w:pPr>
              <w:pStyle w:val="tabletxtssm"/>
              <w:tabs>
                <w:tab w:val="clear" w:pos="504"/>
                <w:tab w:val="decimal" w:pos="764"/>
              </w:tabs>
              <w:jc w:val="right"/>
              <w:rPr>
                <w:rFonts w:ascii="Arial" w:hAnsi="Arial" w:cs="Arial"/>
                <w:noProof w:val="0"/>
                <w:sz w:val="18"/>
                <w:szCs w:val="18"/>
                <w:lang w:val="bg-BG"/>
              </w:rPr>
            </w:pPr>
            <w:r>
              <w:rPr>
                <w:rFonts w:ascii="Arial" w:hAnsi="Arial" w:cs="Arial"/>
                <w:noProof w:val="0"/>
                <w:sz w:val="18"/>
                <w:szCs w:val="18"/>
                <w:lang w:val="bg-BG"/>
              </w:rPr>
              <w:t>384</w:t>
            </w:r>
            <w:r w:rsidR="00E07C4E" w:rsidRPr="00721663">
              <w:rPr>
                <w:rFonts w:ascii="Arial" w:hAnsi="Arial" w:cs="Arial"/>
                <w:noProof w:val="0"/>
                <w:sz w:val="18"/>
                <w:szCs w:val="18"/>
                <w:lang w:val="bg-BG"/>
              </w:rPr>
              <w:t xml:space="preserve"> хил. лв.</w:t>
            </w:r>
          </w:p>
        </w:tc>
      </w:tr>
      <w:tr w:rsidR="00E07C4E" w:rsidRPr="00721663" w14:paraId="22B798A7" w14:textId="77777777" w:rsidTr="00551604">
        <w:trPr>
          <w:trHeight w:hRule="exact" w:val="301"/>
        </w:trPr>
        <w:tc>
          <w:tcPr>
            <w:tcW w:w="2268" w:type="dxa"/>
            <w:vAlign w:val="center"/>
          </w:tcPr>
          <w:p w14:paraId="3DE5F65D" w14:textId="372E5538" w:rsidR="00E07C4E" w:rsidRPr="00721663" w:rsidRDefault="00144930" w:rsidP="00551604">
            <w:pPr>
              <w:pStyle w:val="tabletxteyg"/>
              <w:spacing w:after="0" w:line="200" w:lineRule="exact"/>
              <w:rPr>
                <w:rFonts w:ascii="Arial" w:hAnsi="Arial" w:cs="Arial"/>
                <w:sz w:val="18"/>
                <w:szCs w:val="18"/>
                <w:lang w:val="bg-BG"/>
              </w:rPr>
            </w:pPr>
            <w:r>
              <w:rPr>
                <w:rFonts w:ascii="Arial" w:hAnsi="Arial" w:cs="Arial"/>
                <w:sz w:val="18"/>
                <w:szCs w:val="18"/>
                <w:lang w:val="bg-BG"/>
              </w:rPr>
              <w:t>2016</w:t>
            </w:r>
            <w:r w:rsidR="00E07C4E" w:rsidRPr="00721663">
              <w:rPr>
                <w:rFonts w:ascii="Arial" w:hAnsi="Arial" w:cs="Arial"/>
                <w:sz w:val="18"/>
                <w:szCs w:val="18"/>
                <w:lang w:val="bg-BG"/>
              </w:rPr>
              <w:t xml:space="preserve"> г.</w:t>
            </w:r>
          </w:p>
        </w:tc>
        <w:tc>
          <w:tcPr>
            <w:tcW w:w="3119" w:type="dxa"/>
            <w:vAlign w:val="center"/>
          </w:tcPr>
          <w:p w14:paraId="3A291FFB" w14:textId="77777777" w:rsidR="00E07C4E" w:rsidRPr="00721663" w:rsidRDefault="00E07C4E" w:rsidP="00551604">
            <w:pPr>
              <w:pStyle w:val="tabletxtssm"/>
              <w:tabs>
                <w:tab w:val="clear" w:pos="504"/>
                <w:tab w:val="decimal" w:pos="633"/>
              </w:tabs>
              <w:jc w:val="right"/>
              <w:rPr>
                <w:rFonts w:ascii="Arial" w:hAnsi="Arial" w:cs="Arial"/>
                <w:noProof w:val="0"/>
                <w:sz w:val="18"/>
                <w:szCs w:val="18"/>
                <w:lang w:val="bg-BG"/>
              </w:rPr>
            </w:pPr>
            <w:r w:rsidRPr="00721663">
              <w:rPr>
                <w:rFonts w:ascii="Arial" w:hAnsi="Arial" w:cs="Arial"/>
                <w:noProof w:val="0"/>
                <w:sz w:val="18"/>
                <w:szCs w:val="18"/>
                <w:lang w:val="bg-BG"/>
              </w:rPr>
              <w:t>+2%</w:t>
            </w:r>
          </w:p>
        </w:tc>
        <w:tc>
          <w:tcPr>
            <w:tcW w:w="2693" w:type="dxa"/>
            <w:vAlign w:val="center"/>
          </w:tcPr>
          <w:p w14:paraId="56BCC3FD" w14:textId="5C4B7715" w:rsidR="00E07C4E" w:rsidRPr="00721663" w:rsidRDefault="00E07C4E" w:rsidP="008F17B6">
            <w:pPr>
              <w:pStyle w:val="tabletxtssm"/>
              <w:tabs>
                <w:tab w:val="clear" w:pos="504"/>
                <w:tab w:val="decimal" w:pos="764"/>
              </w:tabs>
              <w:jc w:val="right"/>
              <w:rPr>
                <w:rFonts w:ascii="Arial" w:hAnsi="Arial" w:cs="Arial"/>
                <w:noProof w:val="0"/>
                <w:sz w:val="18"/>
                <w:szCs w:val="18"/>
                <w:lang w:val="bg-BG"/>
              </w:rPr>
            </w:pPr>
            <w:r w:rsidRPr="00721663">
              <w:rPr>
                <w:rFonts w:ascii="Arial" w:hAnsi="Arial" w:cs="Arial"/>
                <w:noProof w:val="0"/>
                <w:sz w:val="18"/>
                <w:szCs w:val="18"/>
                <w:lang w:val="bg-BG"/>
              </w:rPr>
              <w:t>(</w:t>
            </w:r>
            <w:r w:rsidR="008F17B6">
              <w:rPr>
                <w:rFonts w:ascii="Arial" w:hAnsi="Arial" w:cs="Arial"/>
                <w:noProof w:val="0"/>
                <w:sz w:val="18"/>
                <w:szCs w:val="18"/>
                <w:lang w:val="bg-BG"/>
              </w:rPr>
              <w:t>400</w:t>
            </w:r>
            <w:r w:rsidRPr="00721663">
              <w:rPr>
                <w:rFonts w:ascii="Arial" w:hAnsi="Arial" w:cs="Arial"/>
                <w:noProof w:val="0"/>
                <w:sz w:val="18"/>
                <w:szCs w:val="18"/>
                <w:lang w:val="bg-BG"/>
              </w:rPr>
              <w:t xml:space="preserve"> хил. лв)</w:t>
            </w:r>
          </w:p>
        </w:tc>
      </w:tr>
      <w:tr w:rsidR="00E07C4E" w:rsidRPr="00721663" w14:paraId="55E836FC" w14:textId="77777777" w:rsidTr="00551604">
        <w:trPr>
          <w:trHeight w:hRule="exact" w:val="301"/>
        </w:trPr>
        <w:tc>
          <w:tcPr>
            <w:tcW w:w="2268" w:type="dxa"/>
            <w:vAlign w:val="center"/>
          </w:tcPr>
          <w:p w14:paraId="78680D0A" w14:textId="77777777" w:rsidR="00E07C4E" w:rsidRPr="00721663" w:rsidRDefault="00E07C4E" w:rsidP="00551604">
            <w:pPr>
              <w:pStyle w:val="tabletxteyg"/>
              <w:spacing w:after="0" w:line="200" w:lineRule="exact"/>
              <w:rPr>
                <w:rFonts w:ascii="Arial" w:hAnsi="Arial" w:cs="Arial"/>
                <w:b/>
                <w:bCs/>
                <w:sz w:val="18"/>
                <w:szCs w:val="18"/>
                <w:lang w:val="bg-BG"/>
              </w:rPr>
            </w:pPr>
            <w:r w:rsidRPr="00721663">
              <w:rPr>
                <w:rFonts w:ascii="Arial" w:hAnsi="Arial" w:cs="Arial"/>
                <w:sz w:val="18"/>
                <w:szCs w:val="18"/>
                <w:lang w:val="bg-BG"/>
              </w:rPr>
              <w:t>(лева)</w:t>
            </w:r>
          </w:p>
        </w:tc>
        <w:tc>
          <w:tcPr>
            <w:tcW w:w="3119" w:type="dxa"/>
            <w:vAlign w:val="center"/>
          </w:tcPr>
          <w:p w14:paraId="4AC938AF" w14:textId="77777777" w:rsidR="00E07C4E" w:rsidRPr="00721663" w:rsidRDefault="00E07C4E" w:rsidP="00551604">
            <w:pPr>
              <w:pStyle w:val="tabletxtssm"/>
              <w:tabs>
                <w:tab w:val="clear" w:pos="504"/>
                <w:tab w:val="decimal" w:pos="633"/>
              </w:tabs>
              <w:jc w:val="right"/>
              <w:rPr>
                <w:rFonts w:ascii="Arial" w:hAnsi="Arial" w:cs="Arial"/>
                <w:noProof w:val="0"/>
                <w:sz w:val="18"/>
                <w:szCs w:val="18"/>
                <w:lang w:val="bg-BG"/>
              </w:rPr>
            </w:pPr>
            <w:r w:rsidRPr="00721663">
              <w:rPr>
                <w:rFonts w:ascii="Arial" w:hAnsi="Arial" w:cs="Arial"/>
                <w:noProof w:val="0"/>
                <w:sz w:val="18"/>
                <w:szCs w:val="18"/>
                <w:lang w:val="bg-BG"/>
              </w:rPr>
              <w:t>-2%</w:t>
            </w:r>
          </w:p>
        </w:tc>
        <w:tc>
          <w:tcPr>
            <w:tcW w:w="2693" w:type="dxa"/>
            <w:vAlign w:val="center"/>
          </w:tcPr>
          <w:p w14:paraId="24907BC0" w14:textId="4B396D58" w:rsidR="00E07C4E" w:rsidRPr="00721663" w:rsidRDefault="00E07C4E" w:rsidP="008F17B6">
            <w:pPr>
              <w:pStyle w:val="tabletxtssm"/>
              <w:tabs>
                <w:tab w:val="clear" w:pos="504"/>
                <w:tab w:val="decimal" w:pos="764"/>
              </w:tabs>
              <w:jc w:val="right"/>
              <w:rPr>
                <w:rFonts w:ascii="Arial" w:hAnsi="Arial" w:cs="Arial"/>
                <w:noProof w:val="0"/>
                <w:sz w:val="18"/>
                <w:szCs w:val="18"/>
                <w:lang w:val="bg-BG"/>
              </w:rPr>
            </w:pPr>
            <w:r w:rsidRPr="00721663">
              <w:rPr>
                <w:rFonts w:ascii="Arial" w:hAnsi="Arial" w:cs="Arial"/>
                <w:noProof w:val="0"/>
                <w:sz w:val="18"/>
                <w:szCs w:val="18"/>
                <w:lang w:val="bg-BG"/>
              </w:rPr>
              <w:t>4</w:t>
            </w:r>
            <w:r w:rsidR="008F17B6">
              <w:rPr>
                <w:rFonts w:ascii="Arial" w:hAnsi="Arial" w:cs="Arial"/>
                <w:noProof w:val="0"/>
                <w:sz w:val="18"/>
                <w:szCs w:val="18"/>
                <w:lang w:val="bg-BG"/>
              </w:rPr>
              <w:t>00</w:t>
            </w:r>
            <w:r w:rsidRPr="00721663">
              <w:rPr>
                <w:rFonts w:ascii="Arial" w:hAnsi="Arial" w:cs="Arial"/>
                <w:noProof w:val="0"/>
                <w:sz w:val="18"/>
                <w:szCs w:val="18"/>
                <w:lang w:val="bg-BG"/>
              </w:rPr>
              <w:t xml:space="preserve"> хил. лв.</w:t>
            </w:r>
          </w:p>
        </w:tc>
      </w:tr>
    </w:tbl>
    <w:p w14:paraId="304470E0" w14:textId="77777777" w:rsidR="00E07C4E" w:rsidRPr="00721663" w:rsidRDefault="00E07C4E" w:rsidP="00E07C4E">
      <w:pPr>
        <w:spacing w:before="60" w:after="120"/>
        <w:jc w:val="left"/>
        <w:rPr>
          <w:rFonts w:ascii="Arial" w:hAnsi="Arial" w:cs="Arial"/>
          <w:b/>
          <w:i/>
          <w:sz w:val="18"/>
          <w:szCs w:val="18"/>
          <w:lang w:val="bg-BG"/>
        </w:rPr>
      </w:pPr>
      <w:bookmarkStart w:id="52" w:name="_Toc153350953"/>
      <w:bookmarkStart w:id="53" w:name="_Toc153351533"/>
      <w:bookmarkStart w:id="54" w:name="_Toc154161920"/>
      <w:r w:rsidRPr="00721663">
        <w:rPr>
          <w:rFonts w:ascii="Arial" w:hAnsi="Arial" w:cs="Arial"/>
          <w:b/>
          <w:i/>
          <w:sz w:val="18"/>
          <w:szCs w:val="18"/>
          <w:lang w:val="bg-BG"/>
        </w:rPr>
        <w:t>Валутен риск</w:t>
      </w:r>
    </w:p>
    <w:p w14:paraId="4CAB0CAD" w14:textId="77777777" w:rsidR="00E07C4E" w:rsidRPr="00721663" w:rsidRDefault="00E07C4E" w:rsidP="00E07C4E">
      <w:pPr>
        <w:pStyle w:val="Notesbodytext"/>
        <w:spacing w:line="240" w:lineRule="atLeast"/>
        <w:rPr>
          <w:rFonts w:ascii="Arial" w:hAnsi="Arial"/>
          <w:lang w:val="bg-BG"/>
        </w:rPr>
      </w:pPr>
      <w:r w:rsidRPr="00721663">
        <w:rPr>
          <w:rFonts w:ascii="Arial" w:hAnsi="Arial"/>
          <w:lang w:val="bg-BG"/>
        </w:rPr>
        <w:t>Валутният риск е рискът от това, справедливата стойност или бъдещите парични потоци от даден финансов инструмент да варират, поради промяна във валутните курсове. Групата извършва транзакции, деноминирани в чуждестранна валута, свързани с финансирането и дейността й. Групата не използва специални финансови инструменти за хеджиране на риска. Основната част от транзакциите на Групата са в евро</w:t>
      </w:r>
      <w:r>
        <w:rPr>
          <w:rFonts w:ascii="Arial" w:hAnsi="Arial"/>
          <w:lang w:val="bg-BG"/>
        </w:rPr>
        <w:t xml:space="preserve"> и</w:t>
      </w:r>
      <w:r w:rsidRPr="00721663">
        <w:rPr>
          <w:rFonts w:ascii="Arial" w:hAnsi="Arial"/>
          <w:lang w:val="bg-BG"/>
        </w:rPr>
        <w:t xml:space="preserve"> тъй като българският лев е свързан с еврото по фиксиран курс, валутният риск се смята за нисък.</w:t>
      </w:r>
    </w:p>
    <w:p w14:paraId="0547F457" w14:textId="77777777" w:rsidR="00E07C4E" w:rsidRPr="00721663" w:rsidRDefault="00E07C4E" w:rsidP="00E07C4E">
      <w:pPr>
        <w:pStyle w:val="Heading2"/>
        <w:tabs>
          <w:tab w:val="left" w:pos="227"/>
          <w:tab w:val="left" w:pos="454"/>
          <w:tab w:val="left" w:pos="680"/>
          <w:tab w:val="left" w:pos="907"/>
        </w:tabs>
        <w:spacing w:before="0" w:after="120"/>
        <w:jc w:val="left"/>
        <w:rPr>
          <w:rFonts w:ascii="Arial" w:hAnsi="Arial" w:cs="Arial"/>
          <w:sz w:val="18"/>
          <w:szCs w:val="18"/>
          <w:lang w:val="bg-BG"/>
        </w:rPr>
      </w:pPr>
      <w:r w:rsidRPr="00721663">
        <w:rPr>
          <w:rFonts w:ascii="Arial" w:hAnsi="Arial" w:cs="Arial"/>
          <w:sz w:val="18"/>
          <w:szCs w:val="18"/>
          <w:lang w:val="bg-BG"/>
        </w:rPr>
        <w:t>Кредитен риск</w:t>
      </w:r>
    </w:p>
    <w:p w14:paraId="34757204" w14:textId="77777777" w:rsidR="00E07C4E" w:rsidRPr="00721663" w:rsidRDefault="00E07C4E" w:rsidP="00E07C4E">
      <w:pPr>
        <w:pStyle w:val="Notesbodytext"/>
        <w:spacing w:line="240" w:lineRule="atLeast"/>
        <w:rPr>
          <w:rFonts w:ascii="Arial" w:hAnsi="Arial"/>
          <w:lang w:val="bg-BG"/>
        </w:rPr>
      </w:pPr>
      <w:r w:rsidRPr="00721663">
        <w:rPr>
          <w:rFonts w:ascii="Arial" w:hAnsi="Arial"/>
          <w:lang w:val="bg-BG"/>
        </w:rPr>
        <w:t>Кредитният риск представлява рискът от това даден контрагент да не изпълни задълженията си по финансовия инструмент или договор с клиент, като това доведе до финансова загуба. Групата е изложена на кредитен риск основно по отношение на вземанията и паричните средства в банкови сметки. Вземанията на Групата представляват търговски вземания. Не съществува значителен кредитен риск, свързан с тях.</w:t>
      </w:r>
    </w:p>
    <w:p w14:paraId="18A3D713" w14:textId="3EE1EE37" w:rsidR="00E07C4E" w:rsidRPr="00721663" w:rsidRDefault="00E07C4E" w:rsidP="00E07C4E">
      <w:pPr>
        <w:pStyle w:val="Notesbodytext"/>
        <w:spacing w:before="120" w:line="240" w:lineRule="atLeast"/>
        <w:rPr>
          <w:rFonts w:ascii="Arial" w:hAnsi="Arial"/>
          <w:szCs w:val="18"/>
          <w:lang w:val="bg-BG"/>
        </w:rPr>
      </w:pPr>
      <w:r w:rsidRPr="00721663">
        <w:rPr>
          <w:rFonts w:ascii="Arial" w:hAnsi="Arial"/>
          <w:szCs w:val="18"/>
          <w:lang w:val="bg-BG"/>
        </w:rPr>
        <w:t xml:space="preserve">Групата има финансови отношения основно с компанията майка и с банки. Инвестиционните и заемни решения на Групата подлежат на изрично разрешение от компанията майка. Максималното излагане на Групата на кредитен риск, произтичащ от финансовите активи на Групата, е в размер на балансовата им стойност към </w:t>
      </w:r>
      <w:r w:rsidR="00144930">
        <w:rPr>
          <w:rFonts w:ascii="Arial" w:hAnsi="Arial"/>
          <w:szCs w:val="18"/>
          <w:lang w:val="bg-BG"/>
        </w:rPr>
        <w:t>30 юни 2017</w:t>
      </w:r>
      <w:r>
        <w:rPr>
          <w:rFonts w:ascii="Arial" w:hAnsi="Arial"/>
          <w:szCs w:val="18"/>
          <w:lang w:val="bg-BG"/>
        </w:rPr>
        <w:t xml:space="preserve"> г.</w:t>
      </w:r>
      <w:r w:rsidRPr="00721663">
        <w:rPr>
          <w:rFonts w:ascii="Arial" w:hAnsi="Arial"/>
          <w:szCs w:val="18"/>
          <w:lang w:val="bg-BG"/>
        </w:rPr>
        <w:t xml:space="preserve"> и </w:t>
      </w:r>
      <w:r w:rsidR="00144930">
        <w:rPr>
          <w:rFonts w:ascii="Arial" w:hAnsi="Arial"/>
          <w:szCs w:val="18"/>
          <w:lang w:val="bg-BG"/>
        </w:rPr>
        <w:t>31 декември 2016</w:t>
      </w:r>
      <w:r w:rsidRPr="00721663">
        <w:rPr>
          <w:rFonts w:ascii="Arial" w:hAnsi="Arial"/>
          <w:szCs w:val="18"/>
          <w:lang w:val="bg-BG"/>
        </w:rPr>
        <w:t xml:space="preserve"> г.</w:t>
      </w:r>
    </w:p>
    <w:p w14:paraId="607EC2A6" w14:textId="77777777" w:rsidR="00E07C4E" w:rsidRPr="00721663" w:rsidRDefault="00E07C4E" w:rsidP="00E07C4E">
      <w:pPr>
        <w:pStyle w:val="Heading2"/>
        <w:tabs>
          <w:tab w:val="left" w:pos="227"/>
          <w:tab w:val="left" w:pos="454"/>
          <w:tab w:val="left" w:pos="680"/>
          <w:tab w:val="left" w:pos="907"/>
        </w:tabs>
        <w:spacing w:before="0" w:after="120"/>
        <w:jc w:val="left"/>
        <w:rPr>
          <w:rFonts w:ascii="Arial" w:hAnsi="Arial" w:cs="Arial"/>
          <w:sz w:val="18"/>
          <w:szCs w:val="18"/>
          <w:lang w:val="bg-BG"/>
        </w:rPr>
      </w:pPr>
      <w:r w:rsidRPr="00721663">
        <w:rPr>
          <w:rFonts w:ascii="Arial" w:hAnsi="Arial" w:cs="Arial"/>
          <w:sz w:val="18"/>
          <w:szCs w:val="18"/>
          <w:lang w:val="bg-BG"/>
        </w:rPr>
        <w:t>Ликвиден риск</w:t>
      </w:r>
    </w:p>
    <w:p w14:paraId="79FE56D5" w14:textId="77777777" w:rsidR="00E07C4E" w:rsidRPr="00721663" w:rsidRDefault="00E07C4E" w:rsidP="00E07C4E">
      <w:pPr>
        <w:pStyle w:val="Notesbodytext"/>
        <w:spacing w:line="240" w:lineRule="atLeast"/>
        <w:rPr>
          <w:rFonts w:ascii="Arial" w:hAnsi="Arial"/>
          <w:lang w:val="bg-BG"/>
        </w:rPr>
      </w:pPr>
      <w:r w:rsidRPr="00721663">
        <w:rPr>
          <w:rFonts w:ascii="Arial" w:hAnsi="Arial"/>
          <w:lang w:val="bg-BG"/>
        </w:rPr>
        <w:t>Ефективното управление на ликвидността на Групата е свързано с набиране на средства за оборотен капитал основно чрез сделки с българския дистрибутор на електроенергия – Енерго-Про Продажби АД, дъщерните дружества на Групата и използването на лихвоносно финансиране от свързани лица и банки.</w:t>
      </w:r>
    </w:p>
    <w:p w14:paraId="2D56253D" w14:textId="77777777" w:rsidR="00E07C4E" w:rsidRPr="00721663" w:rsidRDefault="00E07C4E" w:rsidP="00E07C4E">
      <w:pPr>
        <w:pStyle w:val="Notesbodytext"/>
        <w:spacing w:line="240" w:lineRule="atLeast"/>
        <w:rPr>
          <w:rFonts w:ascii="Arial" w:hAnsi="Arial"/>
          <w:lang w:val="bg-BG"/>
        </w:rPr>
      </w:pPr>
      <w:r w:rsidRPr="00721663">
        <w:rPr>
          <w:rFonts w:ascii="Arial" w:hAnsi="Arial"/>
          <w:lang w:val="bg-BG"/>
        </w:rPr>
        <w:t>Ръководството на Групата контролира падежа и плащанията чрез поддържане на актуална информация за свободните парични средства и предстоящите плащания.</w:t>
      </w:r>
    </w:p>
    <w:p w14:paraId="5CDF5260" w14:textId="50093217" w:rsidR="00E07C4E" w:rsidRPr="00721663" w:rsidRDefault="00E07C4E" w:rsidP="00E07C4E">
      <w:pPr>
        <w:pStyle w:val="Notesbodytext"/>
        <w:spacing w:line="240" w:lineRule="atLeast"/>
        <w:rPr>
          <w:rFonts w:ascii="Arial" w:hAnsi="Arial"/>
          <w:szCs w:val="18"/>
          <w:lang w:val="bg-BG"/>
        </w:rPr>
      </w:pPr>
      <w:r w:rsidRPr="00721663">
        <w:rPr>
          <w:rFonts w:ascii="Arial" w:hAnsi="Arial"/>
          <w:szCs w:val="18"/>
          <w:lang w:val="bg-BG"/>
        </w:rPr>
        <w:t xml:space="preserve">На </w:t>
      </w:r>
      <w:r w:rsidR="00144930">
        <w:rPr>
          <w:rFonts w:ascii="Arial" w:hAnsi="Arial"/>
          <w:szCs w:val="18"/>
          <w:lang w:val="bg-BG"/>
        </w:rPr>
        <w:t>30 юни 2017</w:t>
      </w:r>
      <w:r>
        <w:rPr>
          <w:rFonts w:ascii="Arial" w:hAnsi="Arial"/>
          <w:szCs w:val="18"/>
          <w:lang w:val="bg-BG"/>
        </w:rPr>
        <w:t xml:space="preserve"> г.</w:t>
      </w:r>
      <w:r w:rsidRPr="00721663">
        <w:rPr>
          <w:rFonts w:ascii="Arial" w:hAnsi="Arial"/>
          <w:szCs w:val="18"/>
          <w:lang w:val="bg-BG"/>
        </w:rPr>
        <w:t xml:space="preserve"> и </w:t>
      </w:r>
      <w:r w:rsidR="00144930">
        <w:rPr>
          <w:rFonts w:ascii="Arial" w:hAnsi="Arial"/>
          <w:szCs w:val="18"/>
          <w:lang w:val="bg-BG"/>
        </w:rPr>
        <w:t>31 декември 2016</w:t>
      </w:r>
      <w:r w:rsidRPr="00721663">
        <w:rPr>
          <w:rFonts w:ascii="Arial" w:hAnsi="Arial"/>
          <w:szCs w:val="18"/>
          <w:lang w:val="bg-BG"/>
        </w:rPr>
        <w:t xml:space="preserve"> г</w:t>
      </w:r>
      <w:r>
        <w:rPr>
          <w:rFonts w:ascii="Arial" w:hAnsi="Arial"/>
          <w:szCs w:val="18"/>
          <w:lang w:val="bg-BG"/>
        </w:rPr>
        <w:t>.</w:t>
      </w:r>
      <w:r w:rsidRPr="00721663">
        <w:rPr>
          <w:rFonts w:ascii="Arial" w:hAnsi="Arial"/>
          <w:szCs w:val="18"/>
          <w:lang w:val="bg-BG"/>
        </w:rPr>
        <w:t xml:space="preserve"> падежната структура на финансовите активи и пасиви на Групата на база на договорените недисконтирани плащания е представена по-долу.</w:t>
      </w:r>
    </w:p>
    <w:tbl>
      <w:tblPr>
        <w:tblW w:w="8080" w:type="dxa"/>
        <w:tblLayout w:type="fixed"/>
        <w:tblCellMar>
          <w:left w:w="0" w:type="dxa"/>
          <w:right w:w="0" w:type="dxa"/>
        </w:tblCellMar>
        <w:tblLook w:val="0000" w:firstRow="0" w:lastRow="0" w:firstColumn="0" w:lastColumn="0" w:noHBand="0" w:noVBand="0"/>
      </w:tblPr>
      <w:tblGrid>
        <w:gridCol w:w="2410"/>
        <w:gridCol w:w="142"/>
        <w:gridCol w:w="1276"/>
        <w:gridCol w:w="141"/>
        <w:gridCol w:w="1134"/>
        <w:gridCol w:w="142"/>
        <w:gridCol w:w="1559"/>
        <w:gridCol w:w="142"/>
        <w:gridCol w:w="1134"/>
      </w:tblGrid>
      <w:tr w:rsidR="00E07C4E" w:rsidRPr="00721663" w14:paraId="3A2D4E70" w14:textId="77777777" w:rsidTr="00551604">
        <w:trPr>
          <w:trHeight w:val="340"/>
        </w:trPr>
        <w:tc>
          <w:tcPr>
            <w:tcW w:w="2410" w:type="dxa"/>
            <w:tcBorders>
              <w:top w:val="nil"/>
              <w:left w:val="nil"/>
              <w:bottom w:val="nil"/>
              <w:right w:val="nil"/>
            </w:tcBorders>
            <w:noWrap/>
            <w:vAlign w:val="bottom"/>
          </w:tcPr>
          <w:p w14:paraId="7E681612" w14:textId="390586AD" w:rsidR="00E07C4E" w:rsidRPr="00721663" w:rsidRDefault="00144930" w:rsidP="00551604">
            <w:pPr>
              <w:spacing w:line="240" w:lineRule="auto"/>
              <w:rPr>
                <w:rFonts w:ascii="Arial" w:eastAsia="Arial Unicode MS" w:hAnsi="Arial" w:cs="Arial"/>
                <w:b/>
                <w:bCs/>
                <w:iCs/>
                <w:sz w:val="18"/>
                <w:szCs w:val="18"/>
                <w:lang w:val="bg-BG"/>
              </w:rPr>
            </w:pPr>
            <w:r>
              <w:rPr>
                <w:rFonts w:ascii="Arial" w:hAnsi="Arial" w:cs="Arial"/>
                <w:b/>
                <w:bCs/>
                <w:iCs/>
                <w:sz w:val="18"/>
                <w:szCs w:val="18"/>
                <w:lang w:val="bg-BG"/>
              </w:rPr>
              <w:t>30 юни 2017</w:t>
            </w:r>
            <w:r w:rsidR="00E07C4E" w:rsidRPr="00721663">
              <w:rPr>
                <w:rFonts w:ascii="Arial" w:hAnsi="Arial" w:cs="Arial"/>
                <w:b/>
                <w:bCs/>
                <w:iCs/>
                <w:sz w:val="18"/>
                <w:szCs w:val="18"/>
                <w:lang w:val="bg-BG"/>
              </w:rPr>
              <w:t xml:space="preserve"> г.</w:t>
            </w:r>
          </w:p>
        </w:tc>
        <w:tc>
          <w:tcPr>
            <w:tcW w:w="142" w:type="dxa"/>
            <w:tcBorders>
              <w:top w:val="nil"/>
              <w:left w:val="nil"/>
              <w:bottom w:val="nil"/>
              <w:right w:val="nil"/>
            </w:tcBorders>
            <w:vAlign w:val="bottom"/>
          </w:tcPr>
          <w:p w14:paraId="7A23B1A3" w14:textId="77777777" w:rsidR="00E07C4E" w:rsidRPr="00721663" w:rsidRDefault="00E07C4E" w:rsidP="00551604">
            <w:pPr>
              <w:spacing w:line="240" w:lineRule="auto"/>
              <w:jc w:val="right"/>
              <w:rPr>
                <w:rFonts w:ascii="Arial" w:eastAsia="Arial Unicode MS" w:hAnsi="Arial" w:cs="Arial"/>
                <w:b/>
                <w:sz w:val="18"/>
                <w:szCs w:val="18"/>
                <w:lang w:val="bg-BG"/>
              </w:rPr>
            </w:pPr>
          </w:p>
        </w:tc>
        <w:tc>
          <w:tcPr>
            <w:tcW w:w="1276" w:type="dxa"/>
            <w:tcBorders>
              <w:top w:val="nil"/>
              <w:left w:val="nil"/>
              <w:bottom w:val="single" w:sz="4" w:space="0" w:color="auto"/>
              <w:right w:val="nil"/>
            </w:tcBorders>
            <w:vAlign w:val="bottom"/>
          </w:tcPr>
          <w:p w14:paraId="4662B938" w14:textId="77777777" w:rsidR="00E07C4E" w:rsidRPr="00721663" w:rsidRDefault="00E07C4E" w:rsidP="00551604">
            <w:pPr>
              <w:jc w:val="right"/>
              <w:rPr>
                <w:rFonts w:ascii="Arial" w:eastAsia="Arial Unicode MS" w:hAnsi="Arial" w:cs="Arial"/>
                <w:b/>
                <w:bCs/>
                <w:iCs/>
                <w:sz w:val="18"/>
                <w:szCs w:val="18"/>
                <w:lang w:val="bg-BG"/>
              </w:rPr>
            </w:pPr>
            <w:r w:rsidRPr="00721663">
              <w:rPr>
                <w:rFonts w:ascii="Arial" w:hAnsi="Arial" w:cs="Arial"/>
                <w:b/>
                <w:bCs/>
                <w:iCs/>
                <w:sz w:val="18"/>
                <w:szCs w:val="18"/>
                <w:lang w:val="bg-BG"/>
              </w:rPr>
              <w:t>до 3 месеца</w:t>
            </w:r>
          </w:p>
        </w:tc>
        <w:tc>
          <w:tcPr>
            <w:tcW w:w="141" w:type="dxa"/>
            <w:tcBorders>
              <w:top w:val="nil"/>
              <w:left w:val="nil"/>
              <w:bottom w:val="nil"/>
              <w:right w:val="nil"/>
            </w:tcBorders>
            <w:vAlign w:val="bottom"/>
          </w:tcPr>
          <w:p w14:paraId="54686EB0" w14:textId="77777777" w:rsidR="00E07C4E" w:rsidRPr="00721663" w:rsidRDefault="00E07C4E" w:rsidP="00551604">
            <w:pPr>
              <w:jc w:val="right"/>
              <w:rPr>
                <w:rFonts w:ascii="Arial" w:eastAsia="Arial Unicode MS" w:hAnsi="Arial" w:cs="Arial"/>
                <w:b/>
                <w:sz w:val="18"/>
                <w:szCs w:val="18"/>
                <w:highlight w:val="yellow"/>
                <w:lang w:val="bg-BG"/>
              </w:rPr>
            </w:pPr>
          </w:p>
        </w:tc>
        <w:tc>
          <w:tcPr>
            <w:tcW w:w="1134" w:type="dxa"/>
            <w:tcBorders>
              <w:top w:val="nil"/>
              <w:left w:val="nil"/>
              <w:bottom w:val="single" w:sz="4" w:space="0" w:color="auto"/>
              <w:right w:val="nil"/>
            </w:tcBorders>
            <w:vAlign w:val="bottom"/>
          </w:tcPr>
          <w:p w14:paraId="456B2B81" w14:textId="77777777" w:rsidR="00E07C4E" w:rsidRPr="00721663" w:rsidRDefault="00E07C4E" w:rsidP="00551604">
            <w:pPr>
              <w:jc w:val="right"/>
              <w:rPr>
                <w:rFonts w:ascii="Arial" w:eastAsia="Arial Unicode MS" w:hAnsi="Arial" w:cs="Arial"/>
                <w:b/>
                <w:bCs/>
                <w:iCs/>
                <w:sz w:val="18"/>
                <w:szCs w:val="18"/>
                <w:lang w:val="bg-BG"/>
              </w:rPr>
            </w:pPr>
            <w:r w:rsidRPr="00721663">
              <w:rPr>
                <w:rFonts w:ascii="Arial" w:hAnsi="Arial" w:cs="Arial"/>
                <w:b/>
                <w:bCs/>
                <w:iCs/>
                <w:sz w:val="18"/>
                <w:szCs w:val="18"/>
                <w:lang w:val="bg-BG"/>
              </w:rPr>
              <w:t>3-12 месеца</w:t>
            </w:r>
          </w:p>
        </w:tc>
        <w:tc>
          <w:tcPr>
            <w:tcW w:w="142" w:type="dxa"/>
            <w:tcBorders>
              <w:top w:val="nil"/>
              <w:left w:val="nil"/>
              <w:bottom w:val="nil"/>
              <w:right w:val="nil"/>
            </w:tcBorders>
            <w:vAlign w:val="bottom"/>
          </w:tcPr>
          <w:p w14:paraId="3B70DE56" w14:textId="77777777" w:rsidR="00E07C4E" w:rsidRPr="00721663" w:rsidRDefault="00E07C4E" w:rsidP="00551604">
            <w:pPr>
              <w:jc w:val="right"/>
              <w:rPr>
                <w:rFonts w:ascii="Arial" w:eastAsia="Arial Unicode MS" w:hAnsi="Arial" w:cs="Arial"/>
                <w:b/>
                <w:sz w:val="18"/>
                <w:szCs w:val="18"/>
                <w:highlight w:val="yellow"/>
                <w:lang w:val="bg-BG"/>
              </w:rPr>
            </w:pPr>
          </w:p>
        </w:tc>
        <w:tc>
          <w:tcPr>
            <w:tcW w:w="1559" w:type="dxa"/>
            <w:tcBorders>
              <w:top w:val="nil"/>
              <w:left w:val="nil"/>
              <w:bottom w:val="single" w:sz="4" w:space="0" w:color="auto"/>
              <w:right w:val="nil"/>
            </w:tcBorders>
            <w:vAlign w:val="bottom"/>
          </w:tcPr>
          <w:p w14:paraId="740E6759" w14:textId="77777777" w:rsidR="00E07C4E" w:rsidRPr="00721663" w:rsidRDefault="00E07C4E" w:rsidP="00551604">
            <w:pPr>
              <w:ind w:right="145"/>
              <w:jc w:val="right"/>
              <w:rPr>
                <w:rFonts w:ascii="Arial" w:eastAsia="Arial Unicode MS" w:hAnsi="Arial" w:cs="Arial"/>
                <w:b/>
                <w:bCs/>
                <w:iCs/>
                <w:color w:val="000000"/>
                <w:sz w:val="18"/>
                <w:szCs w:val="18"/>
                <w:lang w:val="bg-BG"/>
              </w:rPr>
            </w:pPr>
            <w:r w:rsidRPr="00721663">
              <w:rPr>
                <w:rFonts w:ascii="Arial" w:hAnsi="Arial" w:cs="Arial"/>
                <w:b/>
                <w:bCs/>
                <w:iCs/>
                <w:color w:val="000000"/>
                <w:sz w:val="18"/>
                <w:szCs w:val="18"/>
                <w:lang w:val="bg-BG"/>
              </w:rPr>
              <w:t>над 1 година</w:t>
            </w:r>
          </w:p>
        </w:tc>
        <w:tc>
          <w:tcPr>
            <w:tcW w:w="142" w:type="dxa"/>
            <w:tcBorders>
              <w:top w:val="nil"/>
              <w:left w:val="nil"/>
              <w:right w:val="nil"/>
            </w:tcBorders>
            <w:vAlign w:val="bottom"/>
          </w:tcPr>
          <w:p w14:paraId="679FC6ED" w14:textId="77777777" w:rsidR="00E07C4E" w:rsidRPr="00721663" w:rsidRDefault="00E07C4E" w:rsidP="00551604">
            <w:pPr>
              <w:ind w:right="142"/>
              <w:jc w:val="right"/>
              <w:rPr>
                <w:rFonts w:ascii="Arial" w:hAnsi="Arial" w:cs="Arial"/>
                <w:b/>
                <w:bCs/>
                <w:iCs/>
                <w:color w:val="000000"/>
                <w:sz w:val="18"/>
                <w:szCs w:val="18"/>
                <w:lang w:val="bg-BG"/>
              </w:rPr>
            </w:pPr>
          </w:p>
        </w:tc>
        <w:tc>
          <w:tcPr>
            <w:tcW w:w="1134" w:type="dxa"/>
            <w:tcBorders>
              <w:top w:val="nil"/>
              <w:left w:val="nil"/>
              <w:bottom w:val="single" w:sz="4" w:space="0" w:color="auto"/>
              <w:right w:val="nil"/>
            </w:tcBorders>
            <w:tcMar>
              <w:top w:w="0" w:type="dxa"/>
              <w:left w:w="15" w:type="dxa"/>
              <w:bottom w:w="0" w:type="dxa"/>
              <w:right w:w="15" w:type="dxa"/>
            </w:tcMar>
            <w:vAlign w:val="bottom"/>
          </w:tcPr>
          <w:p w14:paraId="779F6D34" w14:textId="77777777" w:rsidR="00E07C4E" w:rsidRPr="00721663" w:rsidRDefault="00E07C4E" w:rsidP="00551604">
            <w:pPr>
              <w:ind w:right="142"/>
              <w:jc w:val="right"/>
              <w:rPr>
                <w:rFonts w:ascii="Arial" w:eastAsia="Arial Unicode MS" w:hAnsi="Arial" w:cs="Arial"/>
                <w:b/>
                <w:bCs/>
                <w:iCs/>
                <w:color w:val="000000"/>
                <w:sz w:val="18"/>
                <w:szCs w:val="18"/>
                <w:lang w:val="bg-BG"/>
              </w:rPr>
            </w:pPr>
            <w:r w:rsidRPr="00721663">
              <w:rPr>
                <w:rFonts w:ascii="Arial" w:hAnsi="Arial" w:cs="Arial"/>
                <w:b/>
                <w:bCs/>
                <w:iCs/>
                <w:color w:val="000000"/>
                <w:sz w:val="18"/>
                <w:szCs w:val="18"/>
                <w:lang w:val="bg-BG"/>
              </w:rPr>
              <w:t>Общо</w:t>
            </w:r>
          </w:p>
        </w:tc>
      </w:tr>
      <w:tr w:rsidR="00E07C4E" w:rsidRPr="00721663" w14:paraId="041B64EB" w14:textId="77777777" w:rsidTr="00551604">
        <w:trPr>
          <w:trHeight w:hRule="exact" w:val="284"/>
        </w:trPr>
        <w:tc>
          <w:tcPr>
            <w:tcW w:w="2410" w:type="dxa"/>
            <w:tcBorders>
              <w:top w:val="nil"/>
              <w:left w:val="nil"/>
              <w:bottom w:val="nil"/>
              <w:right w:val="nil"/>
            </w:tcBorders>
            <w:noWrap/>
            <w:vAlign w:val="bottom"/>
          </w:tcPr>
          <w:p w14:paraId="772703EA" w14:textId="77777777" w:rsidR="00E07C4E" w:rsidRPr="00721663" w:rsidRDefault="00E07C4E" w:rsidP="00551604">
            <w:pPr>
              <w:spacing w:line="240" w:lineRule="auto"/>
              <w:jc w:val="center"/>
              <w:rPr>
                <w:rFonts w:ascii="Arial" w:eastAsia="Arial Unicode MS" w:hAnsi="Arial" w:cs="Arial"/>
                <w:sz w:val="18"/>
                <w:szCs w:val="18"/>
                <w:lang w:val="bg-BG"/>
              </w:rPr>
            </w:pPr>
          </w:p>
        </w:tc>
        <w:tc>
          <w:tcPr>
            <w:tcW w:w="142" w:type="dxa"/>
            <w:tcBorders>
              <w:top w:val="nil"/>
              <w:left w:val="nil"/>
              <w:bottom w:val="nil"/>
              <w:right w:val="nil"/>
            </w:tcBorders>
            <w:noWrap/>
            <w:vAlign w:val="bottom"/>
          </w:tcPr>
          <w:p w14:paraId="2ECE110F"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276" w:type="dxa"/>
            <w:tcBorders>
              <w:top w:val="single" w:sz="4" w:space="0" w:color="auto"/>
              <w:left w:val="nil"/>
              <w:right w:val="nil"/>
            </w:tcBorders>
            <w:noWrap/>
            <w:vAlign w:val="bottom"/>
          </w:tcPr>
          <w:p w14:paraId="32713967"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141" w:type="dxa"/>
            <w:tcBorders>
              <w:top w:val="nil"/>
              <w:left w:val="nil"/>
              <w:right w:val="nil"/>
            </w:tcBorders>
            <w:noWrap/>
            <w:vAlign w:val="bottom"/>
          </w:tcPr>
          <w:p w14:paraId="3CB3ECCD"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134" w:type="dxa"/>
            <w:tcBorders>
              <w:top w:val="single" w:sz="4" w:space="0" w:color="auto"/>
              <w:left w:val="nil"/>
              <w:right w:val="nil"/>
            </w:tcBorders>
            <w:noWrap/>
            <w:vAlign w:val="bottom"/>
          </w:tcPr>
          <w:p w14:paraId="5D9039C8"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142" w:type="dxa"/>
            <w:tcBorders>
              <w:top w:val="nil"/>
              <w:left w:val="nil"/>
              <w:right w:val="nil"/>
            </w:tcBorders>
            <w:noWrap/>
            <w:vAlign w:val="bottom"/>
          </w:tcPr>
          <w:p w14:paraId="0105882C"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559" w:type="dxa"/>
            <w:tcBorders>
              <w:top w:val="single" w:sz="4" w:space="0" w:color="auto"/>
              <w:left w:val="nil"/>
              <w:right w:val="nil"/>
            </w:tcBorders>
            <w:noWrap/>
            <w:vAlign w:val="bottom"/>
          </w:tcPr>
          <w:p w14:paraId="4C45C3A5"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142" w:type="dxa"/>
            <w:tcBorders>
              <w:left w:val="nil"/>
              <w:right w:val="nil"/>
            </w:tcBorders>
            <w:vAlign w:val="bottom"/>
          </w:tcPr>
          <w:p w14:paraId="2B6F6B9B"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134" w:type="dxa"/>
            <w:tcBorders>
              <w:top w:val="single" w:sz="4" w:space="0" w:color="auto"/>
              <w:left w:val="nil"/>
              <w:right w:val="nil"/>
            </w:tcBorders>
            <w:tcMar>
              <w:top w:w="0" w:type="dxa"/>
              <w:left w:w="15" w:type="dxa"/>
              <w:bottom w:w="0" w:type="dxa"/>
              <w:right w:w="15" w:type="dxa"/>
            </w:tcMar>
            <w:vAlign w:val="bottom"/>
          </w:tcPr>
          <w:p w14:paraId="6C7FF65E"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r>
      <w:tr w:rsidR="00E07C4E" w:rsidRPr="00721663" w14:paraId="1F519EF7" w14:textId="77777777" w:rsidTr="00551604">
        <w:trPr>
          <w:trHeight w:hRule="exact" w:val="170"/>
        </w:trPr>
        <w:tc>
          <w:tcPr>
            <w:tcW w:w="2410" w:type="dxa"/>
            <w:tcBorders>
              <w:top w:val="nil"/>
              <w:left w:val="nil"/>
              <w:bottom w:val="nil"/>
              <w:right w:val="nil"/>
            </w:tcBorders>
            <w:noWrap/>
            <w:vAlign w:val="bottom"/>
          </w:tcPr>
          <w:p w14:paraId="29FB4D16" w14:textId="77777777" w:rsidR="00E07C4E" w:rsidRPr="00721663" w:rsidRDefault="00E07C4E" w:rsidP="00551604">
            <w:pPr>
              <w:spacing w:line="240" w:lineRule="auto"/>
              <w:jc w:val="center"/>
              <w:rPr>
                <w:rFonts w:ascii="Arial" w:eastAsia="Arial Unicode MS" w:hAnsi="Arial" w:cs="Arial"/>
                <w:sz w:val="18"/>
                <w:szCs w:val="18"/>
                <w:lang w:val="bg-BG"/>
              </w:rPr>
            </w:pPr>
          </w:p>
        </w:tc>
        <w:tc>
          <w:tcPr>
            <w:tcW w:w="142" w:type="dxa"/>
            <w:tcBorders>
              <w:top w:val="nil"/>
              <w:left w:val="nil"/>
              <w:bottom w:val="nil"/>
              <w:right w:val="nil"/>
            </w:tcBorders>
            <w:noWrap/>
            <w:vAlign w:val="bottom"/>
          </w:tcPr>
          <w:p w14:paraId="28C903EF"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276" w:type="dxa"/>
            <w:tcBorders>
              <w:left w:val="nil"/>
              <w:bottom w:val="nil"/>
              <w:right w:val="nil"/>
            </w:tcBorders>
            <w:noWrap/>
            <w:vAlign w:val="bottom"/>
          </w:tcPr>
          <w:p w14:paraId="42A8B17B" w14:textId="77777777" w:rsidR="00E07C4E" w:rsidRPr="00721663" w:rsidRDefault="00E07C4E" w:rsidP="00551604">
            <w:pPr>
              <w:spacing w:line="240" w:lineRule="auto"/>
              <w:jc w:val="center"/>
              <w:rPr>
                <w:rFonts w:ascii="Arial" w:eastAsia="Arial Unicode MS" w:hAnsi="Arial" w:cs="Arial"/>
                <w:sz w:val="18"/>
                <w:szCs w:val="18"/>
                <w:lang w:val="bg-BG"/>
              </w:rPr>
            </w:pPr>
          </w:p>
        </w:tc>
        <w:tc>
          <w:tcPr>
            <w:tcW w:w="141" w:type="dxa"/>
            <w:tcBorders>
              <w:left w:val="nil"/>
              <w:bottom w:val="nil"/>
              <w:right w:val="nil"/>
            </w:tcBorders>
            <w:noWrap/>
            <w:vAlign w:val="bottom"/>
          </w:tcPr>
          <w:p w14:paraId="5CAD845D"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134" w:type="dxa"/>
            <w:tcBorders>
              <w:left w:val="nil"/>
              <w:bottom w:val="nil"/>
              <w:right w:val="nil"/>
            </w:tcBorders>
            <w:noWrap/>
          </w:tcPr>
          <w:p w14:paraId="07BBC4F9" w14:textId="77777777" w:rsidR="00E07C4E" w:rsidRPr="00721663" w:rsidRDefault="00E07C4E" w:rsidP="00551604">
            <w:pPr>
              <w:spacing w:line="240" w:lineRule="auto"/>
              <w:jc w:val="right"/>
              <w:rPr>
                <w:rFonts w:ascii="Arial" w:hAnsi="Arial" w:cs="Arial"/>
                <w:b/>
                <w:bCs/>
                <w:i/>
                <w:iCs/>
                <w:sz w:val="18"/>
                <w:szCs w:val="18"/>
                <w:lang w:val="bg-BG"/>
              </w:rPr>
            </w:pPr>
          </w:p>
        </w:tc>
        <w:tc>
          <w:tcPr>
            <w:tcW w:w="142" w:type="dxa"/>
            <w:tcBorders>
              <w:left w:val="nil"/>
              <w:bottom w:val="nil"/>
              <w:right w:val="nil"/>
            </w:tcBorders>
            <w:noWrap/>
            <w:vAlign w:val="bottom"/>
          </w:tcPr>
          <w:p w14:paraId="4980281F" w14:textId="77777777" w:rsidR="00E07C4E" w:rsidRPr="00721663" w:rsidRDefault="00E07C4E" w:rsidP="00551604">
            <w:pPr>
              <w:spacing w:line="240" w:lineRule="auto"/>
              <w:jc w:val="right"/>
              <w:rPr>
                <w:rFonts w:ascii="Arial" w:eastAsia="Arial Unicode MS" w:hAnsi="Arial" w:cs="Arial"/>
                <w:b/>
                <w:bCs/>
                <w:i/>
                <w:iCs/>
                <w:sz w:val="18"/>
                <w:szCs w:val="18"/>
                <w:lang w:val="bg-BG"/>
              </w:rPr>
            </w:pPr>
          </w:p>
        </w:tc>
        <w:tc>
          <w:tcPr>
            <w:tcW w:w="1559" w:type="dxa"/>
            <w:tcBorders>
              <w:left w:val="nil"/>
              <w:bottom w:val="nil"/>
              <w:right w:val="nil"/>
            </w:tcBorders>
            <w:noWrap/>
            <w:vAlign w:val="bottom"/>
          </w:tcPr>
          <w:p w14:paraId="549018C8"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42" w:type="dxa"/>
            <w:tcBorders>
              <w:left w:val="nil"/>
              <w:bottom w:val="nil"/>
              <w:right w:val="nil"/>
            </w:tcBorders>
            <w:vAlign w:val="bottom"/>
          </w:tcPr>
          <w:p w14:paraId="3713A399" w14:textId="77777777" w:rsidR="00E07C4E" w:rsidRPr="00721663" w:rsidRDefault="00E07C4E" w:rsidP="00551604">
            <w:pPr>
              <w:spacing w:line="240" w:lineRule="auto"/>
              <w:jc w:val="right"/>
              <w:rPr>
                <w:rFonts w:ascii="Arial" w:eastAsia="Arial Unicode MS" w:hAnsi="Arial" w:cs="Arial"/>
                <w:b/>
                <w:bCs/>
                <w:i/>
                <w:iCs/>
                <w:sz w:val="18"/>
                <w:szCs w:val="18"/>
                <w:lang w:val="bg-BG"/>
              </w:rPr>
            </w:pPr>
          </w:p>
        </w:tc>
        <w:tc>
          <w:tcPr>
            <w:tcW w:w="1134" w:type="dxa"/>
            <w:tcBorders>
              <w:left w:val="nil"/>
              <w:bottom w:val="nil"/>
              <w:right w:val="nil"/>
            </w:tcBorders>
            <w:tcMar>
              <w:top w:w="0" w:type="dxa"/>
              <w:left w:w="15" w:type="dxa"/>
              <w:bottom w:w="0" w:type="dxa"/>
              <w:right w:w="15" w:type="dxa"/>
            </w:tcMar>
          </w:tcPr>
          <w:p w14:paraId="0777F07D" w14:textId="77777777" w:rsidR="00E07C4E" w:rsidRPr="00721663" w:rsidRDefault="00E07C4E" w:rsidP="00551604">
            <w:pPr>
              <w:spacing w:line="240" w:lineRule="auto"/>
              <w:jc w:val="right"/>
              <w:rPr>
                <w:rFonts w:ascii="Arial" w:hAnsi="Arial" w:cs="Arial"/>
                <w:b/>
                <w:bCs/>
                <w:i/>
                <w:iCs/>
                <w:sz w:val="18"/>
                <w:szCs w:val="18"/>
                <w:lang w:val="bg-BG"/>
              </w:rPr>
            </w:pPr>
          </w:p>
        </w:tc>
      </w:tr>
      <w:tr w:rsidR="00E07C4E" w:rsidRPr="00721663" w14:paraId="6030B1D6" w14:textId="77777777" w:rsidTr="00551604">
        <w:trPr>
          <w:trHeight w:hRule="exact" w:val="329"/>
        </w:trPr>
        <w:tc>
          <w:tcPr>
            <w:tcW w:w="2410" w:type="dxa"/>
            <w:tcBorders>
              <w:top w:val="nil"/>
              <w:left w:val="nil"/>
              <w:bottom w:val="nil"/>
              <w:right w:val="nil"/>
            </w:tcBorders>
            <w:noWrap/>
            <w:vAlign w:val="center"/>
          </w:tcPr>
          <w:p w14:paraId="194C1C03" w14:textId="77777777" w:rsidR="00E07C4E" w:rsidRPr="00721663" w:rsidRDefault="00E07C4E" w:rsidP="00551604">
            <w:pPr>
              <w:spacing w:line="240" w:lineRule="auto"/>
              <w:jc w:val="left"/>
              <w:rPr>
                <w:rFonts w:ascii="Arial" w:eastAsia="Arial Unicode MS" w:hAnsi="Arial" w:cs="Arial"/>
                <w:bCs/>
                <w:i/>
                <w:iCs/>
                <w:sz w:val="18"/>
                <w:szCs w:val="18"/>
                <w:lang w:val="bg-BG"/>
              </w:rPr>
            </w:pPr>
            <w:r w:rsidRPr="00721663">
              <w:rPr>
                <w:rFonts w:ascii="Arial" w:hAnsi="Arial" w:cs="Arial"/>
                <w:bCs/>
                <w:i/>
                <w:iCs/>
                <w:sz w:val="18"/>
                <w:szCs w:val="18"/>
                <w:lang w:val="bg-BG"/>
              </w:rPr>
              <w:t>Финансови активи</w:t>
            </w:r>
          </w:p>
        </w:tc>
        <w:tc>
          <w:tcPr>
            <w:tcW w:w="142" w:type="dxa"/>
            <w:tcBorders>
              <w:top w:val="nil"/>
              <w:left w:val="nil"/>
              <w:bottom w:val="nil"/>
              <w:right w:val="nil"/>
            </w:tcBorders>
            <w:noWrap/>
            <w:vAlign w:val="bottom"/>
          </w:tcPr>
          <w:p w14:paraId="17DB4DFF" w14:textId="77777777" w:rsidR="00E07C4E" w:rsidRPr="00721663" w:rsidRDefault="00E07C4E" w:rsidP="00551604">
            <w:pPr>
              <w:spacing w:line="240" w:lineRule="auto"/>
              <w:rPr>
                <w:rFonts w:ascii="Arial" w:eastAsia="Arial Unicode MS" w:hAnsi="Arial" w:cs="Arial"/>
                <w:sz w:val="18"/>
                <w:szCs w:val="18"/>
                <w:lang w:val="bg-BG"/>
              </w:rPr>
            </w:pPr>
          </w:p>
        </w:tc>
        <w:tc>
          <w:tcPr>
            <w:tcW w:w="1276" w:type="dxa"/>
            <w:tcBorders>
              <w:top w:val="nil"/>
              <w:left w:val="nil"/>
              <w:bottom w:val="nil"/>
              <w:right w:val="nil"/>
            </w:tcBorders>
            <w:noWrap/>
            <w:vAlign w:val="center"/>
          </w:tcPr>
          <w:p w14:paraId="534BFE3C" w14:textId="77777777" w:rsidR="00E07C4E" w:rsidRPr="00721663" w:rsidRDefault="00E07C4E" w:rsidP="00551604">
            <w:pPr>
              <w:spacing w:line="240" w:lineRule="auto"/>
              <w:jc w:val="right"/>
              <w:rPr>
                <w:rFonts w:ascii="Arial" w:eastAsia="Arial Unicode MS" w:hAnsi="Arial" w:cs="Arial"/>
                <w:b/>
                <w:bCs/>
                <w:color w:val="000000"/>
                <w:sz w:val="18"/>
                <w:szCs w:val="18"/>
                <w:lang w:val="bg-BG"/>
              </w:rPr>
            </w:pPr>
          </w:p>
        </w:tc>
        <w:tc>
          <w:tcPr>
            <w:tcW w:w="141" w:type="dxa"/>
            <w:tcBorders>
              <w:top w:val="nil"/>
              <w:left w:val="nil"/>
              <w:bottom w:val="nil"/>
              <w:right w:val="nil"/>
            </w:tcBorders>
            <w:noWrap/>
            <w:vAlign w:val="center"/>
          </w:tcPr>
          <w:p w14:paraId="25653265"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134" w:type="dxa"/>
            <w:tcBorders>
              <w:top w:val="nil"/>
              <w:left w:val="nil"/>
              <w:bottom w:val="nil"/>
              <w:right w:val="nil"/>
            </w:tcBorders>
            <w:noWrap/>
            <w:vAlign w:val="center"/>
          </w:tcPr>
          <w:p w14:paraId="364B0410" w14:textId="77777777" w:rsidR="00E07C4E" w:rsidRPr="00721663" w:rsidRDefault="00E07C4E" w:rsidP="00551604">
            <w:pPr>
              <w:spacing w:line="240" w:lineRule="auto"/>
              <w:ind w:right="122"/>
              <w:jc w:val="right"/>
              <w:rPr>
                <w:rFonts w:ascii="Arial" w:eastAsia="Arial Unicode MS" w:hAnsi="Arial" w:cs="Arial"/>
                <w:sz w:val="18"/>
                <w:szCs w:val="18"/>
                <w:lang w:val="bg-BG"/>
              </w:rPr>
            </w:pPr>
          </w:p>
        </w:tc>
        <w:tc>
          <w:tcPr>
            <w:tcW w:w="142" w:type="dxa"/>
            <w:tcBorders>
              <w:top w:val="nil"/>
              <w:left w:val="nil"/>
              <w:bottom w:val="nil"/>
              <w:right w:val="nil"/>
            </w:tcBorders>
            <w:noWrap/>
            <w:vAlign w:val="center"/>
          </w:tcPr>
          <w:p w14:paraId="76E7BC91" w14:textId="77777777" w:rsidR="00E07C4E" w:rsidRPr="00721663" w:rsidRDefault="00E07C4E" w:rsidP="00551604">
            <w:pPr>
              <w:spacing w:line="240" w:lineRule="auto"/>
              <w:ind w:right="122"/>
              <w:jc w:val="right"/>
              <w:rPr>
                <w:rFonts w:ascii="Arial" w:eastAsia="Arial Unicode MS" w:hAnsi="Arial" w:cs="Arial"/>
                <w:sz w:val="18"/>
                <w:szCs w:val="18"/>
                <w:lang w:val="bg-BG"/>
              </w:rPr>
            </w:pPr>
          </w:p>
        </w:tc>
        <w:tc>
          <w:tcPr>
            <w:tcW w:w="1559" w:type="dxa"/>
            <w:tcBorders>
              <w:top w:val="nil"/>
              <w:left w:val="nil"/>
              <w:bottom w:val="nil"/>
              <w:right w:val="nil"/>
            </w:tcBorders>
            <w:noWrap/>
            <w:vAlign w:val="center"/>
          </w:tcPr>
          <w:p w14:paraId="3339EFF3" w14:textId="77777777" w:rsidR="00E07C4E" w:rsidRPr="00721663" w:rsidRDefault="00E07C4E" w:rsidP="00551604">
            <w:pPr>
              <w:pStyle w:val="xl40"/>
              <w:spacing w:before="0" w:beforeAutospacing="0" w:after="0" w:afterAutospacing="0" w:line="240" w:lineRule="auto"/>
              <w:ind w:right="122"/>
              <w:jc w:val="right"/>
              <w:textAlignment w:val="auto"/>
              <w:rPr>
                <w:rFonts w:ascii="Arial" w:hAnsi="Arial" w:cs="Arial"/>
                <w:sz w:val="18"/>
                <w:szCs w:val="18"/>
                <w:lang w:val="bg-BG"/>
              </w:rPr>
            </w:pPr>
          </w:p>
        </w:tc>
        <w:tc>
          <w:tcPr>
            <w:tcW w:w="142" w:type="dxa"/>
            <w:tcBorders>
              <w:top w:val="nil"/>
              <w:left w:val="nil"/>
              <w:bottom w:val="nil"/>
              <w:right w:val="nil"/>
            </w:tcBorders>
            <w:vAlign w:val="center"/>
          </w:tcPr>
          <w:p w14:paraId="50B71F0F" w14:textId="77777777" w:rsidR="00E07C4E" w:rsidRPr="00721663" w:rsidRDefault="00E07C4E" w:rsidP="00551604">
            <w:pPr>
              <w:spacing w:line="240" w:lineRule="auto"/>
              <w:ind w:right="122"/>
              <w:jc w:val="right"/>
              <w:rPr>
                <w:rFonts w:ascii="Arial" w:eastAsia="Arial Unicode MS" w:hAnsi="Arial" w:cs="Arial"/>
                <w:sz w:val="18"/>
                <w:szCs w:val="18"/>
                <w:lang w:val="bg-BG"/>
              </w:rPr>
            </w:pPr>
          </w:p>
        </w:tc>
        <w:tc>
          <w:tcPr>
            <w:tcW w:w="1134" w:type="dxa"/>
            <w:tcBorders>
              <w:top w:val="nil"/>
              <w:left w:val="nil"/>
              <w:bottom w:val="nil"/>
              <w:right w:val="nil"/>
            </w:tcBorders>
            <w:tcMar>
              <w:top w:w="0" w:type="dxa"/>
              <w:left w:w="15" w:type="dxa"/>
              <w:bottom w:w="0" w:type="dxa"/>
              <w:right w:w="15" w:type="dxa"/>
            </w:tcMar>
            <w:vAlign w:val="center"/>
          </w:tcPr>
          <w:p w14:paraId="1C2F5DDD" w14:textId="77777777" w:rsidR="00E07C4E" w:rsidRPr="00721663" w:rsidRDefault="00E07C4E" w:rsidP="00551604">
            <w:pPr>
              <w:spacing w:line="240" w:lineRule="auto"/>
              <w:ind w:right="122"/>
              <w:jc w:val="right"/>
              <w:rPr>
                <w:rFonts w:ascii="Arial" w:eastAsia="Arial Unicode MS" w:hAnsi="Arial" w:cs="Arial"/>
                <w:sz w:val="18"/>
                <w:szCs w:val="18"/>
                <w:lang w:val="bg-BG"/>
              </w:rPr>
            </w:pPr>
          </w:p>
        </w:tc>
      </w:tr>
      <w:tr w:rsidR="008F17B6" w:rsidRPr="00721663" w14:paraId="6608F3B5" w14:textId="77777777" w:rsidTr="00551604">
        <w:trPr>
          <w:trHeight w:hRule="exact" w:val="329"/>
        </w:trPr>
        <w:tc>
          <w:tcPr>
            <w:tcW w:w="2410" w:type="dxa"/>
            <w:tcBorders>
              <w:top w:val="nil"/>
              <w:left w:val="nil"/>
              <w:bottom w:val="nil"/>
              <w:right w:val="nil"/>
            </w:tcBorders>
            <w:vAlign w:val="center"/>
          </w:tcPr>
          <w:p w14:paraId="472354AE" w14:textId="77777777" w:rsidR="008F17B6" w:rsidRPr="00721663" w:rsidRDefault="008F17B6" w:rsidP="008F17B6">
            <w:pPr>
              <w:pStyle w:val="Header"/>
              <w:spacing w:line="240" w:lineRule="auto"/>
              <w:jc w:val="left"/>
              <w:rPr>
                <w:rFonts w:ascii="Arial" w:eastAsia="Arial Unicode MS" w:hAnsi="Arial" w:cs="Arial"/>
                <w:sz w:val="18"/>
                <w:szCs w:val="18"/>
                <w:lang w:val="bg-BG"/>
              </w:rPr>
            </w:pPr>
            <w:r w:rsidRPr="00721663">
              <w:rPr>
                <w:rFonts w:ascii="Arial" w:hAnsi="Arial" w:cs="Arial"/>
                <w:sz w:val="18"/>
                <w:szCs w:val="18"/>
                <w:lang w:val="bg-BG"/>
              </w:rPr>
              <w:t>Търговски вземания</w:t>
            </w:r>
          </w:p>
        </w:tc>
        <w:tc>
          <w:tcPr>
            <w:tcW w:w="142" w:type="dxa"/>
            <w:tcBorders>
              <w:top w:val="nil"/>
              <w:left w:val="nil"/>
              <w:bottom w:val="nil"/>
              <w:right w:val="nil"/>
            </w:tcBorders>
            <w:vAlign w:val="bottom"/>
          </w:tcPr>
          <w:p w14:paraId="31746D4E" w14:textId="77777777" w:rsidR="008F17B6" w:rsidRPr="00721663" w:rsidRDefault="008F17B6" w:rsidP="008F17B6">
            <w:pPr>
              <w:spacing w:line="240" w:lineRule="auto"/>
              <w:rPr>
                <w:rFonts w:ascii="Arial" w:eastAsia="Arial Unicode MS" w:hAnsi="Arial" w:cs="Arial"/>
                <w:sz w:val="18"/>
                <w:szCs w:val="18"/>
                <w:lang w:val="bg-BG"/>
              </w:rPr>
            </w:pPr>
          </w:p>
        </w:tc>
        <w:tc>
          <w:tcPr>
            <w:tcW w:w="1276" w:type="dxa"/>
            <w:tcBorders>
              <w:top w:val="nil"/>
              <w:left w:val="nil"/>
              <w:bottom w:val="nil"/>
              <w:right w:val="nil"/>
            </w:tcBorders>
            <w:vAlign w:val="center"/>
          </w:tcPr>
          <w:p w14:paraId="5A9217DC" w14:textId="2EB418C9" w:rsidR="008F17B6" w:rsidRPr="00313E55" w:rsidRDefault="008F17B6" w:rsidP="008F17B6">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248</w:t>
            </w:r>
          </w:p>
        </w:tc>
        <w:tc>
          <w:tcPr>
            <w:tcW w:w="141" w:type="dxa"/>
            <w:tcBorders>
              <w:top w:val="nil"/>
              <w:left w:val="nil"/>
              <w:bottom w:val="nil"/>
              <w:right w:val="nil"/>
            </w:tcBorders>
            <w:vAlign w:val="center"/>
          </w:tcPr>
          <w:p w14:paraId="31AA3A8D" w14:textId="77777777" w:rsidR="008F17B6" w:rsidRPr="00313E55" w:rsidRDefault="008F17B6" w:rsidP="008F17B6">
            <w:pPr>
              <w:spacing w:line="240" w:lineRule="auto"/>
              <w:ind w:left="-142" w:firstLine="142"/>
              <w:jc w:val="right"/>
              <w:rPr>
                <w:rFonts w:ascii="Arial" w:eastAsia="Arial Unicode MS" w:hAnsi="Arial" w:cs="Arial"/>
                <w:sz w:val="18"/>
                <w:szCs w:val="18"/>
                <w:lang w:val="en-GB"/>
              </w:rPr>
            </w:pPr>
          </w:p>
        </w:tc>
        <w:tc>
          <w:tcPr>
            <w:tcW w:w="1134" w:type="dxa"/>
            <w:tcBorders>
              <w:top w:val="nil"/>
              <w:left w:val="nil"/>
              <w:bottom w:val="nil"/>
              <w:right w:val="nil"/>
            </w:tcBorders>
            <w:vAlign w:val="center"/>
          </w:tcPr>
          <w:p w14:paraId="6A94EEB7" w14:textId="640EF5B6" w:rsidR="008F17B6" w:rsidRPr="00313E55" w:rsidRDefault="008F17B6" w:rsidP="008F17B6">
            <w:pPr>
              <w:spacing w:line="240" w:lineRule="auto"/>
              <w:ind w:right="122"/>
              <w:jc w:val="right"/>
              <w:rPr>
                <w:rFonts w:ascii="Arial" w:eastAsia="Arial Unicode MS" w:hAnsi="Arial" w:cs="Arial"/>
                <w:sz w:val="18"/>
                <w:szCs w:val="18"/>
                <w:lang w:val="en-GB"/>
              </w:rPr>
            </w:pPr>
            <w:r>
              <w:rPr>
                <w:rFonts w:ascii="Arial" w:eastAsia="Arial Unicode MS" w:hAnsi="Arial" w:cs="Arial"/>
                <w:sz w:val="18"/>
                <w:szCs w:val="18"/>
                <w:lang w:val="en-GB" w:eastAsia="bg-BG"/>
              </w:rPr>
              <w:t>-</w:t>
            </w:r>
          </w:p>
        </w:tc>
        <w:tc>
          <w:tcPr>
            <w:tcW w:w="142" w:type="dxa"/>
            <w:tcBorders>
              <w:top w:val="nil"/>
              <w:left w:val="nil"/>
              <w:bottom w:val="nil"/>
              <w:right w:val="nil"/>
            </w:tcBorders>
            <w:vAlign w:val="center"/>
          </w:tcPr>
          <w:p w14:paraId="6E96C4DC" w14:textId="77777777" w:rsidR="008F17B6" w:rsidRPr="00313E55" w:rsidRDefault="008F17B6" w:rsidP="008F17B6">
            <w:pPr>
              <w:spacing w:line="240" w:lineRule="auto"/>
              <w:ind w:right="122"/>
              <w:jc w:val="right"/>
              <w:rPr>
                <w:rFonts w:ascii="Arial" w:eastAsia="Arial Unicode MS" w:hAnsi="Arial" w:cs="Arial"/>
                <w:sz w:val="18"/>
                <w:szCs w:val="18"/>
                <w:lang w:val="en-GB"/>
              </w:rPr>
            </w:pPr>
          </w:p>
        </w:tc>
        <w:tc>
          <w:tcPr>
            <w:tcW w:w="1559" w:type="dxa"/>
            <w:tcBorders>
              <w:top w:val="nil"/>
              <w:left w:val="nil"/>
              <w:bottom w:val="nil"/>
              <w:right w:val="nil"/>
            </w:tcBorders>
            <w:vAlign w:val="center"/>
          </w:tcPr>
          <w:p w14:paraId="290B18B8" w14:textId="5764F5FB" w:rsidR="008F17B6" w:rsidRPr="00313E55" w:rsidRDefault="008F17B6" w:rsidP="008F17B6">
            <w:pPr>
              <w:spacing w:line="240" w:lineRule="auto"/>
              <w:ind w:right="122"/>
              <w:jc w:val="right"/>
              <w:rPr>
                <w:rFonts w:ascii="Arial" w:eastAsia="Arial Unicode MS" w:hAnsi="Arial" w:cs="Arial"/>
                <w:sz w:val="18"/>
                <w:szCs w:val="18"/>
                <w:lang w:val="en-GB"/>
              </w:rPr>
            </w:pPr>
            <w:r>
              <w:rPr>
                <w:rFonts w:ascii="Arial" w:eastAsia="Arial Unicode MS" w:hAnsi="Arial" w:cs="Arial"/>
                <w:sz w:val="18"/>
                <w:szCs w:val="18"/>
                <w:lang w:val="en-GB" w:eastAsia="bg-BG"/>
              </w:rPr>
              <w:t>-</w:t>
            </w:r>
          </w:p>
        </w:tc>
        <w:tc>
          <w:tcPr>
            <w:tcW w:w="142" w:type="dxa"/>
            <w:tcBorders>
              <w:top w:val="nil"/>
              <w:left w:val="nil"/>
              <w:right w:val="nil"/>
            </w:tcBorders>
            <w:vAlign w:val="center"/>
          </w:tcPr>
          <w:p w14:paraId="29C01ACB" w14:textId="77777777" w:rsidR="008F17B6" w:rsidRPr="00313E55" w:rsidRDefault="008F17B6" w:rsidP="008F17B6">
            <w:pPr>
              <w:spacing w:line="240" w:lineRule="auto"/>
              <w:ind w:right="142"/>
              <w:jc w:val="right"/>
              <w:rPr>
                <w:rFonts w:ascii="Arial" w:eastAsia="Arial Unicode MS" w:hAnsi="Arial" w:cs="Arial"/>
                <w:sz w:val="18"/>
                <w:szCs w:val="18"/>
                <w:lang w:val="en-GB"/>
              </w:rPr>
            </w:pPr>
          </w:p>
        </w:tc>
        <w:tc>
          <w:tcPr>
            <w:tcW w:w="1134" w:type="dxa"/>
            <w:tcBorders>
              <w:top w:val="nil"/>
              <w:left w:val="nil"/>
              <w:right w:val="nil"/>
            </w:tcBorders>
            <w:tcMar>
              <w:top w:w="0" w:type="dxa"/>
              <w:left w:w="15" w:type="dxa"/>
              <w:bottom w:w="0" w:type="dxa"/>
              <w:right w:w="15" w:type="dxa"/>
            </w:tcMar>
            <w:vAlign w:val="center"/>
          </w:tcPr>
          <w:p w14:paraId="49D0B051" w14:textId="6B8017DE" w:rsidR="008F17B6" w:rsidRPr="00313E55" w:rsidRDefault="008F17B6" w:rsidP="008F17B6">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248</w:t>
            </w:r>
          </w:p>
        </w:tc>
      </w:tr>
      <w:tr w:rsidR="008F17B6" w:rsidRPr="00721663" w14:paraId="619FA60A" w14:textId="77777777" w:rsidTr="00551604">
        <w:trPr>
          <w:trHeight w:hRule="exact" w:val="430"/>
        </w:trPr>
        <w:tc>
          <w:tcPr>
            <w:tcW w:w="2410" w:type="dxa"/>
            <w:tcBorders>
              <w:top w:val="nil"/>
              <w:left w:val="nil"/>
              <w:bottom w:val="nil"/>
              <w:right w:val="nil"/>
            </w:tcBorders>
            <w:vAlign w:val="center"/>
          </w:tcPr>
          <w:p w14:paraId="007A5042" w14:textId="77777777" w:rsidR="008F17B6" w:rsidRPr="00721663" w:rsidRDefault="008F17B6" w:rsidP="008F17B6">
            <w:pPr>
              <w:pStyle w:val="Header"/>
              <w:spacing w:line="240" w:lineRule="auto"/>
              <w:jc w:val="left"/>
              <w:rPr>
                <w:rFonts w:ascii="Arial" w:hAnsi="Arial" w:cs="Arial"/>
                <w:sz w:val="18"/>
                <w:szCs w:val="18"/>
                <w:lang w:val="bg-BG"/>
              </w:rPr>
            </w:pPr>
            <w:r w:rsidRPr="00721663">
              <w:rPr>
                <w:rFonts w:ascii="Arial" w:hAnsi="Arial" w:cs="Arial"/>
                <w:sz w:val="18"/>
                <w:szCs w:val="18"/>
                <w:lang w:val="bg-BG"/>
              </w:rPr>
              <w:t>Парични средства по банкови сметки</w:t>
            </w:r>
          </w:p>
        </w:tc>
        <w:tc>
          <w:tcPr>
            <w:tcW w:w="142" w:type="dxa"/>
            <w:tcBorders>
              <w:top w:val="nil"/>
              <w:left w:val="nil"/>
              <w:bottom w:val="nil"/>
              <w:right w:val="nil"/>
            </w:tcBorders>
            <w:noWrap/>
            <w:vAlign w:val="bottom"/>
          </w:tcPr>
          <w:p w14:paraId="6F659DDC" w14:textId="77777777" w:rsidR="008F17B6" w:rsidRPr="00721663" w:rsidRDefault="008F17B6" w:rsidP="008F17B6">
            <w:pPr>
              <w:spacing w:line="240" w:lineRule="auto"/>
              <w:rPr>
                <w:rFonts w:ascii="Arial" w:eastAsia="Arial Unicode MS" w:hAnsi="Arial" w:cs="Arial"/>
                <w:sz w:val="18"/>
                <w:szCs w:val="18"/>
                <w:lang w:val="bg-BG"/>
              </w:rPr>
            </w:pPr>
          </w:p>
        </w:tc>
        <w:tc>
          <w:tcPr>
            <w:tcW w:w="1276" w:type="dxa"/>
            <w:tcBorders>
              <w:top w:val="nil"/>
              <w:left w:val="nil"/>
              <w:bottom w:val="nil"/>
              <w:right w:val="nil"/>
            </w:tcBorders>
            <w:noWrap/>
            <w:vAlign w:val="center"/>
          </w:tcPr>
          <w:p w14:paraId="2865EF5E" w14:textId="789BD738" w:rsidR="008F17B6" w:rsidRPr="00313E55" w:rsidRDefault="008F17B6" w:rsidP="008F17B6">
            <w:pPr>
              <w:spacing w:line="240" w:lineRule="auto"/>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2,096</w:t>
            </w:r>
          </w:p>
        </w:tc>
        <w:tc>
          <w:tcPr>
            <w:tcW w:w="141" w:type="dxa"/>
            <w:tcBorders>
              <w:top w:val="nil"/>
              <w:left w:val="nil"/>
              <w:bottom w:val="nil"/>
              <w:right w:val="nil"/>
            </w:tcBorders>
            <w:noWrap/>
            <w:vAlign w:val="center"/>
          </w:tcPr>
          <w:p w14:paraId="699CC47C" w14:textId="77777777" w:rsidR="008F17B6" w:rsidRPr="00313E55" w:rsidRDefault="008F17B6" w:rsidP="008F17B6">
            <w:pPr>
              <w:spacing w:line="240" w:lineRule="auto"/>
              <w:jc w:val="right"/>
              <w:rPr>
                <w:rFonts w:ascii="Arial" w:eastAsia="Arial Unicode MS" w:hAnsi="Arial" w:cs="Arial"/>
                <w:sz w:val="18"/>
                <w:szCs w:val="18"/>
                <w:lang w:val="en-GB"/>
              </w:rPr>
            </w:pPr>
          </w:p>
        </w:tc>
        <w:tc>
          <w:tcPr>
            <w:tcW w:w="1134" w:type="dxa"/>
            <w:tcBorders>
              <w:top w:val="nil"/>
              <w:left w:val="nil"/>
              <w:bottom w:val="nil"/>
              <w:right w:val="nil"/>
            </w:tcBorders>
            <w:noWrap/>
            <w:vAlign w:val="center"/>
          </w:tcPr>
          <w:p w14:paraId="3E2AB2FF" w14:textId="44FEB067" w:rsidR="008F17B6" w:rsidRPr="00313E55" w:rsidRDefault="008F17B6" w:rsidP="008F17B6">
            <w:pPr>
              <w:spacing w:line="240" w:lineRule="auto"/>
              <w:ind w:right="122"/>
              <w:jc w:val="right"/>
              <w:rPr>
                <w:rFonts w:ascii="Arial" w:eastAsia="Arial Unicode MS" w:hAnsi="Arial" w:cs="Arial"/>
                <w:sz w:val="18"/>
                <w:szCs w:val="18"/>
                <w:lang w:val="en-GB"/>
              </w:rPr>
            </w:pPr>
            <w:r>
              <w:rPr>
                <w:rFonts w:ascii="Arial" w:eastAsia="Arial Unicode MS" w:hAnsi="Arial" w:cs="Arial"/>
                <w:sz w:val="18"/>
                <w:szCs w:val="18"/>
                <w:lang w:val="en-GB" w:eastAsia="bg-BG"/>
              </w:rPr>
              <w:t>-</w:t>
            </w:r>
          </w:p>
        </w:tc>
        <w:tc>
          <w:tcPr>
            <w:tcW w:w="142" w:type="dxa"/>
            <w:tcBorders>
              <w:top w:val="nil"/>
              <w:left w:val="nil"/>
              <w:bottom w:val="nil"/>
              <w:right w:val="nil"/>
            </w:tcBorders>
            <w:noWrap/>
            <w:vAlign w:val="center"/>
          </w:tcPr>
          <w:p w14:paraId="0721B456" w14:textId="77777777" w:rsidR="008F17B6" w:rsidRPr="00313E55" w:rsidRDefault="008F17B6" w:rsidP="008F17B6">
            <w:pPr>
              <w:spacing w:line="240" w:lineRule="auto"/>
              <w:ind w:right="122"/>
              <w:jc w:val="right"/>
              <w:rPr>
                <w:rFonts w:ascii="Arial" w:eastAsia="Arial Unicode MS" w:hAnsi="Arial" w:cs="Arial"/>
                <w:sz w:val="18"/>
                <w:szCs w:val="18"/>
                <w:lang w:val="en-GB"/>
              </w:rPr>
            </w:pPr>
          </w:p>
        </w:tc>
        <w:tc>
          <w:tcPr>
            <w:tcW w:w="1559" w:type="dxa"/>
            <w:tcBorders>
              <w:top w:val="nil"/>
              <w:left w:val="nil"/>
              <w:bottom w:val="nil"/>
              <w:right w:val="nil"/>
            </w:tcBorders>
            <w:noWrap/>
            <w:vAlign w:val="center"/>
          </w:tcPr>
          <w:p w14:paraId="330FF699" w14:textId="2866A9D1" w:rsidR="008F17B6" w:rsidRPr="00313E55" w:rsidRDefault="008F17B6" w:rsidP="008F17B6">
            <w:pPr>
              <w:spacing w:line="240" w:lineRule="auto"/>
              <w:ind w:right="122"/>
              <w:jc w:val="right"/>
              <w:rPr>
                <w:rFonts w:ascii="Arial" w:eastAsia="Arial Unicode MS" w:hAnsi="Arial" w:cs="Arial"/>
                <w:sz w:val="18"/>
                <w:szCs w:val="18"/>
                <w:lang w:val="en-GB"/>
              </w:rPr>
            </w:pPr>
            <w:r>
              <w:rPr>
                <w:rFonts w:ascii="Arial" w:eastAsia="Arial Unicode MS" w:hAnsi="Arial" w:cs="Arial"/>
                <w:sz w:val="18"/>
                <w:szCs w:val="18"/>
                <w:lang w:val="en-GB" w:eastAsia="bg-BG"/>
              </w:rPr>
              <w:t>-</w:t>
            </w:r>
          </w:p>
        </w:tc>
        <w:tc>
          <w:tcPr>
            <w:tcW w:w="142" w:type="dxa"/>
            <w:tcBorders>
              <w:top w:val="nil"/>
              <w:left w:val="nil"/>
              <w:right w:val="nil"/>
            </w:tcBorders>
            <w:vAlign w:val="center"/>
          </w:tcPr>
          <w:p w14:paraId="06741DA2" w14:textId="77777777" w:rsidR="008F17B6" w:rsidRPr="00313E55" w:rsidRDefault="008F17B6" w:rsidP="008F17B6">
            <w:pPr>
              <w:spacing w:line="240" w:lineRule="auto"/>
              <w:ind w:right="142"/>
              <w:jc w:val="right"/>
              <w:rPr>
                <w:rFonts w:ascii="Arial" w:eastAsia="Arial Unicode MS" w:hAnsi="Arial" w:cs="Arial"/>
                <w:sz w:val="18"/>
                <w:szCs w:val="18"/>
                <w:lang w:val="en-GB"/>
              </w:rPr>
            </w:pPr>
          </w:p>
        </w:tc>
        <w:tc>
          <w:tcPr>
            <w:tcW w:w="1134" w:type="dxa"/>
            <w:tcBorders>
              <w:top w:val="nil"/>
              <w:left w:val="nil"/>
              <w:right w:val="nil"/>
            </w:tcBorders>
            <w:tcMar>
              <w:top w:w="0" w:type="dxa"/>
              <w:left w:w="15" w:type="dxa"/>
              <w:bottom w:w="0" w:type="dxa"/>
              <w:right w:w="15" w:type="dxa"/>
            </w:tcMar>
            <w:vAlign w:val="center"/>
          </w:tcPr>
          <w:p w14:paraId="2FA17F5C" w14:textId="224548E5" w:rsidR="008F17B6" w:rsidRPr="00313E55" w:rsidRDefault="008F17B6" w:rsidP="008F17B6">
            <w:pPr>
              <w:spacing w:line="240" w:lineRule="auto"/>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2,096</w:t>
            </w:r>
          </w:p>
        </w:tc>
      </w:tr>
      <w:tr w:rsidR="008F17B6" w:rsidRPr="00721663" w14:paraId="4B1214DB" w14:textId="77777777" w:rsidTr="00551604">
        <w:trPr>
          <w:trHeight w:hRule="exact" w:val="329"/>
        </w:trPr>
        <w:tc>
          <w:tcPr>
            <w:tcW w:w="2410" w:type="dxa"/>
            <w:tcBorders>
              <w:top w:val="nil"/>
              <w:left w:val="nil"/>
              <w:right w:val="nil"/>
            </w:tcBorders>
            <w:noWrap/>
            <w:tcMar>
              <w:top w:w="0" w:type="dxa"/>
              <w:left w:w="15" w:type="dxa"/>
              <w:bottom w:w="0" w:type="dxa"/>
              <w:right w:w="15" w:type="dxa"/>
            </w:tcMar>
            <w:vAlign w:val="center"/>
          </w:tcPr>
          <w:p w14:paraId="44B1C19F" w14:textId="77777777" w:rsidR="008F17B6" w:rsidRPr="00721663" w:rsidRDefault="008F17B6" w:rsidP="008F17B6">
            <w:pPr>
              <w:pStyle w:val="Header"/>
              <w:spacing w:line="240" w:lineRule="auto"/>
              <w:jc w:val="left"/>
              <w:rPr>
                <w:rFonts w:ascii="Arial" w:hAnsi="Arial" w:cs="Arial"/>
                <w:sz w:val="18"/>
                <w:szCs w:val="18"/>
                <w:lang w:val="bg-BG"/>
              </w:rPr>
            </w:pPr>
          </w:p>
        </w:tc>
        <w:tc>
          <w:tcPr>
            <w:tcW w:w="142" w:type="dxa"/>
            <w:tcBorders>
              <w:top w:val="nil"/>
              <w:left w:val="nil"/>
              <w:right w:val="nil"/>
            </w:tcBorders>
            <w:noWrap/>
            <w:tcMar>
              <w:top w:w="0" w:type="dxa"/>
              <w:left w:w="15" w:type="dxa"/>
              <w:bottom w:w="0" w:type="dxa"/>
              <w:right w:w="15" w:type="dxa"/>
            </w:tcMar>
            <w:vAlign w:val="bottom"/>
          </w:tcPr>
          <w:p w14:paraId="725DD17E" w14:textId="77777777" w:rsidR="008F17B6" w:rsidRPr="00721663" w:rsidRDefault="008F17B6" w:rsidP="008F17B6">
            <w:pPr>
              <w:spacing w:line="240" w:lineRule="auto"/>
              <w:rPr>
                <w:rFonts w:ascii="Arial" w:eastAsia="Arial Unicode MS" w:hAnsi="Arial" w:cs="Arial"/>
                <w:sz w:val="18"/>
                <w:szCs w:val="18"/>
                <w:lang w:val="bg-BG"/>
              </w:rPr>
            </w:pPr>
          </w:p>
        </w:tc>
        <w:tc>
          <w:tcPr>
            <w:tcW w:w="1276"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143ABBB9" w14:textId="401AC2DB" w:rsidR="008F17B6" w:rsidRPr="00313E55" w:rsidRDefault="008F17B6" w:rsidP="008F17B6">
            <w:pPr>
              <w:spacing w:line="240" w:lineRule="auto"/>
              <w:ind w:right="127"/>
              <w:jc w:val="right"/>
              <w:rPr>
                <w:rFonts w:ascii="Arial" w:eastAsia="Arial Unicode MS" w:hAnsi="Arial" w:cs="Arial"/>
                <w:b/>
                <w:bCs/>
                <w:sz w:val="18"/>
                <w:szCs w:val="18"/>
                <w:lang w:val="en-GB"/>
              </w:rPr>
            </w:pPr>
            <w:r>
              <w:rPr>
                <w:rFonts w:ascii="Arial" w:eastAsia="Arial Unicode MS" w:hAnsi="Arial" w:cs="Arial"/>
                <w:b/>
                <w:bCs/>
                <w:sz w:val="18"/>
                <w:szCs w:val="18"/>
                <w:lang w:val="en-GB" w:eastAsia="bg-BG"/>
              </w:rPr>
              <w:t>2,344</w:t>
            </w:r>
          </w:p>
        </w:tc>
        <w:tc>
          <w:tcPr>
            <w:tcW w:w="141" w:type="dxa"/>
            <w:tcBorders>
              <w:top w:val="nil"/>
              <w:left w:val="nil"/>
              <w:right w:val="nil"/>
            </w:tcBorders>
            <w:noWrap/>
            <w:tcMar>
              <w:top w:w="0" w:type="dxa"/>
              <w:left w:w="15" w:type="dxa"/>
              <w:bottom w:w="0" w:type="dxa"/>
              <w:right w:w="15" w:type="dxa"/>
            </w:tcMar>
            <w:vAlign w:val="center"/>
          </w:tcPr>
          <w:p w14:paraId="2C405FE1" w14:textId="77777777" w:rsidR="008F17B6" w:rsidRPr="00313E55" w:rsidRDefault="008F17B6" w:rsidP="008F17B6">
            <w:pPr>
              <w:spacing w:line="240" w:lineRule="auto"/>
              <w:jc w:val="right"/>
              <w:rPr>
                <w:rFonts w:ascii="Arial" w:eastAsia="Arial Unicode MS" w:hAnsi="Arial" w:cs="Arial"/>
                <w:sz w:val="18"/>
                <w:szCs w:val="18"/>
                <w:lang w:val="en-GB"/>
              </w:rPr>
            </w:pPr>
          </w:p>
        </w:tc>
        <w:tc>
          <w:tcPr>
            <w:tcW w:w="1134"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3CAB1301" w14:textId="182EB643" w:rsidR="008F17B6" w:rsidRPr="00313E55" w:rsidRDefault="008F17B6" w:rsidP="008F17B6">
            <w:pPr>
              <w:spacing w:line="240" w:lineRule="auto"/>
              <w:ind w:right="122"/>
              <w:jc w:val="right"/>
              <w:rPr>
                <w:rFonts w:ascii="Arial" w:eastAsia="Arial Unicode MS" w:hAnsi="Arial" w:cs="Arial"/>
                <w:b/>
                <w:bCs/>
                <w:sz w:val="18"/>
                <w:szCs w:val="18"/>
                <w:lang w:val="en-GB"/>
              </w:rPr>
            </w:pPr>
            <w:r>
              <w:rPr>
                <w:rFonts w:ascii="Arial" w:eastAsia="Arial Unicode MS" w:hAnsi="Arial" w:cs="Arial"/>
                <w:b/>
                <w:bCs/>
                <w:sz w:val="18"/>
                <w:szCs w:val="18"/>
                <w:lang w:val="en-GB" w:eastAsia="bg-BG"/>
              </w:rPr>
              <w:t>-</w:t>
            </w:r>
          </w:p>
        </w:tc>
        <w:tc>
          <w:tcPr>
            <w:tcW w:w="142" w:type="dxa"/>
            <w:tcBorders>
              <w:top w:val="nil"/>
              <w:left w:val="nil"/>
              <w:right w:val="nil"/>
            </w:tcBorders>
            <w:noWrap/>
            <w:tcMar>
              <w:top w:w="0" w:type="dxa"/>
              <w:left w:w="15" w:type="dxa"/>
              <w:bottom w:w="0" w:type="dxa"/>
              <w:right w:w="15" w:type="dxa"/>
            </w:tcMar>
            <w:vAlign w:val="center"/>
          </w:tcPr>
          <w:p w14:paraId="0A04E628" w14:textId="77777777" w:rsidR="008F17B6" w:rsidRPr="00313E55" w:rsidRDefault="008F17B6" w:rsidP="008F17B6">
            <w:pPr>
              <w:spacing w:line="240" w:lineRule="auto"/>
              <w:ind w:right="122"/>
              <w:jc w:val="right"/>
              <w:rPr>
                <w:rFonts w:ascii="Arial" w:eastAsia="Arial Unicode MS" w:hAnsi="Arial" w:cs="Arial"/>
                <w:sz w:val="18"/>
                <w:szCs w:val="18"/>
                <w:lang w:val="en-GB"/>
              </w:rPr>
            </w:pPr>
          </w:p>
        </w:tc>
        <w:tc>
          <w:tcPr>
            <w:tcW w:w="1559"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78FE495F" w14:textId="166DA841" w:rsidR="008F17B6" w:rsidRPr="00313E55" w:rsidRDefault="008F17B6" w:rsidP="008F17B6">
            <w:pPr>
              <w:spacing w:line="240" w:lineRule="auto"/>
              <w:ind w:right="122"/>
              <w:jc w:val="right"/>
              <w:rPr>
                <w:rFonts w:ascii="Arial" w:eastAsia="Arial Unicode MS" w:hAnsi="Arial" w:cs="Arial"/>
                <w:b/>
                <w:bCs/>
                <w:sz w:val="18"/>
                <w:szCs w:val="18"/>
                <w:lang w:val="en-GB"/>
              </w:rPr>
            </w:pPr>
            <w:r>
              <w:rPr>
                <w:rFonts w:ascii="Arial" w:eastAsia="Arial Unicode MS" w:hAnsi="Arial" w:cs="Arial"/>
                <w:b/>
                <w:bCs/>
                <w:sz w:val="18"/>
                <w:szCs w:val="18"/>
                <w:lang w:val="en-GB" w:eastAsia="bg-BG"/>
              </w:rPr>
              <w:t>-</w:t>
            </w:r>
          </w:p>
        </w:tc>
        <w:tc>
          <w:tcPr>
            <w:tcW w:w="142" w:type="dxa"/>
            <w:tcBorders>
              <w:left w:val="nil"/>
              <w:right w:val="nil"/>
            </w:tcBorders>
            <w:vAlign w:val="center"/>
          </w:tcPr>
          <w:p w14:paraId="4E51AE3B" w14:textId="77777777" w:rsidR="008F17B6" w:rsidRPr="00313E55" w:rsidRDefault="008F17B6" w:rsidP="008F17B6">
            <w:pPr>
              <w:spacing w:line="240" w:lineRule="auto"/>
              <w:ind w:right="127"/>
              <w:jc w:val="right"/>
              <w:rPr>
                <w:rFonts w:ascii="Arial" w:eastAsia="Arial Unicode MS" w:hAnsi="Arial" w:cs="Arial"/>
                <w:b/>
                <w:bCs/>
                <w:sz w:val="18"/>
                <w:szCs w:val="18"/>
                <w:lang w:val="en-GB"/>
              </w:rPr>
            </w:pPr>
          </w:p>
        </w:tc>
        <w:tc>
          <w:tcPr>
            <w:tcW w:w="1134" w:type="dxa"/>
            <w:tcBorders>
              <w:top w:val="single" w:sz="4" w:space="0" w:color="auto"/>
              <w:left w:val="nil"/>
              <w:bottom w:val="single" w:sz="4" w:space="0" w:color="auto"/>
              <w:right w:val="nil"/>
            </w:tcBorders>
            <w:tcMar>
              <w:top w:w="15" w:type="dxa"/>
              <w:left w:w="15" w:type="dxa"/>
              <w:bottom w:w="0" w:type="dxa"/>
              <w:right w:w="15" w:type="dxa"/>
            </w:tcMar>
            <w:vAlign w:val="center"/>
          </w:tcPr>
          <w:p w14:paraId="2E95FCDA" w14:textId="3262DEE8" w:rsidR="008F17B6" w:rsidRPr="00313E55" w:rsidRDefault="008F17B6" w:rsidP="008F17B6">
            <w:pPr>
              <w:spacing w:line="240" w:lineRule="auto"/>
              <w:ind w:right="127"/>
              <w:jc w:val="right"/>
              <w:rPr>
                <w:rFonts w:ascii="Arial" w:eastAsia="Arial Unicode MS" w:hAnsi="Arial" w:cs="Arial"/>
                <w:b/>
                <w:bCs/>
                <w:sz w:val="18"/>
                <w:szCs w:val="18"/>
                <w:lang w:val="en-GB"/>
              </w:rPr>
            </w:pPr>
            <w:r>
              <w:rPr>
                <w:rFonts w:ascii="Arial" w:eastAsia="Arial Unicode MS" w:hAnsi="Arial" w:cs="Arial"/>
                <w:b/>
                <w:bCs/>
                <w:sz w:val="18"/>
                <w:szCs w:val="18"/>
                <w:lang w:val="en-GB" w:eastAsia="bg-BG"/>
              </w:rPr>
              <w:t>2,344</w:t>
            </w:r>
          </w:p>
        </w:tc>
      </w:tr>
      <w:tr w:rsidR="008F17B6" w:rsidRPr="00721663" w14:paraId="346D63F1" w14:textId="77777777" w:rsidTr="00551604">
        <w:trPr>
          <w:trHeight w:hRule="exact" w:val="329"/>
        </w:trPr>
        <w:tc>
          <w:tcPr>
            <w:tcW w:w="2410" w:type="dxa"/>
            <w:tcBorders>
              <w:left w:val="nil"/>
              <w:bottom w:val="nil"/>
              <w:right w:val="nil"/>
            </w:tcBorders>
            <w:noWrap/>
            <w:vAlign w:val="center"/>
          </w:tcPr>
          <w:p w14:paraId="0FB6F159" w14:textId="77777777" w:rsidR="008F17B6" w:rsidRPr="00721663" w:rsidRDefault="008F17B6" w:rsidP="008F17B6">
            <w:pPr>
              <w:spacing w:line="240" w:lineRule="auto"/>
              <w:jc w:val="left"/>
              <w:rPr>
                <w:rFonts w:ascii="Arial" w:eastAsia="Arial Unicode MS" w:hAnsi="Arial" w:cs="Arial"/>
                <w:bCs/>
                <w:i/>
                <w:iCs/>
                <w:sz w:val="18"/>
                <w:szCs w:val="18"/>
                <w:lang w:val="bg-BG"/>
              </w:rPr>
            </w:pPr>
            <w:r w:rsidRPr="00721663">
              <w:rPr>
                <w:rFonts w:ascii="Arial" w:hAnsi="Arial" w:cs="Arial"/>
                <w:bCs/>
                <w:i/>
                <w:iCs/>
                <w:sz w:val="18"/>
                <w:szCs w:val="18"/>
                <w:lang w:val="bg-BG"/>
              </w:rPr>
              <w:t>Финансови пасиви</w:t>
            </w:r>
          </w:p>
        </w:tc>
        <w:tc>
          <w:tcPr>
            <w:tcW w:w="142" w:type="dxa"/>
            <w:tcBorders>
              <w:left w:val="nil"/>
              <w:bottom w:val="nil"/>
              <w:right w:val="nil"/>
            </w:tcBorders>
            <w:noWrap/>
            <w:vAlign w:val="bottom"/>
          </w:tcPr>
          <w:p w14:paraId="7855AA5C" w14:textId="77777777" w:rsidR="008F17B6" w:rsidRPr="00721663" w:rsidRDefault="008F17B6" w:rsidP="008F17B6">
            <w:pPr>
              <w:spacing w:line="240" w:lineRule="auto"/>
              <w:rPr>
                <w:rFonts w:ascii="Arial" w:eastAsia="Arial Unicode MS" w:hAnsi="Arial" w:cs="Arial"/>
                <w:sz w:val="18"/>
                <w:szCs w:val="18"/>
                <w:lang w:val="bg-BG"/>
              </w:rPr>
            </w:pPr>
          </w:p>
        </w:tc>
        <w:tc>
          <w:tcPr>
            <w:tcW w:w="1276" w:type="dxa"/>
            <w:tcBorders>
              <w:top w:val="single" w:sz="4" w:space="0" w:color="auto"/>
              <w:left w:val="nil"/>
              <w:bottom w:val="nil"/>
              <w:right w:val="nil"/>
            </w:tcBorders>
            <w:noWrap/>
            <w:vAlign w:val="center"/>
          </w:tcPr>
          <w:p w14:paraId="0975931F" w14:textId="77777777" w:rsidR="008F17B6" w:rsidRPr="00FB2FEB" w:rsidRDefault="008F17B6" w:rsidP="008F17B6">
            <w:pPr>
              <w:spacing w:line="240" w:lineRule="auto"/>
              <w:jc w:val="right"/>
              <w:rPr>
                <w:rFonts w:ascii="Arial" w:eastAsia="Arial Unicode MS" w:hAnsi="Arial" w:cs="Arial"/>
                <w:sz w:val="18"/>
                <w:szCs w:val="18"/>
                <w:highlight w:val="yellow"/>
                <w:lang w:val="en-GB"/>
              </w:rPr>
            </w:pPr>
          </w:p>
        </w:tc>
        <w:tc>
          <w:tcPr>
            <w:tcW w:w="141" w:type="dxa"/>
            <w:tcBorders>
              <w:left w:val="nil"/>
              <w:bottom w:val="nil"/>
              <w:right w:val="nil"/>
            </w:tcBorders>
            <w:noWrap/>
            <w:vAlign w:val="center"/>
          </w:tcPr>
          <w:p w14:paraId="7E99BDF0" w14:textId="77777777" w:rsidR="008F17B6" w:rsidRPr="00FB2FEB" w:rsidRDefault="008F17B6" w:rsidP="008F17B6">
            <w:pPr>
              <w:spacing w:line="240" w:lineRule="auto"/>
              <w:jc w:val="right"/>
              <w:rPr>
                <w:rFonts w:ascii="Arial" w:eastAsia="Arial Unicode MS" w:hAnsi="Arial" w:cs="Arial"/>
                <w:sz w:val="18"/>
                <w:szCs w:val="18"/>
                <w:highlight w:val="yellow"/>
                <w:lang w:val="en-GB"/>
              </w:rPr>
            </w:pPr>
          </w:p>
        </w:tc>
        <w:tc>
          <w:tcPr>
            <w:tcW w:w="1134" w:type="dxa"/>
            <w:tcBorders>
              <w:top w:val="single" w:sz="4" w:space="0" w:color="auto"/>
              <w:left w:val="nil"/>
              <w:bottom w:val="nil"/>
              <w:right w:val="nil"/>
            </w:tcBorders>
            <w:noWrap/>
            <w:vAlign w:val="center"/>
          </w:tcPr>
          <w:p w14:paraId="6B188A6F" w14:textId="77777777" w:rsidR="008F17B6" w:rsidRPr="00FB2FEB" w:rsidRDefault="008F17B6" w:rsidP="008F17B6">
            <w:pPr>
              <w:spacing w:line="240" w:lineRule="auto"/>
              <w:ind w:right="122"/>
              <w:jc w:val="right"/>
              <w:rPr>
                <w:rFonts w:ascii="Arial" w:eastAsia="Arial Unicode MS" w:hAnsi="Arial" w:cs="Arial"/>
                <w:sz w:val="18"/>
                <w:szCs w:val="18"/>
                <w:highlight w:val="yellow"/>
                <w:lang w:val="en-GB"/>
              </w:rPr>
            </w:pPr>
          </w:p>
        </w:tc>
        <w:tc>
          <w:tcPr>
            <w:tcW w:w="142" w:type="dxa"/>
            <w:tcBorders>
              <w:left w:val="nil"/>
              <w:bottom w:val="nil"/>
              <w:right w:val="nil"/>
            </w:tcBorders>
            <w:noWrap/>
            <w:vAlign w:val="center"/>
          </w:tcPr>
          <w:p w14:paraId="2783B40B" w14:textId="77777777" w:rsidR="008F17B6" w:rsidRPr="00FB2FEB" w:rsidRDefault="008F17B6" w:rsidP="008F17B6">
            <w:pPr>
              <w:spacing w:line="240" w:lineRule="auto"/>
              <w:ind w:right="122"/>
              <w:jc w:val="right"/>
              <w:rPr>
                <w:rFonts w:ascii="Arial" w:eastAsia="Arial Unicode MS" w:hAnsi="Arial" w:cs="Arial"/>
                <w:sz w:val="18"/>
                <w:szCs w:val="18"/>
                <w:highlight w:val="yellow"/>
                <w:lang w:val="en-GB"/>
              </w:rPr>
            </w:pPr>
          </w:p>
        </w:tc>
        <w:tc>
          <w:tcPr>
            <w:tcW w:w="1559" w:type="dxa"/>
            <w:tcBorders>
              <w:top w:val="single" w:sz="4" w:space="0" w:color="auto"/>
              <w:left w:val="nil"/>
              <w:bottom w:val="nil"/>
              <w:right w:val="nil"/>
            </w:tcBorders>
            <w:noWrap/>
            <w:vAlign w:val="center"/>
          </w:tcPr>
          <w:p w14:paraId="029EDD3F" w14:textId="77777777" w:rsidR="008F17B6" w:rsidRPr="00FB2FEB" w:rsidRDefault="008F17B6" w:rsidP="008F17B6">
            <w:pPr>
              <w:spacing w:line="240" w:lineRule="auto"/>
              <w:ind w:right="122"/>
              <w:jc w:val="right"/>
              <w:rPr>
                <w:rFonts w:ascii="Arial" w:eastAsia="Arial Unicode MS" w:hAnsi="Arial" w:cs="Arial"/>
                <w:sz w:val="18"/>
                <w:szCs w:val="18"/>
                <w:highlight w:val="yellow"/>
                <w:lang w:val="en-GB"/>
              </w:rPr>
            </w:pPr>
          </w:p>
        </w:tc>
        <w:tc>
          <w:tcPr>
            <w:tcW w:w="142" w:type="dxa"/>
            <w:tcBorders>
              <w:left w:val="nil"/>
              <w:bottom w:val="nil"/>
              <w:right w:val="nil"/>
            </w:tcBorders>
            <w:vAlign w:val="center"/>
          </w:tcPr>
          <w:p w14:paraId="239A65CC" w14:textId="77777777" w:rsidR="008F17B6" w:rsidRPr="00FB2FEB" w:rsidRDefault="008F17B6" w:rsidP="008F17B6">
            <w:pPr>
              <w:spacing w:line="240" w:lineRule="auto"/>
              <w:ind w:right="122"/>
              <w:jc w:val="right"/>
              <w:rPr>
                <w:rFonts w:ascii="Arial" w:eastAsia="Arial Unicode MS" w:hAnsi="Arial" w:cs="Arial"/>
                <w:sz w:val="18"/>
                <w:szCs w:val="18"/>
                <w:highlight w:val="yellow"/>
                <w:lang w:val="en-GB"/>
              </w:rPr>
            </w:pPr>
          </w:p>
        </w:tc>
        <w:tc>
          <w:tcPr>
            <w:tcW w:w="1134" w:type="dxa"/>
            <w:tcBorders>
              <w:top w:val="single" w:sz="4" w:space="0" w:color="auto"/>
              <w:left w:val="nil"/>
              <w:bottom w:val="nil"/>
              <w:right w:val="nil"/>
            </w:tcBorders>
            <w:tcMar>
              <w:top w:w="0" w:type="dxa"/>
              <w:left w:w="15" w:type="dxa"/>
              <w:bottom w:w="0" w:type="dxa"/>
              <w:right w:w="15" w:type="dxa"/>
            </w:tcMar>
            <w:vAlign w:val="center"/>
          </w:tcPr>
          <w:p w14:paraId="75400785" w14:textId="77777777" w:rsidR="008F17B6" w:rsidRPr="00FB2FEB" w:rsidRDefault="008F17B6" w:rsidP="008F17B6">
            <w:pPr>
              <w:spacing w:line="240" w:lineRule="auto"/>
              <w:ind w:right="122"/>
              <w:jc w:val="right"/>
              <w:rPr>
                <w:rFonts w:ascii="Arial" w:eastAsia="Arial Unicode MS" w:hAnsi="Arial" w:cs="Arial"/>
                <w:sz w:val="18"/>
                <w:szCs w:val="18"/>
                <w:highlight w:val="yellow"/>
                <w:lang w:val="en-GB"/>
              </w:rPr>
            </w:pPr>
          </w:p>
        </w:tc>
      </w:tr>
      <w:tr w:rsidR="008F17B6" w:rsidRPr="00721663" w14:paraId="0B356A50" w14:textId="77777777" w:rsidTr="00551604">
        <w:trPr>
          <w:trHeight w:hRule="exact" w:val="329"/>
        </w:trPr>
        <w:tc>
          <w:tcPr>
            <w:tcW w:w="2410" w:type="dxa"/>
            <w:tcBorders>
              <w:top w:val="nil"/>
              <w:left w:val="nil"/>
              <w:bottom w:val="nil"/>
              <w:right w:val="nil"/>
            </w:tcBorders>
            <w:noWrap/>
            <w:vAlign w:val="center"/>
          </w:tcPr>
          <w:p w14:paraId="639FDA4F" w14:textId="77777777" w:rsidR="008F17B6" w:rsidRPr="00721663" w:rsidRDefault="008F17B6" w:rsidP="008F17B6">
            <w:pPr>
              <w:spacing w:line="240" w:lineRule="auto"/>
              <w:jc w:val="left"/>
              <w:rPr>
                <w:rFonts w:ascii="Arial" w:eastAsia="Arial Unicode MS" w:hAnsi="Arial" w:cs="Arial"/>
                <w:sz w:val="18"/>
                <w:szCs w:val="18"/>
                <w:lang w:val="bg-BG"/>
              </w:rPr>
            </w:pPr>
            <w:r w:rsidRPr="00721663">
              <w:rPr>
                <w:rFonts w:ascii="Arial" w:hAnsi="Arial" w:cs="Arial"/>
                <w:sz w:val="18"/>
                <w:szCs w:val="18"/>
                <w:lang w:val="bg-BG"/>
              </w:rPr>
              <w:t xml:space="preserve">Заеми и лихви </w:t>
            </w:r>
          </w:p>
        </w:tc>
        <w:tc>
          <w:tcPr>
            <w:tcW w:w="142" w:type="dxa"/>
            <w:tcBorders>
              <w:top w:val="nil"/>
              <w:left w:val="nil"/>
              <w:bottom w:val="nil"/>
              <w:right w:val="nil"/>
            </w:tcBorders>
            <w:noWrap/>
            <w:vAlign w:val="bottom"/>
          </w:tcPr>
          <w:p w14:paraId="0686E6AA" w14:textId="77777777" w:rsidR="008F17B6" w:rsidRPr="00721663" w:rsidRDefault="008F17B6" w:rsidP="008F17B6">
            <w:pPr>
              <w:spacing w:line="240" w:lineRule="auto"/>
              <w:rPr>
                <w:rFonts w:ascii="Arial" w:eastAsia="Arial Unicode MS" w:hAnsi="Arial" w:cs="Arial"/>
                <w:sz w:val="18"/>
                <w:szCs w:val="18"/>
                <w:lang w:val="bg-BG"/>
              </w:rPr>
            </w:pPr>
          </w:p>
        </w:tc>
        <w:tc>
          <w:tcPr>
            <w:tcW w:w="1276" w:type="dxa"/>
            <w:tcBorders>
              <w:top w:val="nil"/>
              <w:left w:val="nil"/>
              <w:bottom w:val="nil"/>
              <w:right w:val="nil"/>
            </w:tcBorders>
            <w:noWrap/>
            <w:vAlign w:val="center"/>
          </w:tcPr>
          <w:p w14:paraId="004BB2B2" w14:textId="3841DA02" w:rsidR="008F17B6" w:rsidRPr="00313E55" w:rsidRDefault="008F17B6" w:rsidP="008F17B6">
            <w:pPr>
              <w:spacing w:line="240" w:lineRule="auto"/>
              <w:ind w:right="127"/>
              <w:jc w:val="right"/>
              <w:rPr>
                <w:rFonts w:ascii="Arial" w:eastAsia="Arial Unicode MS" w:hAnsi="Arial" w:cs="Arial"/>
                <w:sz w:val="18"/>
                <w:szCs w:val="18"/>
                <w:lang w:val="en-GB"/>
              </w:rPr>
            </w:pPr>
            <w:r>
              <w:rPr>
                <w:rFonts w:ascii="Arial" w:eastAsia="Arial Unicode MS" w:hAnsi="Arial" w:cs="Arial"/>
                <w:sz w:val="18"/>
                <w:szCs w:val="18"/>
                <w:lang w:val="en-GB" w:eastAsia="bg-BG"/>
              </w:rPr>
              <w:t>4,952</w:t>
            </w:r>
          </w:p>
        </w:tc>
        <w:tc>
          <w:tcPr>
            <w:tcW w:w="141" w:type="dxa"/>
            <w:tcBorders>
              <w:top w:val="nil"/>
              <w:left w:val="nil"/>
              <w:bottom w:val="nil"/>
              <w:right w:val="nil"/>
            </w:tcBorders>
            <w:noWrap/>
            <w:vAlign w:val="center"/>
          </w:tcPr>
          <w:p w14:paraId="73130D36" w14:textId="77777777" w:rsidR="008F17B6" w:rsidRPr="00313E55" w:rsidRDefault="008F17B6" w:rsidP="008F17B6">
            <w:pPr>
              <w:spacing w:line="240" w:lineRule="auto"/>
              <w:jc w:val="right"/>
              <w:rPr>
                <w:rFonts w:ascii="Arial" w:eastAsia="Arial Unicode MS" w:hAnsi="Arial" w:cs="Arial"/>
                <w:sz w:val="18"/>
                <w:szCs w:val="18"/>
                <w:lang w:val="en-GB"/>
              </w:rPr>
            </w:pPr>
          </w:p>
        </w:tc>
        <w:tc>
          <w:tcPr>
            <w:tcW w:w="1134" w:type="dxa"/>
            <w:tcBorders>
              <w:top w:val="nil"/>
              <w:left w:val="nil"/>
              <w:bottom w:val="nil"/>
              <w:right w:val="nil"/>
            </w:tcBorders>
            <w:noWrap/>
            <w:vAlign w:val="center"/>
          </w:tcPr>
          <w:p w14:paraId="3CEEB373" w14:textId="52B7BE66" w:rsidR="008F17B6" w:rsidRPr="00313E55" w:rsidRDefault="008F17B6" w:rsidP="008F17B6">
            <w:pPr>
              <w:spacing w:line="240" w:lineRule="auto"/>
              <w:ind w:right="122"/>
              <w:jc w:val="right"/>
              <w:rPr>
                <w:rFonts w:ascii="Arial" w:eastAsia="Arial Unicode MS" w:hAnsi="Arial" w:cs="Arial"/>
                <w:sz w:val="18"/>
                <w:szCs w:val="18"/>
                <w:lang w:val="en-GB"/>
              </w:rPr>
            </w:pPr>
            <w:r>
              <w:rPr>
                <w:rFonts w:ascii="Arial" w:eastAsia="Arial Unicode MS" w:hAnsi="Arial" w:cs="Arial"/>
                <w:sz w:val="18"/>
                <w:szCs w:val="18"/>
                <w:lang w:val="en-GB" w:eastAsia="bg-BG"/>
              </w:rPr>
              <w:t>1,875</w:t>
            </w:r>
          </w:p>
        </w:tc>
        <w:tc>
          <w:tcPr>
            <w:tcW w:w="142" w:type="dxa"/>
            <w:tcBorders>
              <w:top w:val="nil"/>
              <w:left w:val="nil"/>
              <w:bottom w:val="nil"/>
              <w:right w:val="nil"/>
            </w:tcBorders>
            <w:noWrap/>
            <w:vAlign w:val="center"/>
          </w:tcPr>
          <w:p w14:paraId="2C671B1F" w14:textId="77777777" w:rsidR="008F17B6" w:rsidRPr="00313E55" w:rsidRDefault="008F17B6" w:rsidP="008F17B6">
            <w:pPr>
              <w:spacing w:line="240" w:lineRule="auto"/>
              <w:ind w:right="122"/>
              <w:jc w:val="right"/>
              <w:rPr>
                <w:rFonts w:ascii="Arial" w:eastAsia="Arial Unicode MS" w:hAnsi="Arial" w:cs="Arial"/>
                <w:sz w:val="18"/>
                <w:szCs w:val="18"/>
                <w:lang w:val="en-GB"/>
              </w:rPr>
            </w:pPr>
          </w:p>
        </w:tc>
        <w:tc>
          <w:tcPr>
            <w:tcW w:w="1559" w:type="dxa"/>
            <w:tcBorders>
              <w:top w:val="nil"/>
              <w:left w:val="nil"/>
              <w:bottom w:val="nil"/>
              <w:right w:val="nil"/>
            </w:tcBorders>
            <w:noWrap/>
            <w:vAlign w:val="center"/>
          </w:tcPr>
          <w:p w14:paraId="0A882DA9" w14:textId="7D42A7C2" w:rsidR="008F17B6" w:rsidRPr="00D93AE4" w:rsidRDefault="008F17B6" w:rsidP="008F17B6">
            <w:pPr>
              <w:spacing w:line="240" w:lineRule="auto"/>
              <w:ind w:right="122"/>
              <w:jc w:val="right"/>
              <w:rPr>
                <w:rFonts w:ascii="Arial" w:eastAsia="Arial Unicode MS" w:hAnsi="Arial" w:cs="Arial"/>
                <w:sz w:val="18"/>
                <w:szCs w:val="18"/>
                <w:lang w:val="bg-BG"/>
              </w:rPr>
            </w:pPr>
            <w:r>
              <w:rPr>
                <w:rFonts w:ascii="Arial" w:eastAsia="Arial Unicode MS" w:hAnsi="Arial" w:cs="Arial"/>
                <w:sz w:val="18"/>
                <w:szCs w:val="18"/>
                <w:lang w:val="en-GB" w:eastAsia="bg-BG"/>
              </w:rPr>
              <w:t>16,173</w:t>
            </w:r>
          </w:p>
        </w:tc>
        <w:tc>
          <w:tcPr>
            <w:tcW w:w="142" w:type="dxa"/>
            <w:tcBorders>
              <w:top w:val="nil"/>
              <w:left w:val="nil"/>
              <w:bottom w:val="nil"/>
              <w:right w:val="nil"/>
            </w:tcBorders>
            <w:vAlign w:val="center"/>
          </w:tcPr>
          <w:p w14:paraId="254C651E" w14:textId="77777777" w:rsidR="008F17B6" w:rsidRPr="00313E55" w:rsidRDefault="008F17B6" w:rsidP="008F17B6">
            <w:pPr>
              <w:spacing w:line="240" w:lineRule="auto"/>
              <w:ind w:right="122"/>
              <w:jc w:val="right"/>
              <w:rPr>
                <w:rFonts w:ascii="Arial" w:eastAsia="Arial Unicode MS" w:hAnsi="Arial" w:cs="Arial"/>
                <w:sz w:val="18"/>
                <w:szCs w:val="18"/>
                <w:lang w:val="en-GB"/>
              </w:rPr>
            </w:pPr>
          </w:p>
        </w:tc>
        <w:tc>
          <w:tcPr>
            <w:tcW w:w="1134" w:type="dxa"/>
            <w:tcBorders>
              <w:top w:val="nil"/>
              <w:left w:val="nil"/>
              <w:bottom w:val="nil"/>
              <w:right w:val="nil"/>
            </w:tcBorders>
            <w:tcMar>
              <w:top w:w="0" w:type="dxa"/>
              <w:left w:w="15" w:type="dxa"/>
              <w:bottom w:w="0" w:type="dxa"/>
              <w:right w:w="15" w:type="dxa"/>
            </w:tcMar>
            <w:vAlign w:val="center"/>
          </w:tcPr>
          <w:p w14:paraId="7ECFF6A1" w14:textId="5C5D34C1" w:rsidR="008F17B6" w:rsidRPr="00313E55" w:rsidRDefault="008F17B6" w:rsidP="008F17B6">
            <w:pPr>
              <w:spacing w:line="240" w:lineRule="auto"/>
              <w:ind w:right="122"/>
              <w:jc w:val="right"/>
              <w:rPr>
                <w:rFonts w:ascii="Arial" w:eastAsia="Arial Unicode MS" w:hAnsi="Arial" w:cs="Arial"/>
                <w:sz w:val="18"/>
                <w:szCs w:val="18"/>
                <w:lang w:val="en-GB"/>
              </w:rPr>
            </w:pPr>
            <w:r>
              <w:rPr>
                <w:rFonts w:ascii="Arial" w:eastAsia="Arial Unicode MS" w:hAnsi="Arial" w:cs="Arial"/>
                <w:sz w:val="18"/>
                <w:szCs w:val="18"/>
                <w:lang w:val="en-GB" w:eastAsia="bg-BG"/>
              </w:rPr>
              <w:t>23,000</w:t>
            </w:r>
          </w:p>
        </w:tc>
      </w:tr>
      <w:tr w:rsidR="008F17B6" w:rsidRPr="00721663" w14:paraId="3DB6824D" w14:textId="77777777" w:rsidTr="00551604">
        <w:trPr>
          <w:trHeight w:hRule="exact" w:val="329"/>
        </w:trPr>
        <w:tc>
          <w:tcPr>
            <w:tcW w:w="2410" w:type="dxa"/>
            <w:tcBorders>
              <w:top w:val="nil"/>
              <w:left w:val="nil"/>
              <w:bottom w:val="nil"/>
              <w:right w:val="nil"/>
            </w:tcBorders>
            <w:vAlign w:val="center"/>
          </w:tcPr>
          <w:p w14:paraId="1B3C413A" w14:textId="77777777" w:rsidR="008F17B6" w:rsidRPr="00721663" w:rsidRDefault="008F17B6" w:rsidP="008F17B6">
            <w:pPr>
              <w:spacing w:line="240" w:lineRule="auto"/>
              <w:jc w:val="left"/>
              <w:rPr>
                <w:rFonts w:ascii="Arial" w:eastAsia="Arial Unicode MS" w:hAnsi="Arial" w:cs="Arial"/>
                <w:sz w:val="18"/>
                <w:szCs w:val="18"/>
                <w:lang w:val="bg-BG"/>
              </w:rPr>
            </w:pPr>
            <w:r w:rsidRPr="00721663">
              <w:rPr>
                <w:rFonts w:ascii="Arial" w:hAnsi="Arial" w:cs="Arial"/>
                <w:sz w:val="18"/>
                <w:szCs w:val="18"/>
                <w:lang w:val="bg-BG"/>
              </w:rPr>
              <w:t>Търговски задължения</w:t>
            </w:r>
          </w:p>
        </w:tc>
        <w:tc>
          <w:tcPr>
            <w:tcW w:w="142" w:type="dxa"/>
            <w:tcBorders>
              <w:top w:val="nil"/>
              <w:left w:val="nil"/>
              <w:bottom w:val="nil"/>
              <w:right w:val="nil"/>
            </w:tcBorders>
            <w:noWrap/>
            <w:vAlign w:val="bottom"/>
          </w:tcPr>
          <w:p w14:paraId="719F1074" w14:textId="77777777" w:rsidR="008F17B6" w:rsidRPr="00721663" w:rsidRDefault="008F17B6" w:rsidP="008F17B6">
            <w:pPr>
              <w:spacing w:line="240" w:lineRule="auto"/>
              <w:rPr>
                <w:rFonts w:ascii="Arial" w:eastAsia="Arial Unicode MS" w:hAnsi="Arial" w:cs="Arial"/>
                <w:sz w:val="18"/>
                <w:szCs w:val="18"/>
                <w:lang w:val="bg-BG"/>
              </w:rPr>
            </w:pPr>
          </w:p>
        </w:tc>
        <w:tc>
          <w:tcPr>
            <w:tcW w:w="1276" w:type="dxa"/>
            <w:tcBorders>
              <w:top w:val="nil"/>
              <w:left w:val="nil"/>
              <w:bottom w:val="nil"/>
              <w:right w:val="nil"/>
            </w:tcBorders>
            <w:noWrap/>
            <w:vAlign w:val="center"/>
          </w:tcPr>
          <w:p w14:paraId="7E472FCB" w14:textId="4F755886" w:rsidR="008F17B6" w:rsidRPr="00313E55" w:rsidRDefault="008F17B6" w:rsidP="008F17B6">
            <w:pPr>
              <w:spacing w:line="240" w:lineRule="auto"/>
              <w:ind w:right="127"/>
              <w:jc w:val="right"/>
              <w:rPr>
                <w:rFonts w:ascii="Arial" w:eastAsia="Arial Unicode MS" w:hAnsi="Arial" w:cs="Arial"/>
                <w:sz w:val="18"/>
                <w:szCs w:val="18"/>
                <w:lang w:val="en-GB"/>
              </w:rPr>
            </w:pPr>
            <w:r>
              <w:rPr>
                <w:rFonts w:ascii="Arial" w:eastAsia="Arial Unicode MS" w:hAnsi="Arial" w:cs="Arial"/>
                <w:sz w:val="18"/>
                <w:szCs w:val="18"/>
                <w:lang w:val="en-GB" w:eastAsia="bg-BG"/>
              </w:rPr>
              <w:t>78</w:t>
            </w:r>
          </w:p>
        </w:tc>
        <w:tc>
          <w:tcPr>
            <w:tcW w:w="141" w:type="dxa"/>
            <w:tcBorders>
              <w:top w:val="nil"/>
              <w:left w:val="nil"/>
              <w:bottom w:val="nil"/>
              <w:right w:val="nil"/>
            </w:tcBorders>
            <w:noWrap/>
            <w:vAlign w:val="center"/>
          </w:tcPr>
          <w:p w14:paraId="0C01701E" w14:textId="77777777" w:rsidR="008F17B6" w:rsidRPr="00313E55" w:rsidRDefault="008F17B6" w:rsidP="008F17B6">
            <w:pPr>
              <w:spacing w:line="240" w:lineRule="auto"/>
              <w:jc w:val="right"/>
              <w:rPr>
                <w:rFonts w:ascii="Arial" w:eastAsia="Arial Unicode MS" w:hAnsi="Arial" w:cs="Arial"/>
                <w:sz w:val="18"/>
                <w:szCs w:val="18"/>
                <w:lang w:val="en-GB"/>
              </w:rPr>
            </w:pPr>
          </w:p>
        </w:tc>
        <w:tc>
          <w:tcPr>
            <w:tcW w:w="1134" w:type="dxa"/>
            <w:tcBorders>
              <w:top w:val="nil"/>
              <w:left w:val="nil"/>
              <w:bottom w:val="nil"/>
              <w:right w:val="nil"/>
            </w:tcBorders>
            <w:noWrap/>
            <w:vAlign w:val="center"/>
          </w:tcPr>
          <w:p w14:paraId="2E36DBA2" w14:textId="0662CF8B" w:rsidR="008F17B6" w:rsidRPr="00313E55" w:rsidRDefault="008F17B6" w:rsidP="008F17B6">
            <w:pPr>
              <w:spacing w:line="240" w:lineRule="auto"/>
              <w:ind w:right="122"/>
              <w:jc w:val="right"/>
              <w:rPr>
                <w:rFonts w:ascii="Arial" w:eastAsia="Arial Unicode MS" w:hAnsi="Arial" w:cs="Arial"/>
                <w:sz w:val="18"/>
                <w:szCs w:val="18"/>
                <w:lang w:val="en-GB"/>
              </w:rPr>
            </w:pPr>
            <w:r>
              <w:rPr>
                <w:rFonts w:ascii="Arial" w:eastAsia="Arial Unicode MS" w:hAnsi="Arial" w:cs="Arial"/>
                <w:sz w:val="18"/>
                <w:szCs w:val="18"/>
                <w:lang w:val="en-GB" w:eastAsia="bg-BG"/>
              </w:rPr>
              <w:t>-</w:t>
            </w:r>
          </w:p>
        </w:tc>
        <w:tc>
          <w:tcPr>
            <w:tcW w:w="142" w:type="dxa"/>
            <w:tcBorders>
              <w:top w:val="nil"/>
              <w:left w:val="nil"/>
              <w:bottom w:val="nil"/>
              <w:right w:val="nil"/>
            </w:tcBorders>
            <w:noWrap/>
            <w:vAlign w:val="center"/>
          </w:tcPr>
          <w:p w14:paraId="09949A31" w14:textId="77777777" w:rsidR="008F17B6" w:rsidRPr="00313E55" w:rsidRDefault="008F17B6" w:rsidP="008F17B6">
            <w:pPr>
              <w:spacing w:line="240" w:lineRule="auto"/>
              <w:ind w:right="122"/>
              <w:jc w:val="right"/>
              <w:rPr>
                <w:rFonts w:ascii="Arial" w:eastAsia="Arial Unicode MS" w:hAnsi="Arial" w:cs="Arial"/>
                <w:sz w:val="18"/>
                <w:szCs w:val="18"/>
                <w:lang w:val="en-GB"/>
              </w:rPr>
            </w:pPr>
          </w:p>
        </w:tc>
        <w:tc>
          <w:tcPr>
            <w:tcW w:w="1559" w:type="dxa"/>
            <w:tcBorders>
              <w:top w:val="nil"/>
              <w:left w:val="nil"/>
              <w:bottom w:val="nil"/>
              <w:right w:val="nil"/>
            </w:tcBorders>
            <w:noWrap/>
            <w:vAlign w:val="center"/>
          </w:tcPr>
          <w:p w14:paraId="24EBF017" w14:textId="5969E1C3" w:rsidR="008F17B6" w:rsidRPr="00313E55" w:rsidRDefault="008F17B6" w:rsidP="008F17B6">
            <w:pPr>
              <w:spacing w:line="240" w:lineRule="auto"/>
              <w:ind w:right="122"/>
              <w:jc w:val="right"/>
              <w:rPr>
                <w:rFonts w:ascii="Arial" w:eastAsia="Arial Unicode MS" w:hAnsi="Arial" w:cs="Arial"/>
                <w:sz w:val="18"/>
                <w:szCs w:val="18"/>
                <w:lang w:val="en-GB"/>
              </w:rPr>
            </w:pPr>
            <w:r>
              <w:rPr>
                <w:rFonts w:ascii="Arial" w:eastAsia="Arial Unicode MS" w:hAnsi="Arial" w:cs="Arial"/>
                <w:sz w:val="18"/>
                <w:szCs w:val="18"/>
                <w:lang w:val="en-GB" w:eastAsia="bg-BG"/>
              </w:rPr>
              <w:t>-</w:t>
            </w:r>
          </w:p>
        </w:tc>
        <w:tc>
          <w:tcPr>
            <w:tcW w:w="142" w:type="dxa"/>
            <w:tcBorders>
              <w:top w:val="nil"/>
              <w:left w:val="nil"/>
              <w:bottom w:val="nil"/>
              <w:right w:val="nil"/>
            </w:tcBorders>
            <w:vAlign w:val="center"/>
          </w:tcPr>
          <w:p w14:paraId="0A66753B" w14:textId="77777777" w:rsidR="008F17B6" w:rsidRPr="00313E55" w:rsidRDefault="008F17B6" w:rsidP="008F17B6">
            <w:pPr>
              <w:spacing w:line="240" w:lineRule="auto"/>
              <w:ind w:right="122"/>
              <w:jc w:val="right"/>
              <w:rPr>
                <w:rFonts w:ascii="Arial" w:eastAsia="Arial Unicode MS" w:hAnsi="Arial" w:cs="Arial"/>
                <w:sz w:val="18"/>
                <w:szCs w:val="18"/>
                <w:lang w:val="en-GB"/>
              </w:rPr>
            </w:pPr>
          </w:p>
        </w:tc>
        <w:tc>
          <w:tcPr>
            <w:tcW w:w="1134" w:type="dxa"/>
            <w:tcBorders>
              <w:top w:val="nil"/>
              <w:left w:val="nil"/>
              <w:bottom w:val="nil"/>
              <w:right w:val="nil"/>
            </w:tcBorders>
            <w:tcMar>
              <w:top w:w="0" w:type="dxa"/>
              <w:left w:w="15" w:type="dxa"/>
              <w:bottom w:w="0" w:type="dxa"/>
              <w:right w:w="15" w:type="dxa"/>
            </w:tcMar>
            <w:vAlign w:val="center"/>
          </w:tcPr>
          <w:p w14:paraId="17AC07DE" w14:textId="7A92E741" w:rsidR="008F17B6" w:rsidRPr="00313E55" w:rsidRDefault="008F17B6" w:rsidP="008F17B6">
            <w:pPr>
              <w:spacing w:line="240" w:lineRule="auto"/>
              <w:ind w:right="122"/>
              <w:jc w:val="right"/>
              <w:rPr>
                <w:rFonts w:ascii="Arial" w:eastAsia="Arial Unicode MS" w:hAnsi="Arial" w:cs="Arial"/>
                <w:sz w:val="18"/>
                <w:szCs w:val="18"/>
                <w:lang w:val="en-GB"/>
              </w:rPr>
            </w:pPr>
            <w:r>
              <w:rPr>
                <w:rFonts w:ascii="Arial" w:eastAsia="Arial Unicode MS" w:hAnsi="Arial" w:cs="Arial"/>
                <w:sz w:val="18"/>
                <w:szCs w:val="18"/>
                <w:lang w:val="en-GB" w:eastAsia="bg-BG"/>
              </w:rPr>
              <w:t>78</w:t>
            </w:r>
          </w:p>
        </w:tc>
      </w:tr>
      <w:tr w:rsidR="008F17B6" w:rsidRPr="00721663" w14:paraId="76C19FE4" w14:textId="77777777" w:rsidTr="00551604">
        <w:trPr>
          <w:trHeight w:hRule="exact" w:val="329"/>
        </w:trPr>
        <w:tc>
          <w:tcPr>
            <w:tcW w:w="2410" w:type="dxa"/>
            <w:tcBorders>
              <w:top w:val="nil"/>
              <w:left w:val="nil"/>
              <w:bottom w:val="nil"/>
              <w:right w:val="nil"/>
            </w:tcBorders>
            <w:noWrap/>
            <w:tcMar>
              <w:top w:w="0" w:type="dxa"/>
              <w:left w:w="15" w:type="dxa"/>
              <w:bottom w:w="0" w:type="dxa"/>
              <w:right w:w="15" w:type="dxa"/>
            </w:tcMar>
            <w:vAlign w:val="center"/>
          </w:tcPr>
          <w:p w14:paraId="1DB195B9" w14:textId="77777777" w:rsidR="008F17B6" w:rsidRPr="00721663" w:rsidRDefault="008F17B6" w:rsidP="008F17B6">
            <w:pPr>
              <w:spacing w:line="240" w:lineRule="auto"/>
              <w:jc w:val="left"/>
              <w:rPr>
                <w:rFonts w:ascii="Arial" w:eastAsia="Arial Unicode MS" w:hAnsi="Arial" w:cs="Arial"/>
                <w:b/>
                <w:bCs/>
                <w:sz w:val="18"/>
                <w:szCs w:val="18"/>
                <w:lang w:val="bg-BG"/>
              </w:rPr>
            </w:pPr>
          </w:p>
        </w:tc>
        <w:tc>
          <w:tcPr>
            <w:tcW w:w="142" w:type="dxa"/>
            <w:tcBorders>
              <w:top w:val="nil"/>
              <w:left w:val="nil"/>
              <w:bottom w:val="nil"/>
              <w:right w:val="nil"/>
            </w:tcBorders>
            <w:noWrap/>
            <w:tcMar>
              <w:top w:w="0" w:type="dxa"/>
              <w:left w:w="15" w:type="dxa"/>
              <w:bottom w:w="0" w:type="dxa"/>
              <w:right w:w="15" w:type="dxa"/>
            </w:tcMar>
            <w:vAlign w:val="bottom"/>
          </w:tcPr>
          <w:p w14:paraId="40C99434" w14:textId="77777777" w:rsidR="008F17B6" w:rsidRPr="00721663" w:rsidRDefault="008F17B6" w:rsidP="008F17B6">
            <w:pPr>
              <w:spacing w:line="240" w:lineRule="auto"/>
              <w:rPr>
                <w:rFonts w:ascii="Arial" w:eastAsia="Arial Unicode MS" w:hAnsi="Arial" w:cs="Arial"/>
                <w:sz w:val="18"/>
                <w:szCs w:val="18"/>
                <w:lang w:val="bg-BG"/>
              </w:rPr>
            </w:pPr>
          </w:p>
        </w:tc>
        <w:tc>
          <w:tcPr>
            <w:tcW w:w="1276"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104758FF" w14:textId="5B0F0650" w:rsidR="008F17B6" w:rsidRPr="00FB2FEB" w:rsidRDefault="008F17B6" w:rsidP="008F17B6">
            <w:pPr>
              <w:spacing w:line="240" w:lineRule="auto"/>
              <w:ind w:right="127"/>
              <w:jc w:val="right"/>
              <w:rPr>
                <w:rFonts w:ascii="Arial" w:eastAsia="Arial Unicode MS" w:hAnsi="Arial" w:cs="Arial"/>
                <w:b/>
                <w:bCs/>
                <w:sz w:val="18"/>
                <w:szCs w:val="18"/>
                <w:highlight w:val="yellow"/>
                <w:lang w:val="en-GB"/>
              </w:rPr>
            </w:pPr>
            <w:r>
              <w:rPr>
                <w:rFonts w:ascii="Arial" w:eastAsia="Arial Unicode MS" w:hAnsi="Arial" w:cs="Arial"/>
                <w:b/>
                <w:bCs/>
                <w:sz w:val="18"/>
                <w:szCs w:val="18"/>
                <w:lang w:val="en-GB" w:eastAsia="bg-BG"/>
              </w:rPr>
              <w:t>5,030</w:t>
            </w:r>
          </w:p>
        </w:tc>
        <w:tc>
          <w:tcPr>
            <w:tcW w:w="141" w:type="dxa"/>
            <w:tcBorders>
              <w:top w:val="nil"/>
              <w:left w:val="nil"/>
              <w:bottom w:val="nil"/>
              <w:right w:val="nil"/>
            </w:tcBorders>
            <w:noWrap/>
            <w:tcMar>
              <w:top w:w="0" w:type="dxa"/>
              <w:left w:w="15" w:type="dxa"/>
              <w:bottom w:w="0" w:type="dxa"/>
              <w:right w:w="15" w:type="dxa"/>
            </w:tcMar>
            <w:vAlign w:val="center"/>
          </w:tcPr>
          <w:p w14:paraId="1C2DFAC4" w14:textId="77777777" w:rsidR="008F17B6" w:rsidRPr="00FB2FEB" w:rsidRDefault="008F17B6" w:rsidP="008F17B6">
            <w:pPr>
              <w:spacing w:line="240" w:lineRule="auto"/>
              <w:jc w:val="right"/>
              <w:rPr>
                <w:rFonts w:ascii="Arial" w:eastAsia="Arial Unicode MS" w:hAnsi="Arial" w:cs="Arial"/>
                <w:b/>
                <w:bCs/>
                <w:sz w:val="18"/>
                <w:szCs w:val="18"/>
                <w:highlight w:val="yellow"/>
                <w:lang w:val="en-GB"/>
              </w:rPr>
            </w:pPr>
          </w:p>
        </w:tc>
        <w:tc>
          <w:tcPr>
            <w:tcW w:w="1134"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2AF9F9A9" w14:textId="34ED8FAD" w:rsidR="008F17B6" w:rsidRPr="00313E55" w:rsidRDefault="008F17B6" w:rsidP="008F17B6">
            <w:pPr>
              <w:spacing w:line="240" w:lineRule="auto"/>
              <w:ind w:right="122"/>
              <w:jc w:val="right"/>
              <w:rPr>
                <w:rFonts w:ascii="Arial" w:eastAsia="Arial Unicode MS" w:hAnsi="Arial" w:cs="Arial"/>
                <w:b/>
                <w:sz w:val="18"/>
                <w:szCs w:val="18"/>
                <w:lang w:val="en-GB"/>
              </w:rPr>
            </w:pPr>
            <w:r>
              <w:rPr>
                <w:rFonts w:ascii="Arial" w:eastAsia="Arial Unicode MS" w:hAnsi="Arial" w:cs="Arial"/>
                <w:b/>
                <w:sz w:val="18"/>
                <w:szCs w:val="18"/>
                <w:lang w:val="en-GB" w:eastAsia="bg-BG"/>
              </w:rPr>
              <w:t>1,875</w:t>
            </w:r>
          </w:p>
        </w:tc>
        <w:tc>
          <w:tcPr>
            <w:tcW w:w="142" w:type="dxa"/>
            <w:tcBorders>
              <w:top w:val="nil"/>
              <w:left w:val="nil"/>
              <w:bottom w:val="nil"/>
              <w:right w:val="nil"/>
            </w:tcBorders>
            <w:noWrap/>
            <w:tcMar>
              <w:top w:w="0" w:type="dxa"/>
              <w:left w:w="15" w:type="dxa"/>
              <w:bottom w:w="0" w:type="dxa"/>
              <w:right w:w="15" w:type="dxa"/>
            </w:tcMar>
            <w:vAlign w:val="center"/>
          </w:tcPr>
          <w:p w14:paraId="52EB94AC" w14:textId="77777777" w:rsidR="008F17B6" w:rsidRPr="00313E55" w:rsidRDefault="008F17B6" w:rsidP="008F17B6">
            <w:pPr>
              <w:spacing w:line="240" w:lineRule="auto"/>
              <w:ind w:right="122"/>
              <w:jc w:val="right"/>
              <w:rPr>
                <w:rFonts w:ascii="Arial" w:eastAsia="Arial Unicode MS" w:hAnsi="Arial" w:cs="Arial"/>
                <w:b/>
                <w:sz w:val="18"/>
                <w:szCs w:val="18"/>
                <w:lang w:val="en-GB"/>
              </w:rPr>
            </w:pPr>
          </w:p>
        </w:tc>
        <w:tc>
          <w:tcPr>
            <w:tcW w:w="1559"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32B360E1" w14:textId="58890B56" w:rsidR="008F17B6" w:rsidRPr="00D93AE4" w:rsidRDefault="008F17B6" w:rsidP="008F17B6">
            <w:pPr>
              <w:spacing w:line="240" w:lineRule="auto"/>
              <w:ind w:right="122"/>
              <w:jc w:val="right"/>
              <w:rPr>
                <w:rFonts w:ascii="Arial" w:eastAsia="Arial Unicode MS" w:hAnsi="Arial" w:cs="Arial"/>
                <w:b/>
                <w:sz w:val="18"/>
                <w:szCs w:val="18"/>
                <w:lang w:val="bg-BG"/>
              </w:rPr>
            </w:pPr>
            <w:r>
              <w:rPr>
                <w:rFonts w:ascii="Arial" w:eastAsia="Arial Unicode MS" w:hAnsi="Arial" w:cs="Arial"/>
                <w:b/>
                <w:sz w:val="18"/>
                <w:szCs w:val="18"/>
                <w:lang w:val="bg-BG" w:eastAsia="bg-BG"/>
              </w:rPr>
              <w:t>16,173</w:t>
            </w:r>
          </w:p>
        </w:tc>
        <w:tc>
          <w:tcPr>
            <w:tcW w:w="142" w:type="dxa"/>
            <w:tcBorders>
              <w:left w:val="nil"/>
              <w:right w:val="nil"/>
            </w:tcBorders>
            <w:vAlign w:val="center"/>
          </w:tcPr>
          <w:p w14:paraId="26985BC6" w14:textId="77777777" w:rsidR="008F17B6" w:rsidRPr="00FB2FEB" w:rsidRDefault="008F17B6" w:rsidP="008F17B6">
            <w:pPr>
              <w:spacing w:line="240" w:lineRule="auto"/>
              <w:ind w:right="127"/>
              <w:jc w:val="right"/>
              <w:rPr>
                <w:rFonts w:ascii="Arial" w:eastAsia="Arial Unicode MS" w:hAnsi="Arial" w:cs="Arial"/>
                <w:b/>
                <w:bCs/>
                <w:sz w:val="18"/>
                <w:szCs w:val="18"/>
                <w:highlight w:val="yellow"/>
                <w:lang w:val="en-GB"/>
              </w:rPr>
            </w:pPr>
          </w:p>
        </w:tc>
        <w:tc>
          <w:tcPr>
            <w:tcW w:w="1134" w:type="dxa"/>
            <w:tcBorders>
              <w:top w:val="single" w:sz="4" w:space="0" w:color="auto"/>
              <w:left w:val="nil"/>
              <w:bottom w:val="double" w:sz="4" w:space="0" w:color="auto"/>
              <w:right w:val="nil"/>
            </w:tcBorders>
            <w:tcMar>
              <w:top w:w="15" w:type="dxa"/>
              <w:left w:w="15" w:type="dxa"/>
              <w:bottom w:w="0" w:type="dxa"/>
              <w:right w:w="15" w:type="dxa"/>
            </w:tcMar>
            <w:vAlign w:val="center"/>
          </w:tcPr>
          <w:p w14:paraId="3E059212" w14:textId="2E0A6274" w:rsidR="008F17B6" w:rsidRPr="00FB2FEB" w:rsidRDefault="008F17B6" w:rsidP="008F17B6">
            <w:pPr>
              <w:spacing w:line="240" w:lineRule="auto"/>
              <w:ind w:right="127"/>
              <w:jc w:val="right"/>
              <w:rPr>
                <w:rFonts w:ascii="Arial" w:eastAsia="Arial Unicode MS" w:hAnsi="Arial" w:cs="Arial"/>
                <w:b/>
                <w:bCs/>
                <w:sz w:val="18"/>
                <w:szCs w:val="18"/>
                <w:highlight w:val="yellow"/>
                <w:lang w:val="en-GB"/>
              </w:rPr>
            </w:pPr>
            <w:r>
              <w:rPr>
                <w:rFonts w:ascii="Arial" w:eastAsia="Arial Unicode MS" w:hAnsi="Arial" w:cs="Arial"/>
                <w:b/>
                <w:bCs/>
                <w:sz w:val="18"/>
                <w:szCs w:val="18"/>
                <w:lang w:val="en-GB" w:eastAsia="bg-BG"/>
              </w:rPr>
              <w:t>23,078</w:t>
            </w:r>
          </w:p>
        </w:tc>
      </w:tr>
    </w:tbl>
    <w:p w14:paraId="7D1FE87B" w14:textId="77777777" w:rsidR="00E07C4E" w:rsidRPr="00721663" w:rsidRDefault="00E07C4E" w:rsidP="00E07C4E">
      <w:pPr>
        <w:rPr>
          <w:lang w:val="bg-BG"/>
        </w:rPr>
      </w:pPr>
    </w:p>
    <w:p w14:paraId="06429D32" w14:textId="77777777" w:rsidR="00E07C4E" w:rsidRPr="00721663" w:rsidRDefault="00E07C4E" w:rsidP="00E07C4E">
      <w:pPr>
        <w:spacing w:after="120"/>
        <w:rPr>
          <w:rFonts w:ascii="Arial" w:hAnsi="Arial" w:cs="Arial"/>
          <w:b/>
          <w:lang w:val="bg-BG"/>
        </w:rPr>
      </w:pPr>
      <w:r w:rsidRPr="00721663">
        <w:rPr>
          <w:rFonts w:ascii="Arial" w:hAnsi="Arial" w:cs="Arial"/>
          <w:b/>
          <w:lang w:val="bg-BG"/>
        </w:rPr>
        <w:t xml:space="preserve">17. Цели и политики за управление на финансовия риск </w:t>
      </w:r>
      <w:r w:rsidRPr="00721663">
        <w:rPr>
          <w:rFonts w:ascii="Arial" w:hAnsi="Arial" w:cs="Arial"/>
          <w:b/>
          <w:i/>
          <w:lang w:val="bg-BG"/>
        </w:rPr>
        <w:t>(продължение)</w:t>
      </w:r>
    </w:p>
    <w:p w14:paraId="44953C83" w14:textId="77777777" w:rsidR="00E07C4E" w:rsidRPr="00144930" w:rsidRDefault="00E07C4E" w:rsidP="00144930">
      <w:pPr>
        <w:spacing w:after="120"/>
        <w:rPr>
          <w:rFonts w:ascii="Arial" w:hAnsi="Arial" w:cs="Arial"/>
          <w:b/>
          <w:sz w:val="18"/>
          <w:szCs w:val="18"/>
          <w:lang w:val="bg-BG"/>
        </w:rPr>
      </w:pPr>
      <w:r w:rsidRPr="00144930">
        <w:rPr>
          <w:rFonts w:ascii="Arial" w:hAnsi="Arial" w:cs="Arial"/>
          <w:b/>
          <w:sz w:val="18"/>
          <w:szCs w:val="18"/>
          <w:lang w:val="bg-BG"/>
        </w:rPr>
        <w:t>Ликвиден риск (продължение)</w:t>
      </w:r>
    </w:p>
    <w:tbl>
      <w:tblPr>
        <w:tblW w:w="8080" w:type="dxa"/>
        <w:tblLayout w:type="fixed"/>
        <w:tblCellMar>
          <w:left w:w="0" w:type="dxa"/>
          <w:right w:w="0" w:type="dxa"/>
        </w:tblCellMar>
        <w:tblLook w:val="0000" w:firstRow="0" w:lastRow="0" w:firstColumn="0" w:lastColumn="0" w:noHBand="0" w:noVBand="0"/>
      </w:tblPr>
      <w:tblGrid>
        <w:gridCol w:w="2410"/>
        <w:gridCol w:w="142"/>
        <w:gridCol w:w="1276"/>
        <w:gridCol w:w="141"/>
        <w:gridCol w:w="1134"/>
        <w:gridCol w:w="142"/>
        <w:gridCol w:w="1559"/>
        <w:gridCol w:w="142"/>
        <w:gridCol w:w="1134"/>
      </w:tblGrid>
      <w:tr w:rsidR="00E07C4E" w:rsidRPr="00721663" w14:paraId="05E5B542" w14:textId="77777777" w:rsidTr="00551604">
        <w:trPr>
          <w:trHeight w:val="340"/>
        </w:trPr>
        <w:tc>
          <w:tcPr>
            <w:tcW w:w="2410" w:type="dxa"/>
            <w:tcBorders>
              <w:top w:val="nil"/>
              <w:left w:val="nil"/>
              <w:bottom w:val="nil"/>
              <w:right w:val="nil"/>
            </w:tcBorders>
            <w:noWrap/>
            <w:vAlign w:val="bottom"/>
          </w:tcPr>
          <w:p w14:paraId="2C3F5405" w14:textId="4DA048D9" w:rsidR="00E07C4E" w:rsidRPr="00721663" w:rsidRDefault="00144930" w:rsidP="00551604">
            <w:pPr>
              <w:spacing w:line="240" w:lineRule="auto"/>
              <w:jc w:val="left"/>
              <w:rPr>
                <w:rFonts w:ascii="Arial" w:eastAsia="Arial Unicode MS" w:hAnsi="Arial" w:cs="Arial"/>
                <w:b/>
                <w:bCs/>
                <w:iCs/>
                <w:sz w:val="18"/>
                <w:szCs w:val="18"/>
                <w:lang w:val="bg-BG"/>
              </w:rPr>
            </w:pPr>
            <w:r>
              <w:rPr>
                <w:rFonts w:ascii="Arial" w:hAnsi="Arial" w:cs="Arial"/>
                <w:b/>
                <w:bCs/>
                <w:iCs/>
                <w:sz w:val="18"/>
                <w:szCs w:val="18"/>
                <w:lang w:val="bg-BG"/>
              </w:rPr>
              <w:t>31 декември 2016</w:t>
            </w:r>
            <w:r w:rsidR="00E07C4E" w:rsidRPr="00721663">
              <w:rPr>
                <w:rFonts w:ascii="Arial" w:hAnsi="Arial" w:cs="Arial"/>
                <w:b/>
                <w:bCs/>
                <w:iCs/>
                <w:sz w:val="18"/>
                <w:szCs w:val="18"/>
                <w:lang w:val="bg-BG"/>
              </w:rPr>
              <w:t xml:space="preserve"> г.</w:t>
            </w:r>
          </w:p>
        </w:tc>
        <w:tc>
          <w:tcPr>
            <w:tcW w:w="142" w:type="dxa"/>
            <w:tcBorders>
              <w:top w:val="nil"/>
              <w:left w:val="nil"/>
              <w:bottom w:val="nil"/>
              <w:right w:val="nil"/>
            </w:tcBorders>
            <w:vAlign w:val="bottom"/>
          </w:tcPr>
          <w:p w14:paraId="148702E9" w14:textId="77777777" w:rsidR="00E07C4E" w:rsidRPr="00721663" w:rsidRDefault="00E07C4E" w:rsidP="00551604">
            <w:pPr>
              <w:spacing w:line="240" w:lineRule="auto"/>
              <w:jc w:val="right"/>
              <w:rPr>
                <w:rFonts w:ascii="Arial" w:eastAsia="Arial Unicode MS" w:hAnsi="Arial" w:cs="Arial"/>
                <w:b/>
                <w:sz w:val="18"/>
                <w:szCs w:val="18"/>
                <w:lang w:val="bg-BG"/>
              </w:rPr>
            </w:pPr>
          </w:p>
        </w:tc>
        <w:tc>
          <w:tcPr>
            <w:tcW w:w="1276" w:type="dxa"/>
            <w:tcBorders>
              <w:left w:val="nil"/>
              <w:bottom w:val="single" w:sz="4" w:space="0" w:color="auto"/>
              <w:right w:val="nil"/>
            </w:tcBorders>
            <w:vAlign w:val="bottom"/>
          </w:tcPr>
          <w:p w14:paraId="1A8755E0" w14:textId="77777777" w:rsidR="00E07C4E" w:rsidRPr="00721663" w:rsidRDefault="00E07C4E" w:rsidP="00551604">
            <w:pPr>
              <w:jc w:val="right"/>
              <w:rPr>
                <w:rFonts w:ascii="Arial" w:eastAsia="Arial Unicode MS" w:hAnsi="Arial" w:cs="Arial"/>
                <w:b/>
                <w:bCs/>
                <w:iCs/>
                <w:sz w:val="18"/>
                <w:szCs w:val="18"/>
                <w:lang w:val="bg-BG"/>
              </w:rPr>
            </w:pPr>
            <w:r w:rsidRPr="00721663">
              <w:rPr>
                <w:rFonts w:ascii="Arial" w:hAnsi="Arial" w:cs="Arial"/>
                <w:b/>
                <w:bCs/>
                <w:iCs/>
                <w:sz w:val="18"/>
                <w:szCs w:val="18"/>
                <w:lang w:val="bg-BG"/>
              </w:rPr>
              <w:t>до 3 месеца</w:t>
            </w:r>
          </w:p>
        </w:tc>
        <w:tc>
          <w:tcPr>
            <w:tcW w:w="141" w:type="dxa"/>
            <w:tcBorders>
              <w:top w:val="nil"/>
              <w:left w:val="nil"/>
              <w:bottom w:val="nil"/>
              <w:right w:val="nil"/>
            </w:tcBorders>
            <w:vAlign w:val="bottom"/>
          </w:tcPr>
          <w:p w14:paraId="54F632D0" w14:textId="77777777" w:rsidR="00E07C4E" w:rsidRPr="00721663" w:rsidRDefault="00E07C4E" w:rsidP="00551604">
            <w:pPr>
              <w:jc w:val="right"/>
              <w:rPr>
                <w:rFonts w:ascii="Arial" w:eastAsia="Arial Unicode MS" w:hAnsi="Arial" w:cs="Arial"/>
                <w:b/>
                <w:sz w:val="18"/>
                <w:szCs w:val="18"/>
                <w:highlight w:val="yellow"/>
                <w:lang w:val="bg-BG"/>
              </w:rPr>
            </w:pPr>
          </w:p>
        </w:tc>
        <w:tc>
          <w:tcPr>
            <w:tcW w:w="1134" w:type="dxa"/>
            <w:tcBorders>
              <w:left w:val="nil"/>
              <w:bottom w:val="single" w:sz="4" w:space="0" w:color="auto"/>
              <w:right w:val="nil"/>
            </w:tcBorders>
            <w:vAlign w:val="bottom"/>
          </w:tcPr>
          <w:p w14:paraId="0408377F" w14:textId="77777777" w:rsidR="00E07C4E" w:rsidRPr="00721663" w:rsidRDefault="00E07C4E" w:rsidP="00551604">
            <w:pPr>
              <w:jc w:val="right"/>
              <w:rPr>
                <w:rFonts w:ascii="Arial" w:eastAsia="Arial Unicode MS" w:hAnsi="Arial" w:cs="Arial"/>
                <w:b/>
                <w:bCs/>
                <w:iCs/>
                <w:sz w:val="18"/>
                <w:szCs w:val="18"/>
                <w:lang w:val="bg-BG"/>
              </w:rPr>
            </w:pPr>
            <w:r w:rsidRPr="00721663">
              <w:rPr>
                <w:rFonts w:ascii="Arial" w:hAnsi="Arial" w:cs="Arial"/>
                <w:b/>
                <w:bCs/>
                <w:iCs/>
                <w:sz w:val="18"/>
                <w:szCs w:val="18"/>
                <w:lang w:val="bg-BG"/>
              </w:rPr>
              <w:t>3-12 месеца</w:t>
            </w:r>
          </w:p>
        </w:tc>
        <w:tc>
          <w:tcPr>
            <w:tcW w:w="142" w:type="dxa"/>
            <w:tcBorders>
              <w:top w:val="nil"/>
              <w:left w:val="nil"/>
              <w:bottom w:val="nil"/>
              <w:right w:val="nil"/>
            </w:tcBorders>
            <w:vAlign w:val="bottom"/>
          </w:tcPr>
          <w:p w14:paraId="4A45C61F" w14:textId="77777777" w:rsidR="00E07C4E" w:rsidRPr="00721663" w:rsidRDefault="00E07C4E" w:rsidP="00551604">
            <w:pPr>
              <w:jc w:val="right"/>
              <w:rPr>
                <w:rFonts w:ascii="Arial" w:eastAsia="Arial Unicode MS" w:hAnsi="Arial" w:cs="Arial"/>
                <w:b/>
                <w:sz w:val="18"/>
                <w:szCs w:val="18"/>
                <w:highlight w:val="yellow"/>
                <w:lang w:val="bg-BG"/>
              </w:rPr>
            </w:pPr>
          </w:p>
        </w:tc>
        <w:tc>
          <w:tcPr>
            <w:tcW w:w="1559" w:type="dxa"/>
            <w:tcBorders>
              <w:left w:val="nil"/>
              <w:bottom w:val="single" w:sz="4" w:space="0" w:color="auto"/>
              <w:right w:val="nil"/>
            </w:tcBorders>
            <w:vAlign w:val="bottom"/>
          </w:tcPr>
          <w:p w14:paraId="71CE7BEF" w14:textId="77777777" w:rsidR="00E07C4E" w:rsidRPr="00721663" w:rsidRDefault="00E07C4E" w:rsidP="00551604">
            <w:pPr>
              <w:ind w:right="145"/>
              <w:jc w:val="right"/>
              <w:rPr>
                <w:rFonts w:ascii="Arial" w:eastAsia="Arial Unicode MS" w:hAnsi="Arial" w:cs="Arial"/>
                <w:b/>
                <w:bCs/>
                <w:iCs/>
                <w:color w:val="000000"/>
                <w:sz w:val="18"/>
                <w:szCs w:val="18"/>
                <w:lang w:val="bg-BG"/>
              </w:rPr>
            </w:pPr>
            <w:r w:rsidRPr="00721663">
              <w:rPr>
                <w:rFonts w:ascii="Arial" w:hAnsi="Arial" w:cs="Arial"/>
                <w:b/>
                <w:bCs/>
                <w:iCs/>
                <w:color w:val="000000"/>
                <w:sz w:val="18"/>
                <w:szCs w:val="18"/>
                <w:lang w:val="bg-BG"/>
              </w:rPr>
              <w:t>над 1 година</w:t>
            </w:r>
          </w:p>
        </w:tc>
        <w:tc>
          <w:tcPr>
            <w:tcW w:w="142" w:type="dxa"/>
            <w:tcBorders>
              <w:left w:val="nil"/>
              <w:right w:val="nil"/>
            </w:tcBorders>
            <w:vAlign w:val="bottom"/>
          </w:tcPr>
          <w:p w14:paraId="19757683" w14:textId="77777777" w:rsidR="00E07C4E" w:rsidRPr="00721663" w:rsidRDefault="00E07C4E" w:rsidP="00551604">
            <w:pPr>
              <w:ind w:right="142"/>
              <w:jc w:val="right"/>
              <w:rPr>
                <w:rFonts w:ascii="Arial" w:hAnsi="Arial" w:cs="Arial"/>
                <w:b/>
                <w:bCs/>
                <w:iCs/>
                <w:color w:val="000000"/>
                <w:sz w:val="18"/>
                <w:szCs w:val="18"/>
                <w:lang w:val="bg-BG"/>
              </w:rPr>
            </w:pPr>
          </w:p>
        </w:tc>
        <w:tc>
          <w:tcPr>
            <w:tcW w:w="1134" w:type="dxa"/>
            <w:tcBorders>
              <w:left w:val="nil"/>
              <w:bottom w:val="single" w:sz="4" w:space="0" w:color="auto"/>
              <w:right w:val="nil"/>
            </w:tcBorders>
            <w:tcMar>
              <w:top w:w="0" w:type="dxa"/>
              <w:left w:w="15" w:type="dxa"/>
              <w:bottom w:w="0" w:type="dxa"/>
              <w:right w:w="15" w:type="dxa"/>
            </w:tcMar>
            <w:vAlign w:val="bottom"/>
          </w:tcPr>
          <w:p w14:paraId="4A504EA4" w14:textId="77777777" w:rsidR="00E07C4E" w:rsidRPr="00721663" w:rsidRDefault="00E07C4E" w:rsidP="00551604">
            <w:pPr>
              <w:ind w:right="142"/>
              <w:jc w:val="right"/>
              <w:rPr>
                <w:rFonts w:ascii="Arial" w:eastAsia="Arial Unicode MS" w:hAnsi="Arial" w:cs="Arial"/>
                <w:b/>
                <w:bCs/>
                <w:iCs/>
                <w:color w:val="000000"/>
                <w:sz w:val="18"/>
                <w:szCs w:val="18"/>
                <w:lang w:val="bg-BG"/>
              </w:rPr>
            </w:pPr>
            <w:r w:rsidRPr="00721663">
              <w:rPr>
                <w:rFonts w:ascii="Arial" w:hAnsi="Arial" w:cs="Arial"/>
                <w:b/>
                <w:bCs/>
                <w:iCs/>
                <w:color w:val="000000"/>
                <w:sz w:val="18"/>
                <w:szCs w:val="18"/>
                <w:lang w:val="bg-BG"/>
              </w:rPr>
              <w:t>Общо</w:t>
            </w:r>
          </w:p>
        </w:tc>
      </w:tr>
      <w:tr w:rsidR="00E07C4E" w:rsidRPr="00721663" w14:paraId="73FE4C8F" w14:textId="77777777" w:rsidTr="00551604">
        <w:trPr>
          <w:trHeight w:hRule="exact" w:val="284"/>
        </w:trPr>
        <w:tc>
          <w:tcPr>
            <w:tcW w:w="2410" w:type="dxa"/>
            <w:tcBorders>
              <w:top w:val="nil"/>
              <w:left w:val="nil"/>
              <w:bottom w:val="nil"/>
              <w:right w:val="nil"/>
            </w:tcBorders>
            <w:noWrap/>
            <w:vAlign w:val="bottom"/>
          </w:tcPr>
          <w:p w14:paraId="586769FC" w14:textId="77777777" w:rsidR="00E07C4E" w:rsidRPr="00721663" w:rsidRDefault="00E07C4E" w:rsidP="00551604">
            <w:pPr>
              <w:spacing w:line="240" w:lineRule="auto"/>
              <w:jc w:val="center"/>
              <w:rPr>
                <w:rFonts w:ascii="Arial" w:eastAsia="Arial Unicode MS" w:hAnsi="Arial" w:cs="Arial"/>
                <w:sz w:val="18"/>
                <w:szCs w:val="18"/>
                <w:lang w:val="bg-BG"/>
              </w:rPr>
            </w:pPr>
          </w:p>
        </w:tc>
        <w:tc>
          <w:tcPr>
            <w:tcW w:w="142" w:type="dxa"/>
            <w:tcBorders>
              <w:top w:val="nil"/>
              <w:left w:val="nil"/>
              <w:bottom w:val="nil"/>
              <w:right w:val="nil"/>
            </w:tcBorders>
            <w:noWrap/>
            <w:vAlign w:val="bottom"/>
          </w:tcPr>
          <w:p w14:paraId="1259CD8E"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276" w:type="dxa"/>
            <w:tcBorders>
              <w:top w:val="single" w:sz="4" w:space="0" w:color="auto"/>
              <w:left w:val="nil"/>
              <w:right w:val="nil"/>
            </w:tcBorders>
            <w:noWrap/>
            <w:vAlign w:val="bottom"/>
          </w:tcPr>
          <w:p w14:paraId="1A2F6E5F"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141" w:type="dxa"/>
            <w:tcBorders>
              <w:top w:val="nil"/>
              <w:left w:val="nil"/>
              <w:right w:val="nil"/>
            </w:tcBorders>
            <w:noWrap/>
            <w:vAlign w:val="bottom"/>
          </w:tcPr>
          <w:p w14:paraId="28A9E551"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134" w:type="dxa"/>
            <w:tcBorders>
              <w:top w:val="single" w:sz="4" w:space="0" w:color="auto"/>
              <w:left w:val="nil"/>
              <w:right w:val="nil"/>
            </w:tcBorders>
            <w:noWrap/>
            <w:vAlign w:val="bottom"/>
          </w:tcPr>
          <w:p w14:paraId="18CF0DC0"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142" w:type="dxa"/>
            <w:tcBorders>
              <w:top w:val="nil"/>
              <w:left w:val="nil"/>
              <w:right w:val="nil"/>
            </w:tcBorders>
            <w:noWrap/>
            <w:vAlign w:val="bottom"/>
          </w:tcPr>
          <w:p w14:paraId="5A4F3080"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559" w:type="dxa"/>
            <w:tcBorders>
              <w:top w:val="single" w:sz="4" w:space="0" w:color="auto"/>
              <w:left w:val="nil"/>
              <w:right w:val="nil"/>
            </w:tcBorders>
            <w:noWrap/>
            <w:vAlign w:val="bottom"/>
          </w:tcPr>
          <w:p w14:paraId="2B048FB8"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142" w:type="dxa"/>
            <w:tcBorders>
              <w:left w:val="nil"/>
              <w:right w:val="nil"/>
            </w:tcBorders>
            <w:vAlign w:val="bottom"/>
          </w:tcPr>
          <w:p w14:paraId="690A4AED"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134" w:type="dxa"/>
            <w:tcBorders>
              <w:top w:val="single" w:sz="4" w:space="0" w:color="auto"/>
              <w:left w:val="nil"/>
              <w:right w:val="nil"/>
            </w:tcBorders>
            <w:tcMar>
              <w:top w:w="0" w:type="dxa"/>
              <w:left w:w="15" w:type="dxa"/>
              <w:bottom w:w="0" w:type="dxa"/>
              <w:right w:w="15" w:type="dxa"/>
            </w:tcMar>
            <w:vAlign w:val="bottom"/>
          </w:tcPr>
          <w:p w14:paraId="4AE95212"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r>
      <w:tr w:rsidR="00E07C4E" w:rsidRPr="00721663" w14:paraId="50B69247" w14:textId="77777777" w:rsidTr="00551604">
        <w:trPr>
          <w:trHeight w:hRule="exact" w:val="170"/>
        </w:trPr>
        <w:tc>
          <w:tcPr>
            <w:tcW w:w="2410" w:type="dxa"/>
            <w:tcBorders>
              <w:top w:val="nil"/>
              <w:left w:val="nil"/>
              <w:bottom w:val="nil"/>
              <w:right w:val="nil"/>
            </w:tcBorders>
            <w:noWrap/>
            <w:vAlign w:val="bottom"/>
          </w:tcPr>
          <w:p w14:paraId="7DCC09D9" w14:textId="77777777" w:rsidR="00E07C4E" w:rsidRPr="00721663" w:rsidRDefault="00E07C4E" w:rsidP="00551604">
            <w:pPr>
              <w:spacing w:line="240" w:lineRule="auto"/>
              <w:jc w:val="center"/>
              <w:rPr>
                <w:rFonts w:ascii="Arial" w:eastAsia="Arial Unicode MS" w:hAnsi="Arial" w:cs="Arial"/>
                <w:sz w:val="18"/>
                <w:szCs w:val="18"/>
                <w:lang w:val="bg-BG"/>
              </w:rPr>
            </w:pPr>
          </w:p>
        </w:tc>
        <w:tc>
          <w:tcPr>
            <w:tcW w:w="142" w:type="dxa"/>
            <w:tcBorders>
              <w:top w:val="nil"/>
              <w:left w:val="nil"/>
              <w:bottom w:val="nil"/>
              <w:right w:val="nil"/>
            </w:tcBorders>
            <w:noWrap/>
            <w:vAlign w:val="bottom"/>
          </w:tcPr>
          <w:p w14:paraId="17A2CC6F"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276" w:type="dxa"/>
            <w:tcBorders>
              <w:left w:val="nil"/>
              <w:bottom w:val="nil"/>
              <w:right w:val="nil"/>
            </w:tcBorders>
            <w:noWrap/>
            <w:vAlign w:val="bottom"/>
          </w:tcPr>
          <w:p w14:paraId="5B8988E0" w14:textId="77777777" w:rsidR="00E07C4E" w:rsidRPr="00721663" w:rsidRDefault="00E07C4E" w:rsidP="00551604">
            <w:pPr>
              <w:spacing w:line="240" w:lineRule="auto"/>
              <w:jc w:val="center"/>
              <w:rPr>
                <w:rFonts w:ascii="Arial" w:eastAsia="Arial Unicode MS" w:hAnsi="Arial" w:cs="Arial"/>
                <w:sz w:val="18"/>
                <w:szCs w:val="18"/>
                <w:lang w:val="bg-BG"/>
              </w:rPr>
            </w:pPr>
          </w:p>
        </w:tc>
        <w:tc>
          <w:tcPr>
            <w:tcW w:w="141" w:type="dxa"/>
            <w:tcBorders>
              <w:left w:val="nil"/>
              <w:bottom w:val="nil"/>
              <w:right w:val="nil"/>
            </w:tcBorders>
            <w:noWrap/>
            <w:vAlign w:val="bottom"/>
          </w:tcPr>
          <w:p w14:paraId="4654EF50"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134" w:type="dxa"/>
            <w:tcBorders>
              <w:left w:val="nil"/>
              <w:bottom w:val="nil"/>
              <w:right w:val="nil"/>
            </w:tcBorders>
            <w:noWrap/>
          </w:tcPr>
          <w:p w14:paraId="436DA628" w14:textId="77777777" w:rsidR="00E07C4E" w:rsidRPr="00721663" w:rsidRDefault="00E07C4E" w:rsidP="00551604">
            <w:pPr>
              <w:spacing w:line="240" w:lineRule="auto"/>
              <w:jc w:val="right"/>
              <w:rPr>
                <w:rFonts w:ascii="Arial" w:hAnsi="Arial" w:cs="Arial"/>
                <w:b/>
                <w:bCs/>
                <w:i/>
                <w:iCs/>
                <w:sz w:val="18"/>
                <w:szCs w:val="18"/>
                <w:lang w:val="bg-BG"/>
              </w:rPr>
            </w:pPr>
          </w:p>
        </w:tc>
        <w:tc>
          <w:tcPr>
            <w:tcW w:w="142" w:type="dxa"/>
            <w:tcBorders>
              <w:left w:val="nil"/>
              <w:bottom w:val="nil"/>
              <w:right w:val="nil"/>
            </w:tcBorders>
            <w:noWrap/>
            <w:vAlign w:val="bottom"/>
          </w:tcPr>
          <w:p w14:paraId="608C1B0E" w14:textId="77777777" w:rsidR="00E07C4E" w:rsidRPr="00721663" w:rsidRDefault="00E07C4E" w:rsidP="00551604">
            <w:pPr>
              <w:spacing w:line="240" w:lineRule="auto"/>
              <w:jc w:val="right"/>
              <w:rPr>
                <w:rFonts w:ascii="Arial" w:eastAsia="Arial Unicode MS" w:hAnsi="Arial" w:cs="Arial"/>
                <w:b/>
                <w:bCs/>
                <w:i/>
                <w:iCs/>
                <w:sz w:val="18"/>
                <w:szCs w:val="18"/>
                <w:lang w:val="bg-BG"/>
              </w:rPr>
            </w:pPr>
          </w:p>
        </w:tc>
        <w:tc>
          <w:tcPr>
            <w:tcW w:w="1559" w:type="dxa"/>
            <w:tcBorders>
              <w:left w:val="nil"/>
              <w:bottom w:val="nil"/>
              <w:right w:val="nil"/>
            </w:tcBorders>
            <w:noWrap/>
            <w:vAlign w:val="bottom"/>
          </w:tcPr>
          <w:p w14:paraId="79F6CFB5"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42" w:type="dxa"/>
            <w:tcBorders>
              <w:left w:val="nil"/>
              <w:bottom w:val="nil"/>
              <w:right w:val="nil"/>
            </w:tcBorders>
            <w:vAlign w:val="bottom"/>
          </w:tcPr>
          <w:p w14:paraId="0C8B5AFA" w14:textId="77777777" w:rsidR="00E07C4E" w:rsidRPr="00721663" w:rsidRDefault="00E07C4E" w:rsidP="00551604">
            <w:pPr>
              <w:spacing w:line="240" w:lineRule="auto"/>
              <w:jc w:val="right"/>
              <w:rPr>
                <w:rFonts w:ascii="Arial" w:eastAsia="Arial Unicode MS" w:hAnsi="Arial" w:cs="Arial"/>
                <w:b/>
                <w:bCs/>
                <w:i/>
                <w:iCs/>
                <w:sz w:val="18"/>
                <w:szCs w:val="18"/>
                <w:lang w:val="bg-BG"/>
              </w:rPr>
            </w:pPr>
          </w:p>
        </w:tc>
        <w:tc>
          <w:tcPr>
            <w:tcW w:w="1134" w:type="dxa"/>
            <w:tcBorders>
              <w:left w:val="nil"/>
              <w:bottom w:val="nil"/>
              <w:right w:val="nil"/>
            </w:tcBorders>
            <w:tcMar>
              <w:top w:w="0" w:type="dxa"/>
              <w:left w:w="15" w:type="dxa"/>
              <w:bottom w:w="0" w:type="dxa"/>
              <w:right w:w="15" w:type="dxa"/>
            </w:tcMar>
          </w:tcPr>
          <w:p w14:paraId="592DE4FD" w14:textId="77777777" w:rsidR="00E07C4E" w:rsidRPr="00721663" w:rsidRDefault="00E07C4E" w:rsidP="00551604">
            <w:pPr>
              <w:spacing w:line="240" w:lineRule="auto"/>
              <w:jc w:val="right"/>
              <w:rPr>
                <w:rFonts w:ascii="Arial" w:hAnsi="Arial" w:cs="Arial"/>
                <w:b/>
                <w:bCs/>
                <w:i/>
                <w:iCs/>
                <w:sz w:val="18"/>
                <w:szCs w:val="18"/>
                <w:lang w:val="bg-BG"/>
              </w:rPr>
            </w:pPr>
          </w:p>
        </w:tc>
      </w:tr>
      <w:tr w:rsidR="00E07C4E" w:rsidRPr="00721663" w14:paraId="7FDB8EB5" w14:textId="77777777" w:rsidTr="00551604">
        <w:trPr>
          <w:trHeight w:hRule="exact" w:val="329"/>
        </w:trPr>
        <w:tc>
          <w:tcPr>
            <w:tcW w:w="2410" w:type="dxa"/>
            <w:tcBorders>
              <w:top w:val="nil"/>
              <w:left w:val="nil"/>
              <w:bottom w:val="nil"/>
              <w:right w:val="nil"/>
            </w:tcBorders>
            <w:noWrap/>
            <w:vAlign w:val="center"/>
          </w:tcPr>
          <w:p w14:paraId="07169BDE" w14:textId="77777777" w:rsidR="00E07C4E" w:rsidRPr="00721663" w:rsidRDefault="00E07C4E" w:rsidP="00551604">
            <w:pPr>
              <w:spacing w:line="240" w:lineRule="auto"/>
              <w:jc w:val="left"/>
              <w:rPr>
                <w:rFonts w:ascii="Arial" w:eastAsia="Arial Unicode MS" w:hAnsi="Arial" w:cs="Arial"/>
                <w:bCs/>
                <w:i/>
                <w:iCs/>
                <w:sz w:val="18"/>
                <w:szCs w:val="18"/>
                <w:lang w:val="bg-BG"/>
              </w:rPr>
            </w:pPr>
            <w:r w:rsidRPr="00721663">
              <w:rPr>
                <w:rFonts w:ascii="Arial" w:hAnsi="Arial" w:cs="Arial"/>
                <w:bCs/>
                <w:i/>
                <w:iCs/>
                <w:sz w:val="18"/>
                <w:szCs w:val="18"/>
                <w:lang w:val="bg-BG"/>
              </w:rPr>
              <w:t>Финансови активи</w:t>
            </w:r>
          </w:p>
        </w:tc>
        <w:tc>
          <w:tcPr>
            <w:tcW w:w="142" w:type="dxa"/>
            <w:tcBorders>
              <w:top w:val="nil"/>
              <w:left w:val="nil"/>
              <w:bottom w:val="nil"/>
              <w:right w:val="nil"/>
            </w:tcBorders>
            <w:noWrap/>
            <w:vAlign w:val="bottom"/>
          </w:tcPr>
          <w:p w14:paraId="0966409C" w14:textId="77777777" w:rsidR="00E07C4E" w:rsidRPr="00721663" w:rsidRDefault="00E07C4E" w:rsidP="00551604">
            <w:pPr>
              <w:spacing w:line="240" w:lineRule="auto"/>
              <w:rPr>
                <w:rFonts w:ascii="Arial" w:eastAsia="Arial Unicode MS" w:hAnsi="Arial" w:cs="Arial"/>
                <w:sz w:val="18"/>
                <w:szCs w:val="18"/>
                <w:lang w:val="bg-BG"/>
              </w:rPr>
            </w:pPr>
          </w:p>
        </w:tc>
        <w:tc>
          <w:tcPr>
            <w:tcW w:w="1276" w:type="dxa"/>
            <w:tcBorders>
              <w:top w:val="nil"/>
              <w:left w:val="nil"/>
              <w:bottom w:val="nil"/>
              <w:right w:val="nil"/>
            </w:tcBorders>
            <w:noWrap/>
            <w:vAlign w:val="center"/>
          </w:tcPr>
          <w:p w14:paraId="32C9538D" w14:textId="77777777" w:rsidR="00E07C4E" w:rsidRPr="00721663" w:rsidRDefault="00E07C4E" w:rsidP="00551604">
            <w:pPr>
              <w:spacing w:line="240" w:lineRule="auto"/>
              <w:jc w:val="right"/>
              <w:rPr>
                <w:rFonts w:ascii="Arial" w:eastAsia="Arial Unicode MS" w:hAnsi="Arial" w:cs="Arial"/>
                <w:b/>
                <w:bCs/>
                <w:color w:val="000000"/>
                <w:sz w:val="18"/>
                <w:szCs w:val="18"/>
                <w:lang w:val="bg-BG"/>
              </w:rPr>
            </w:pPr>
          </w:p>
        </w:tc>
        <w:tc>
          <w:tcPr>
            <w:tcW w:w="141" w:type="dxa"/>
            <w:tcBorders>
              <w:top w:val="nil"/>
              <w:left w:val="nil"/>
              <w:bottom w:val="nil"/>
              <w:right w:val="nil"/>
            </w:tcBorders>
            <w:noWrap/>
            <w:vAlign w:val="center"/>
          </w:tcPr>
          <w:p w14:paraId="70970882"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134" w:type="dxa"/>
            <w:tcBorders>
              <w:top w:val="nil"/>
              <w:left w:val="nil"/>
              <w:bottom w:val="nil"/>
              <w:right w:val="nil"/>
            </w:tcBorders>
            <w:noWrap/>
            <w:vAlign w:val="center"/>
          </w:tcPr>
          <w:p w14:paraId="6D2E5D95" w14:textId="77777777" w:rsidR="00E07C4E" w:rsidRPr="00721663" w:rsidRDefault="00E07C4E" w:rsidP="00551604">
            <w:pPr>
              <w:spacing w:line="240" w:lineRule="auto"/>
              <w:ind w:right="122"/>
              <w:jc w:val="right"/>
              <w:rPr>
                <w:rFonts w:ascii="Arial" w:eastAsia="Arial Unicode MS" w:hAnsi="Arial" w:cs="Arial"/>
                <w:sz w:val="18"/>
                <w:szCs w:val="18"/>
                <w:lang w:val="bg-BG"/>
              </w:rPr>
            </w:pPr>
          </w:p>
        </w:tc>
        <w:tc>
          <w:tcPr>
            <w:tcW w:w="142" w:type="dxa"/>
            <w:tcBorders>
              <w:top w:val="nil"/>
              <w:left w:val="nil"/>
              <w:bottom w:val="nil"/>
              <w:right w:val="nil"/>
            </w:tcBorders>
            <w:noWrap/>
            <w:vAlign w:val="center"/>
          </w:tcPr>
          <w:p w14:paraId="26C90ECC" w14:textId="77777777" w:rsidR="00E07C4E" w:rsidRPr="00721663" w:rsidRDefault="00E07C4E" w:rsidP="00551604">
            <w:pPr>
              <w:spacing w:line="240" w:lineRule="auto"/>
              <w:ind w:right="122"/>
              <w:jc w:val="right"/>
              <w:rPr>
                <w:rFonts w:ascii="Arial" w:eastAsia="Arial Unicode MS" w:hAnsi="Arial" w:cs="Arial"/>
                <w:sz w:val="18"/>
                <w:szCs w:val="18"/>
                <w:lang w:val="bg-BG"/>
              </w:rPr>
            </w:pPr>
          </w:p>
        </w:tc>
        <w:tc>
          <w:tcPr>
            <w:tcW w:w="1559" w:type="dxa"/>
            <w:tcBorders>
              <w:top w:val="nil"/>
              <w:left w:val="nil"/>
              <w:bottom w:val="nil"/>
              <w:right w:val="nil"/>
            </w:tcBorders>
            <w:noWrap/>
            <w:vAlign w:val="center"/>
          </w:tcPr>
          <w:p w14:paraId="0A4970B8" w14:textId="77777777" w:rsidR="00E07C4E" w:rsidRPr="00721663" w:rsidRDefault="00E07C4E" w:rsidP="00551604">
            <w:pPr>
              <w:pStyle w:val="xl40"/>
              <w:spacing w:before="0" w:beforeAutospacing="0" w:after="0" w:afterAutospacing="0" w:line="240" w:lineRule="auto"/>
              <w:ind w:right="122"/>
              <w:jc w:val="right"/>
              <w:textAlignment w:val="auto"/>
              <w:rPr>
                <w:rFonts w:ascii="Arial" w:hAnsi="Arial" w:cs="Arial"/>
                <w:sz w:val="18"/>
                <w:szCs w:val="18"/>
                <w:lang w:val="bg-BG"/>
              </w:rPr>
            </w:pPr>
          </w:p>
        </w:tc>
        <w:tc>
          <w:tcPr>
            <w:tcW w:w="142" w:type="dxa"/>
            <w:tcBorders>
              <w:top w:val="nil"/>
              <w:left w:val="nil"/>
              <w:bottom w:val="nil"/>
              <w:right w:val="nil"/>
            </w:tcBorders>
            <w:vAlign w:val="center"/>
          </w:tcPr>
          <w:p w14:paraId="3E75F6B2" w14:textId="77777777" w:rsidR="00E07C4E" w:rsidRPr="00721663" w:rsidRDefault="00E07C4E" w:rsidP="00551604">
            <w:pPr>
              <w:spacing w:line="240" w:lineRule="auto"/>
              <w:ind w:right="122"/>
              <w:jc w:val="right"/>
              <w:rPr>
                <w:rFonts w:ascii="Arial" w:eastAsia="Arial Unicode MS" w:hAnsi="Arial" w:cs="Arial"/>
                <w:sz w:val="18"/>
                <w:szCs w:val="18"/>
                <w:lang w:val="bg-BG"/>
              </w:rPr>
            </w:pPr>
          </w:p>
        </w:tc>
        <w:tc>
          <w:tcPr>
            <w:tcW w:w="1134" w:type="dxa"/>
            <w:tcBorders>
              <w:top w:val="nil"/>
              <w:left w:val="nil"/>
              <w:bottom w:val="nil"/>
              <w:right w:val="nil"/>
            </w:tcBorders>
            <w:tcMar>
              <w:top w:w="0" w:type="dxa"/>
              <w:left w:w="15" w:type="dxa"/>
              <w:bottom w:w="0" w:type="dxa"/>
              <w:right w:w="15" w:type="dxa"/>
            </w:tcMar>
            <w:vAlign w:val="center"/>
          </w:tcPr>
          <w:p w14:paraId="4E85D8D0" w14:textId="77777777" w:rsidR="00E07C4E" w:rsidRPr="00721663" w:rsidRDefault="00E07C4E" w:rsidP="00551604">
            <w:pPr>
              <w:spacing w:line="240" w:lineRule="auto"/>
              <w:ind w:right="122"/>
              <w:jc w:val="right"/>
              <w:rPr>
                <w:rFonts w:ascii="Arial" w:eastAsia="Arial Unicode MS" w:hAnsi="Arial" w:cs="Arial"/>
                <w:sz w:val="18"/>
                <w:szCs w:val="18"/>
                <w:lang w:val="bg-BG"/>
              </w:rPr>
            </w:pPr>
          </w:p>
        </w:tc>
      </w:tr>
      <w:tr w:rsidR="002C0132" w:rsidRPr="00721663" w14:paraId="7BF2F834" w14:textId="77777777" w:rsidTr="00551604">
        <w:trPr>
          <w:trHeight w:hRule="exact" w:val="329"/>
        </w:trPr>
        <w:tc>
          <w:tcPr>
            <w:tcW w:w="2410" w:type="dxa"/>
            <w:tcBorders>
              <w:top w:val="nil"/>
              <w:left w:val="nil"/>
              <w:bottom w:val="nil"/>
              <w:right w:val="nil"/>
            </w:tcBorders>
            <w:vAlign w:val="center"/>
          </w:tcPr>
          <w:p w14:paraId="24FEAC38" w14:textId="77777777" w:rsidR="002C0132" w:rsidRPr="00721663" w:rsidRDefault="002C0132" w:rsidP="002C0132">
            <w:pPr>
              <w:pStyle w:val="Header"/>
              <w:spacing w:line="240" w:lineRule="auto"/>
              <w:jc w:val="left"/>
              <w:rPr>
                <w:rFonts w:ascii="Arial" w:eastAsia="Arial Unicode MS" w:hAnsi="Arial" w:cs="Arial"/>
                <w:sz w:val="18"/>
                <w:szCs w:val="18"/>
                <w:lang w:val="bg-BG"/>
              </w:rPr>
            </w:pPr>
            <w:r w:rsidRPr="00721663">
              <w:rPr>
                <w:rFonts w:ascii="Arial" w:hAnsi="Arial" w:cs="Arial"/>
                <w:sz w:val="18"/>
                <w:szCs w:val="18"/>
                <w:lang w:val="bg-BG"/>
              </w:rPr>
              <w:t>Търговски вземания</w:t>
            </w:r>
          </w:p>
        </w:tc>
        <w:tc>
          <w:tcPr>
            <w:tcW w:w="142" w:type="dxa"/>
            <w:tcBorders>
              <w:top w:val="nil"/>
              <w:left w:val="nil"/>
              <w:bottom w:val="nil"/>
              <w:right w:val="nil"/>
            </w:tcBorders>
            <w:vAlign w:val="bottom"/>
          </w:tcPr>
          <w:p w14:paraId="59219A90" w14:textId="77777777" w:rsidR="002C0132" w:rsidRPr="00721663" w:rsidRDefault="002C0132" w:rsidP="002C0132">
            <w:pPr>
              <w:spacing w:line="240" w:lineRule="auto"/>
              <w:rPr>
                <w:rFonts w:ascii="Arial" w:eastAsia="Arial Unicode MS" w:hAnsi="Arial" w:cs="Arial"/>
                <w:sz w:val="18"/>
                <w:szCs w:val="18"/>
                <w:lang w:val="bg-BG"/>
              </w:rPr>
            </w:pPr>
          </w:p>
        </w:tc>
        <w:tc>
          <w:tcPr>
            <w:tcW w:w="1276" w:type="dxa"/>
            <w:tcBorders>
              <w:top w:val="nil"/>
              <w:left w:val="nil"/>
              <w:bottom w:val="nil"/>
              <w:right w:val="nil"/>
            </w:tcBorders>
            <w:vAlign w:val="center"/>
          </w:tcPr>
          <w:p w14:paraId="79336552" w14:textId="0A9C6991" w:rsidR="002C0132" w:rsidRPr="00BC2D1E" w:rsidRDefault="002C0132" w:rsidP="002C0132">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498</w:t>
            </w:r>
          </w:p>
        </w:tc>
        <w:tc>
          <w:tcPr>
            <w:tcW w:w="141" w:type="dxa"/>
            <w:tcBorders>
              <w:top w:val="nil"/>
              <w:left w:val="nil"/>
              <w:bottom w:val="nil"/>
              <w:right w:val="nil"/>
            </w:tcBorders>
            <w:vAlign w:val="center"/>
          </w:tcPr>
          <w:p w14:paraId="43C2E0EB" w14:textId="77777777" w:rsidR="002C0132" w:rsidRPr="00BC2D1E" w:rsidRDefault="002C0132" w:rsidP="002C0132">
            <w:pPr>
              <w:spacing w:line="240" w:lineRule="auto"/>
              <w:ind w:left="-142" w:firstLine="142"/>
              <w:jc w:val="right"/>
              <w:rPr>
                <w:rFonts w:ascii="Arial" w:eastAsia="Arial Unicode MS" w:hAnsi="Arial" w:cs="Arial"/>
                <w:sz w:val="18"/>
                <w:szCs w:val="18"/>
                <w:lang w:val="en-GB"/>
              </w:rPr>
            </w:pPr>
          </w:p>
        </w:tc>
        <w:tc>
          <w:tcPr>
            <w:tcW w:w="1134" w:type="dxa"/>
            <w:tcBorders>
              <w:top w:val="nil"/>
              <w:left w:val="nil"/>
              <w:bottom w:val="nil"/>
              <w:right w:val="nil"/>
            </w:tcBorders>
            <w:vAlign w:val="center"/>
          </w:tcPr>
          <w:p w14:paraId="263B6107" w14:textId="383930F8" w:rsidR="002C0132" w:rsidRPr="00BC2D1E" w:rsidRDefault="002C0132" w:rsidP="002C0132">
            <w:pPr>
              <w:spacing w:line="240" w:lineRule="auto"/>
              <w:ind w:right="122"/>
              <w:jc w:val="right"/>
              <w:rPr>
                <w:rFonts w:ascii="Arial" w:eastAsia="Arial Unicode MS" w:hAnsi="Arial" w:cs="Arial"/>
                <w:sz w:val="18"/>
                <w:szCs w:val="18"/>
                <w:lang w:val="en-GB"/>
              </w:rPr>
            </w:pPr>
            <w:r>
              <w:rPr>
                <w:rFonts w:ascii="Arial" w:eastAsia="Arial Unicode MS" w:hAnsi="Arial" w:cs="Arial"/>
                <w:sz w:val="18"/>
                <w:szCs w:val="18"/>
                <w:lang w:val="en-GB" w:eastAsia="bg-BG"/>
              </w:rPr>
              <w:t>-</w:t>
            </w:r>
          </w:p>
        </w:tc>
        <w:tc>
          <w:tcPr>
            <w:tcW w:w="142" w:type="dxa"/>
            <w:tcBorders>
              <w:top w:val="nil"/>
              <w:left w:val="nil"/>
              <w:bottom w:val="nil"/>
              <w:right w:val="nil"/>
            </w:tcBorders>
            <w:vAlign w:val="center"/>
          </w:tcPr>
          <w:p w14:paraId="4F061239" w14:textId="77777777" w:rsidR="002C0132" w:rsidRPr="00BC2D1E" w:rsidRDefault="002C0132" w:rsidP="002C0132">
            <w:pPr>
              <w:spacing w:line="240" w:lineRule="auto"/>
              <w:ind w:right="122"/>
              <w:jc w:val="right"/>
              <w:rPr>
                <w:rFonts w:ascii="Arial" w:eastAsia="Arial Unicode MS" w:hAnsi="Arial" w:cs="Arial"/>
                <w:sz w:val="18"/>
                <w:szCs w:val="18"/>
                <w:lang w:val="en-GB"/>
              </w:rPr>
            </w:pPr>
          </w:p>
        </w:tc>
        <w:tc>
          <w:tcPr>
            <w:tcW w:w="1559" w:type="dxa"/>
            <w:tcBorders>
              <w:top w:val="nil"/>
              <w:left w:val="nil"/>
              <w:bottom w:val="nil"/>
              <w:right w:val="nil"/>
            </w:tcBorders>
            <w:vAlign w:val="center"/>
          </w:tcPr>
          <w:p w14:paraId="36F5F5E4" w14:textId="16B14329" w:rsidR="002C0132" w:rsidRPr="00BC2D1E" w:rsidRDefault="002C0132" w:rsidP="002C0132">
            <w:pPr>
              <w:spacing w:line="240" w:lineRule="auto"/>
              <w:ind w:right="122"/>
              <w:jc w:val="right"/>
              <w:rPr>
                <w:rFonts w:ascii="Arial" w:eastAsia="Arial Unicode MS" w:hAnsi="Arial" w:cs="Arial"/>
                <w:sz w:val="18"/>
                <w:szCs w:val="18"/>
                <w:lang w:val="en-GB"/>
              </w:rPr>
            </w:pPr>
            <w:r>
              <w:rPr>
                <w:rFonts w:ascii="Arial" w:eastAsia="Arial Unicode MS" w:hAnsi="Arial" w:cs="Arial"/>
                <w:sz w:val="18"/>
                <w:szCs w:val="18"/>
                <w:lang w:val="en-GB" w:eastAsia="bg-BG"/>
              </w:rPr>
              <w:t>-</w:t>
            </w:r>
          </w:p>
        </w:tc>
        <w:tc>
          <w:tcPr>
            <w:tcW w:w="142" w:type="dxa"/>
            <w:tcBorders>
              <w:top w:val="nil"/>
              <w:left w:val="nil"/>
              <w:right w:val="nil"/>
            </w:tcBorders>
            <w:vAlign w:val="center"/>
          </w:tcPr>
          <w:p w14:paraId="14E6F5DC" w14:textId="77777777" w:rsidR="002C0132" w:rsidRPr="00BC2D1E" w:rsidRDefault="002C0132" w:rsidP="002C0132">
            <w:pPr>
              <w:spacing w:line="240" w:lineRule="auto"/>
              <w:ind w:right="142"/>
              <w:jc w:val="right"/>
              <w:rPr>
                <w:rFonts w:ascii="Arial" w:eastAsia="Arial Unicode MS" w:hAnsi="Arial" w:cs="Arial"/>
                <w:sz w:val="18"/>
                <w:szCs w:val="18"/>
                <w:lang w:val="en-GB"/>
              </w:rPr>
            </w:pPr>
          </w:p>
        </w:tc>
        <w:tc>
          <w:tcPr>
            <w:tcW w:w="1134" w:type="dxa"/>
            <w:tcBorders>
              <w:top w:val="nil"/>
              <w:left w:val="nil"/>
              <w:right w:val="nil"/>
            </w:tcBorders>
            <w:tcMar>
              <w:top w:w="0" w:type="dxa"/>
              <w:left w:w="15" w:type="dxa"/>
              <w:bottom w:w="0" w:type="dxa"/>
              <w:right w:w="15" w:type="dxa"/>
            </w:tcMar>
            <w:vAlign w:val="center"/>
          </w:tcPr>
          <w:p w14:paraId="7B72BE14" w14:textId="6DD29134" w:rsidR="002C0132" w:rsidRPr="00BC2D1E" w:rsidRDefault="002C0132" w:rsidP="002C0132">
            <w:pPr>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498</w:t>
            </w:r>
          </w:p>
        </w:tc>
      </w:tr>
      <w:tr w:rsidR="002C0132" w:rsidRPr="00721663" w14:paraId="2E5565B8" w14:textId="77777777" w:rsidTr="00551604">
        <w:trPr>
          <w:trHeight w:hRule="exact" w:val="368"/>
        </w:trPr>
        <w:tc>
          <w:tcPr>
            <w:tcW w:w="2410" w:type="dxa"/>
            <w:tcBorders>
              <w:top w:val="nil"/>
              <w:left w:val="nil"/>
              <w:bottom w:val="nil"/>
              <w:right w:val="nil"/>
            </w:tcBorders>
            <w:vAlign w:val="center"/>
          </w:tcPr>
          <w:p w14:paraId="3328D54F" w14:textId="77777777" w:rsidR="002C0132" w:rsidRPr="00721663" w:rsidRDefault="002C0132" w:rsidP="002C0132">
            <w:pPr>
              <w:pStyle w:val="Header"/>
              <w:spacing w:line="240" w:lineRule="auto"/>
              <w:jc w:val="left"/>
              <w:rPr>
                <w:rFonts w:ascii="Arial" w:hAnsi="Arial" w:cs="Arial"/>
                <w:sz w:val="18"/>
                <w:szCs w:val="18"/>
                <w:lang w:val="bg-BG"/>
              </w:rPr>
            </w:pPr>
            <w:r w:rsidRPr="00721663">
              <w:rPr>
                <w:rFonts w:ascii="Arial" w:hAnsi="Arial" w:cs="Arial"/>
                <w:sz w:val="18"/>
                <w:szCs w:val="18"/>
                <w:lang w:val="bg-BG"/>
              </w:rPr>
              <w:t>Парични средства по банкови сметки</w:t>
            </w:r>
          </w:p>
        </w:tc>
        <w:tc>
          <w:tcPr>
            <w:tcW w:w="142" w:type="dxa"/>
            <w:tcBorders>
              <w:top w:val="nil"/>
              <w:left w:val="nil"/>
              <w:bottom w:val="nil"/>
              <w:right w:val="nil"/>
            </w:tcBorders>
            <w:noWrap/>
            <w:vAlign w:val="bottom"/>
          </w:tcPr>
          <w:p w14:paraId="408BF943" w14:textId="77777777" w:rsidR="002C0132" w:rsidRPr="00721663" w:rsidRDefault="002C0132" w:rsidP="002C0132">
            <w:pPr>
              <w:spacing w:line="240" w:lineRule="auto"/>
              <w:rPr>
                <w:rFonts w:ascii="Arial" w:eastAsia="Arial Unicode MS" w:hAnsi="Arial" w:cs="Arial"/>
                <w:sz w:val="18"/>
                <w:szCs w:val="18"/>
                <w:lang w:val="bg-BG"/>
              </w:rPr>
            </w:pPr>
          </w:p>
        </w:tc>
        <w:tc>
          <w:tcPr>
            <w:tcW w:w="1276" w:type="dxa"/>
            <w:tcBorders>
              <w:top w:val="nil"/>
              <w:left w:val="nil"/>
              <w:bottom w:val="nil"/>
              <w:right w:val="nil"/>
            </w:tcBorders>
            <w:noWrap/>
            <w:vAlign w:val="center"/>
          </w:tcPr>
          <w:p w14:paraId="54E656B5" w14:textId="61279BAE" w:rsidR="002C0132" w:rsidRPr="00BC2D1E" w:rsidRDefault="002C0132" w:rsidP="002C0132">
            <w:pPr>
              <w:spacing w:line="240" w:lineRule="auto"/>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1,836</w:t>
            </w:r>
          </w:p>
        </w:tc>
        <w:tc>
          <w:tcPr>
            <w:tcW w:w="141" w:type="dxa"/>
            <w:tcBorders>
              <w:top w:val="nil"/>
              <w:left w:val="nil"/>
              <w:bottom w:val="nil"/>
              <w:right w:val="nil"/>
            </w:tcBorders>
            <w:noWrap/>
            <w:vAlign w:val="center"/>
          </w:tcPr>
          <w:p w14:paraId="23992FA7" w14:textId="77777777" w:rsidR="002C0132" w:rsidRPr="00BC2D1E" w:rsidRDefault="002C0132" w:rsidP="002C0132">
            <w:pPr>
              <w:spacing w:line="240" w:lineRule="auto"/>
              <w:jc w:val="right"/>
              <w:rPr>
                <w:rFonts w:ascii="Arial" w:eastAsia="Arial Unicode MS" w:hAnsi="Arial" w:cs="Arial"/>
                <w:sz w:val="18"/>
                <w:szCs w:val="18"/>
                <w:lang w:val="en-GB"/>
              </w:rPr>
            </w:pPr>
          </w:p>
        </w:tc>
        <w:tc>
          <w:tcPr>
            <w:tcW w:w="1134" w:type="dxa"/>
            <w:tcBorders>
              <w:top w:val="nil"/>
              <w:left w:val="nil"/>
              <w:bottom w:val="nil"/>
              <w:right w:val="nil"/>
            </w:tcBorders>
            <w:noWrap/>
            <w:vAlign w:val="center"/>
          </w:tcPr>
          <w:p w14:paraId="46C5E199" w14:textId="6D388A3E" w:rsidR="002C0132" w:rsidRPr="00BC2D1E" w:rsidRDefault="002C0132" w:rsidP="002C0132">
            <w:pPr>
              <w:spacing w:line="240" w:lineRule="auto"/>
              <w:ind w:right="122"/>
              <w:jc w:val="right"/>
              <w:rPr>
                <w:rFonts w:ascii="Arial" w:eastAsia="Arial Unicode MS" w:hAnsi="Arial" w:cs="Arial"/>
                <w:sz w:val="18"/>
                <w:szCs w:val="18"/>
                <w:lang w:val="en-GB"/>
              </w:rPr>
            </w:pPr>
            <w:r>
              <w:rPr>
                <w:rFonts w:ascii="Arial" w:eastAsia="Arial Unicode MS" w:hAnsi="Arial" w:cs="Arial"/>
                <w:sz w:val="18"/>
                <w:szCs w:val="18"/>
                <w:lang w:val="en-GB" w:eastAsia="bg-BG"/>
              </w:rPr>
              <w:t>-</w:t>
            </w:r>
          </w:p>
        </w:tc>
        <w:tc>
          <w:tcPr>
            <w:tcW w:w="142" w:type="dxa"/>
            <w:tcBorders>
              <w:top w:val="nil"/>
              <w:left w:val="nil"/>
              <w:bottom w:val="nil"/>
              <w:right w:val="nil"/>
            </w:tcBorders>
            <w:noWrap/>
            <w:vAlign w:val="center"/>
          </w:tcPr>
          <w:p w14:paraId="306C92CF" w14:textId="77777777" w:rsidR="002C0132" w:rsidRPr="00BC2D1E" w:rsidRDefault="002C0132" w:rsidP="002C0132">
            <w:pPr>
              <w:spacing w:line="240" w:lineRule="auto"/>
              <w:ind w:right="122"/>
              <w:jc w:val="right"/>
              <w:rPr>
                <w:rFonts w:ascii="Arial" w:eastAsia="Arial Unicode MS" w:hAnsi="Arial" w:cs="Arial"/>
                <w:sz w:val="18"/>
                <w:szCs w:val="18"/>
                <w:lang w:val="en-GB"/>
              </w:rPr>
            </w:pPr>
          </w:p>
        </w:tc>
        <w:tc>
          <w:tcPr>
            <w:tcW w:w="1559" w:type="dxa"/>
            <w:tcBorders>
              <w:top w:val="nil"/>
              <w:left w:val="nil"/>
              <w:bottom w:val="nil"/>
              <w:right w:val="nil"/>
            </w:tcBorders>
            <w:noWrap/>
            <w:vAlign w:val="center"/>
          </w:tcPr>
          <w:p w14:paraId="5048DC13" w14:textId="327BFBAC" w:rsidR="002C0132" w:rsidRPr="00BC2D1E" w:rsidRDefault="002C0132" w:rsidP="002C0132">
            <w:pPr>
              <w:spacing w:line="240" w:lineRule="auto"/>
              <w:ind w:right="122"/>
              <w:jc w:val="right"/>
              <w:rPr>
                <w:rFonts w:ascii="Arial" w:eastAsia="Arial Unicode MS" w:hAnsi="Arial" w:cs="Arial"/>
                <w:sz w:val="18"/>
                <w:szCs w:val="18"/>
                <w:lang w:val="en-GB"/>
              </w:rPr>
            </w:pPr>
            <w:r>
              <w:rPr>
                <w:rFonts w:ascii="Arial" w:eastAsia="Arial Unicode MS" w:hAnsi="Arial" w:cs="Arial"/>
                <w:sz w:val="18"/>
                <w:szCs w:val="18"/>
                <w:lang w:val="en-GB" w:eastAsia="bg-BG"/>
              </w:rPr>
              <w:t>-</w:t>
            </w:r>
          </w:p>
        </w:tc>
        <w:tc>
          <w:tcPr>
            <w:tcW w:w="142" w:type="dxa"/>
            <w:tcBorders>
              <w:top w:val="nil"/>
              <w:left w:val="nil"/>
              <w:right w:val="nil"/>
            </w:tcBorders>
            <w:vAlign w:val="center"/>
          </w:tcPr>
          <w:p w14:paraId="162FACAE" w14:textId="77777777" w:rsidR="002C0132" w:rsidRPr="00BC2D1E" w:rsidRDefault="002C0132" w:rsidP="002C0132">
            <w:pPr>
              <w:spacing w:line="240" w:lineRule="auto"/>
              <w:ind w:right="142"/>
              <w:jc w:val="right"/>
              <w:rPr>
                <w:rFonts w:ascii="Arial" w:eastAsia="Arial Unicode MS" w:hAnsi="Arial" w:cs="Arial"/>
                <w:sz w:val="18"/>
                <w:szCs w:val="18"/>
                <w:lang w:val="en-GB"/>
              </w:rPr>
            </w:pPr>
          </w:p>
        </w:tc>
        <w:tc>
          <w:tcPr>
            <w:tcW w:w="1134" w:type="dxa"/>
            <w:tcBorders>
              <w:top w:val="nil"/>
              <w:left w:val="nil"/>
              <w:right w:val="nil"/>
            </w:tcBorders>
            <w:tcMar>
              <w:top w:w="0" w:type="dxa"/>
              <w:left w:w="15" w:type="dxa"/>
              <w:bottom w:w="0" w:type="dxa"/>
              <w:right w:w="15" w:type="dxa"/>
            </w:tcMar>
            <w:vAlign w:val="center"/>
          </w:tcPr>
          <w:p w14:paraId="3E0058A4" w14:textId="21F63271" w:rsidR="002C0132" w:rsidRPr="00BC2D1E" w:rsidRDefault="002C0132" w:rsidP="002C0132">
            <w:pPr>
              <w:spacing w:line="240" w:lineRule="auto"/>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1,836</w:t>
            </w:r>
          </w:p>
        </w:tc>
      </w:tr>
      <w:tr w:rsidR="002C0132" w:rsidRPr="00721663" w14:paraId="3E43D8C0" w14:textId="77777777" w:rsidTr="00551604">
        <w:trPr>
          <w:trHeight w:hRule="exact" w:val="329"/>
        </w:trPr>
        <w:tc>
          <w:tcPr>
            <w:tcW w:w="2410" w:type="dxa"/>
            <w:tcBorders>
              <w:top w:val="nil"/>
              <w:left w:val="nil"/>
              <w:right w:val="nil"/>
            </w:tcBorders>
            <w:noWrap/>
            <w:tcMar>
              <w:top w:w="0" w:type="dxa"/>
              <w:left w:w="15" w:type="dxa"/>
              <w:bottom w:w="0" w:type="dxa"/>
              <w:right w:w="15" w:type="dxa"/>
            </w:tcMar>
            <w:vAlign w:val="center"/>
          </w:tcPr>
          <w:p w14:paraId="1D2C0B07" w14:textId="77777777" w:rsidR="002C0132" w:rsidRPr="00721663" w:rsidRDefault="002C0132" w:rsidP="002C0132">
            <w:pPr>
              <w:pStyle w:val="Header"/>
              <w:spacing w:line="240" w:lineRule="auto"/>
              <w:jc w:val="left"/>
              <w:rPr>
                <w:rFonts w:ascii="Arial" w:hAnsi="Arial" w:cs="Arial"/>
                <w:sz w:val="18"/>
                <w:szCs w:val="18"/>
                <w:lang w:val="bg-BG"/>
              </w:rPr>
            </w:pPr>
          </w:p>
        </w:tc>
        <w:tc>
          <w:tcPr>
            <w:tcW w:w="142" w:type="dxa"/>
            <w:tcBorders>
              <w:top w:val="nil"/>
              <w:left w:val="nil"/>
              <w:right w:val="nil"/>
            </w:tcBorders>
            <w:noWrap/>
            <w:tcMar>
              <w:top w:w="0" w:type="dxa"/>
              <w:left w:w="15" w:type="dxa"/>
              <w:bottom w:w="0" w:type="dxa"/>
              <w:right w:w="15" w:type="dxa"/>
            </w:tcMar>
            <w:vAlign w:val="bottom"/>
          </w:tcPr>
          <w:p w14:paraId="3DAFD473" w14:textId="77777777" w:rsidR="002C0132" w:rsidRPr="00721663" w:rsidRDefault="002C0132" w:rsidP="002C0132">
            <w:pPr>
              <w:spacing w:line="240" w:lineRule="auto"/>
              <w:rPr>
                <w:rFonts w:ascii="Arial" w:eastAsia="Arial Unicode MS" w:hAnsi="Arial" w:cs="Arial"/>
                <w:sz w:val="18"/>
                <w:szCs w:val="18"/>
                <w:lang w:val="bg-BG"/>
              </w:rPr>
            </w:pPr>
          </w:p>
        </w:tc>
        <w:tc>
          <w:tcPr>
            <w:tcW w:w="1276"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1D760F81" w14:textId="198961CA" w:rsidR="002C0132" w:rsidRPr="00BC2D1E" w:rsidRDefault="002C0132" w:rsidP="002C0132">
            <w:pPr>
              <w:spacing w:line="240" w:lineRule="auto"/>
              <w:ind w:right="127"/>
              <w:jc w:val="right"/>
              <w:rPr>
                <w:rFonts w:ascii="Arial" w:eastAsia="Arial Unicode MS" w:hAnsi="Arial" w:cs="Arial"/>
                <w:b/>
                <w:bCs/>
                <w:sz w:val="18"/>
                <w:szCs w:val="18"/>
                <w:lang w:val="en-GB"/>
              </w:rPr>
            </w:pPr>
            <w:r>
              <w:rPr>
                <w:rFonts w:ascii="Arial" w:eastAsia="Arial Unicode MS" w:hAnsi="Arial" w:cs="Arial"/>
                <w:b/>
                <w:bCs/>
                <w:sz w:val="18"/>
                <w:szCs w:val="18"/>
                <w:lang w:val="en-GB" w:eastAsia="bg-BG"/>
              </w:rPr>
              <w:t>2,334</w:t>
            </w:r>
          </w:p>
        </w:tc>
        <w:tc>
          <w:tcPr>
            <w:tcW w:w="141" w:type="dxa"/>
            <w:tcBorders>
              <w:top w:val="nil"/>
              <w:left w:val="nil"/>
              <w:right w:val="nil"/>
            </w:tcBorders>
            <w:noWrap/>
            <w:tcMar>
              <w:top w:w="0" w:type="dxa"/>
              <w:left w:w="15" w:type="dxa"/>
              <w:bottom w:w="0" w:type="dxa"/>
              <w:right w:w="15" w:type="dxa"/>
            </w:tcMar>
            <w:vAlign w:val="center"/>
          </w:tcPr>
          <w:p w14:paraId="553D8587" w14:textId="77777777" w:rsidR="002C0132" w:rsidRPr="00BC2D1E" w:rsidRDefault="002C0132" w:rsidP="002C0132">
            <w:pPr>
              <w:spacing w:line="240" w:lineRule="auto"/>
              <w:jc w:val="right"/>
              <w:rPr>
                <w:rFonts w:ascii="Arial" w:eastAsia="Arial Unicode MS" w:hAnsi="Arial" w:cs="Arial"/>
                <w:sz w:val="18"/>
                <w:szCs w:val="18"/>
                <w:lang w:val="en-GB"/>
              </w:rPr>
            </w:pPr>
          </w:p>
        </w:tc>
        <w:tc>
          <w:tcPr>
            <w:tcW w:w="1134"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343878B1" w14:textId="36D9DF24" w:rsidR="002C0132" w:rsidRPr="00BC2D1E" w:rsidRDefault="002C0132" w:rsidP="002C0132">
            <w:pPr>
              <w:spacing w:line="240" w:lineRule="auto"/>
              <w:ind w:right="122"/>
              <w:jc w:val="right"/>
              <w:rPr>
                <w:rFonts w:ascii="Arial" w:eastAsia="Arial Unicode MS" w:hAnsi="Arial" w:cs="Arial"/>
                <w:b/>
                <w:bCs/>
                <w:sz w:val="18"/>
                <w:szCs w:val="18"/>
                <w:lang w:val="en-GB"/>
              </w:rPr>
            </w:pPr>
            <w:r>
              <w:rPr>
                <w:rFonts w:ascii="Arial" w:eastAsia="Arial Unicode MS" w:hAnsi="Arial" w:cs="Arial"/>
                <w:b/>
                <w:bCs/>
                <w:sz w:val="18"/>
                <w:szCs w:val="18"/>
                <w:lang w:val="en-GB" w:eastAsia="bg-BG"/>
              </w:rPr>
              <w:t>-</w:t>
            </w:r>
          </w:p>
        </w:tc>
        <w:tc>
          <w:tcPr>
            <w:tcW w:w="142" w:type="dxa"/>
            <w:tcBorders>
              <w:top w:val="nil"/>
              <w:left w:val="nil"/>
              <w:right w:val="nil"/>
            </w:tcBorders>
            <w:noWrap/>
            <w:tcMar>
              <w:top w:w="0" w:type="dxa"/>
              <w:left w:w="15" w:type="dxa"/>
              <w:bottom w:w="0" w:type="dxa"/>
              <w:right w:w="15" w:type="dxa"/>
            </w:tcMar>
            <w:vAlign w:val="center"/>
          </w:tcPr>
          <w:p w14:paraId="757AE04F" w14:textId="77777777" w:rsidR="002C0132" w:rsidRPr="00BC2D1E" w:rsidRDefault="002C0132" w:rsidP="002C0132">
            <w:pPr>
              <w:spacing w:line="240" w:lineRule="auto"/>
              <w:ind w:right="122"/>
              <w:jc w:val="right"/>
              <w:rPr>
                <w:rFonts w:ascii="Arial" w:eastAsia="Arial Unicode MS" w:hAnsi="Arial" w:cs="Arial"/>
                <w:sz w:val="18"/>
                <w:szCs w:val="18"/>
                <w:lang w:val="en-GB"/>
              </w:rPr>
            </w:pPr>
          </w:p>
        </w:tc>
        <w:tc>
          <w:tcPr>
            <w:tcW w:w="1559"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05FC37E1" w14:textId="711C6D06" w:rsidR="002C0132" w:rsidRPr="00BC2D1E" w:rsidRDefault="002C0132" w:rsidP="002C0132">
            <w:pPr>
              <w:spacing w:line="240" w:lineRule="auto"/>
              <w:ind w:right="122"/>
              <w:jc w:val="right"/>
              <w:rPr>
                <w:rFonts w:ascii="Arial" w:eastAsia="Arial Unicode MS" w:hAnsi="Arial" w:cs="Arial"/>
                <w:b/>
                <w:bCs/>
                <w:sz w:val="18"/>
                <w:szCs w:val="18"/>
                <w:lang w:val="en-GB"/>
              </w:rPr>
            </w:pPr>
            <w:r>
              <w:rPr>
                <w:rFonts w:ascii="Arial" w:eastAsia="Arial Unicode MS" w:hAnsi="Arial" w:cs="Arial"/>
                <w:b/>
                <w:bCs/>
                <w:sz w:val="18"/>
                <w:szCs w:val="18"/>
                <w:lang w:val="en-GB" w:eastAsia="bg-BG"/>
              </w:rPr>
              <w:t>-</w:t>
            </w:r>
          </w:p>
        </w:tc>
        <w:tc>
          <w:tcPr>
            <w:tcW w:w="142" w:type="dxa"/>
            <w:tcBorders>
              <w:left w:val="nil"/>
              <w:right w:val="nil"/>
            </w:tcBorders>
            <w:vAlign w:val="center"/>
          </w:tcPr>
          <w:p w14:paraId="37F86BE9" w14:textId="77777777" w:rsidR="002C0132" w:rsidRPr="00BC2D1E" w:rsidRDefault="002C0132" w:rsidP="002C0132">
            <w:pPr>
              <w:spacing w:line="240" w:lineRule="auto"/>
              <w:ind w:right="127"/>
              <w:jc w:val="right"/>
              <w:rPr>
                <w:rFonts w:ascii="Arial" w:eastAsia="Arial Unicode MS" w:hAnsi="Arial" w:cs="Arial"/>
                <w:b/>
                <w:bCs/>
                <w:sz w:val="18"/>
                <w:szCs w:val="18"/>
                <w:lang w:val="en-GB"/>
              </w:rPr>
            </w:pPr>
          </w:p>
        </w:tc>
        <w:tc>
          <w:tcPr>
            <w:tcW w:w="1134" w:type="dxa"/>
            <w:tcBorders>
              <w:top w:val="single" w:sz="4" w:space="0" w:color="auto"/>
              <w:left w:val="nil"/>
              <w:bottom w:val="single" w:sz="4" w:space="0" w:color="auto"/>
              <w:right w:val="nil"/>
            </w:tcBorders>
            <w:tcMar>
              <w:top w:w="15" w:type="dxa"/>
              <w:left w:w="15" w:type="dxa"/>
              <w:bottom w:w="0" w:type="dxa"/>
              <w:right w:w="15" w:type="dxa"/>
            </w:tcMar>
            <w:vAlign w:val="center"/>
          </w:tcPr>
          <w:p w14:paraId="505093D3" w14:textId="1CE03251" w:rsidR="002C0132" w:rsidRPr="00BC2D1E" w:rsidRDefault="002C0132" w:rsidP="002C0132">
            <w:pPr>
              <w:spacing w:line="240" w:lineRule="auto"/>
              <w:ind w:right="127"/>
              <w:jc w:val="right"/>
              <w:rPr>
                <w:rFonts w:ascii="Arial" w:eastAsia="Arial Unicode MS" w:hAnsi="Arial" w:cs="Arial"/>
                <w:b/>
                <w:bCs/>
                <w:sz w:val="18"/>
                <w:szCs w:val="18"/>
                <w:lang w:val="en-GB"/>
              </w:rPr>
            </w:pPr>
            <w:r>
              <w:rPr>
                <w:rFonts w:ascii="Arial" w:eastAsia="Arial Unicode MS" w:hAnsi="Arial" w:cs="Arial"/>
                <w:b/>
                <w:bCs/>
                <w:sz w:val="18"/>
                <w:szCs w:val="18"/>
                <w:lang w:val="en-GB" w:eastAsia="bg-BG"/>
              </w:rPr>
              <w:t>2,334</w:t>
            </w:r>
          </w:p>
        </w:tc>
      </w:tr>
      <w:tr w:rsidR="002C0132" w:rsidRPr="00721663" w14:paraId="506424D5" w14:textId="77777777" w:rsidTr="00551604">
        <w:trPr>
          <w:trHeight w:hRule="exact" w:val="329"/>
        </w:trPr>
        <w:tc>
          <w:tcPr>
            <w:tcW w:w="2410" w:type="dxa"/>
            <w:tcBorders>
              <w:left w:val="nil"/>
              <w:bottom w:val="nil"/>
              <w:right w:val="nil"/>
            </w:tcBorders>
            <w:noWrap/>
            <w:vAlign w:val="center"/>
          </w:tcPr>
          <w:p w14:paraId="4BDF0216" w14:textId="77777777" w:rsidR="002C0132" w:rsidRPr="00721663" w:rsidRDefault="002C0132" w:rsidP="002C0132">
            <w:pPr>
              <w:spacing w:line="240" w:lineRule="auto"/>
              <w:jc w:val="left"/>
              <w:rPr>
                <w:rFonts w:ascii="Arial" w:eastAsia="Arial Unicode MS" w:hAnsi="Arial" w:cs="Arial"/>
                <w:bCs/>
                <w:i/>
                <w:iCs/>
                <w:sz w:val="18"/>
                <w:szCs w:val="18"/>
                <w:lang w:val="bg-BG"/>
              </w:rPr>
            </w:pPr>
            <w:r w:rsidRPr="00721663">
              <w:rPr>
                <w:rFonts w:ascii="Arial" w:hAnsi="Arial" w:cs="Arial"/>
                <w:bCs/>
                <w:i/>
                <w:iCs/>
                <w:sz w:val="18"/>
                <w:szCs w:val="18"/>
                <w:lang w:val="bg-BG"/>
              </w:rPr>
              <w:t>Финансови пасиви</w:t>
            </w:r>
          </w:p>
        </w:tc>
        <w:tc>
          <w:tcPr>
            <w:tcW w:w="142" w:type="dxa"/>
            <w:tcBorders>
              <w:left w:val="nil"/>
              <w:bottom w:val="nil"/>
              <w:right w:val="nil"/>
            </w:tcBorders>
            <w:noWrap/>
            <w:vAlign w:val="bottom"/>
          </w:tcPr>
          <w:p w14:paraId="455FD2A5" w14:textId="77777777" w:rsidR="002C0132" w:rsidRPr="00721663" w:rsidRDefault="002C0132" w:rsidP="002C0132">
            <w:pPr>
              <w:spacing w:line="240" w:lineRule="auto"/>
              <w:rPr>
                <w:rFonts w:ascii="Arial" w:eastAsia="Arial Unicode MS" w:hAnsi="Arial" w:cs="Arial"/>
                <w:sz w:val="18"/>
                <w:szCs w:val="18"/>
                <w:lang w:val="bg-BG"/>
              </w:rPr>
            </w:pPr>
          </w:p>
        </w:tc>
        <w:tc>
          <w:tcPr>
            <w:tcW w:w="1276" w:type="dxa"/>
            <w:tcBorders>
              <w:top w:val="single" w:sz="4" w:space="0" w:color="auto"/>
              <w:left w:val="nil"/>
              <w:bottom w:val="nil"/>
              <w:right w:val="nil"/>
            </w:tcBorders>
            <w:noWrap/>
            <w:vAlign w:val="center"/>
          </w:tcPr>
          <w:p w14:paraId="0820D6D1" w14:textId="77777777" w:rsidR="002C0132" w:rsidRPr="00721663" w:rsidRDefault="002C0132" w:rsidP="002C0132">
            <w:pPr>
              <w:spacing w:line="240" w:lineRule="auto"/>
              <w:jc w:val="right"/>
              <w:rPr>
                <w:rFonts w:ascii="Arial" w:eastAsia="Arial Unicode MS" w:hAnsi="Arial" w:cs="Arial"/>
                <w:sz w:val="18"/>
                <w:szCs w:val="18"/>
                <w:lang w:val="bg-BG"/>
              </w:rPr>
            </w:pPr>
          </w:p>
        </w:tc>
        <w:tc>
          <w:tcPr>
            <w:tcW w:w="141" w:type="dxa"/>
            <w:tcBorders>
              <w:left w:val="nil"/>
              <w:bottom w:val="nil"/>
              <w:right w:val="nil"/>
            </w:tcBorders>
            <w:noWrap/>
            <w:vAlign w:val="center"/>
          </w:tcPr>
          <w:p w14:paraId="6EDDBF5A" w14:textId="77777777" w:rsidR="002C0132" w:rsidRPr="00721663" w:rsidRDefault="002C0132" w:rsidP="002C0132">
            <w:pPr>
              <w:spacing w:line="240" w:lineRule="auto"/>
              <w:jc w:val="right"/>
              <w:rPr>
                <w:rFonts w:ascii="Arial" w:eastAsia="Arial Unicode MS" w:hAnsi="Arial" w:cs="Arial"/>
                <w:sz w:val="18"/>
                <w:szCs w:val="18"/>
                <w:lang w:val="bg-BG"/>
              </w:rPr>
            </w:pPr>
          </w:p>
        </w:tc>
        <w:tc>
          <w:tcPr>
            <w:tcW w:w="1134" w:type="dxa"/>
            <w:tcBorders>
              <w:top w:val="single" w:sz="4" w:space="0" w:color="auto"/>
              <w:left w:val="nil"/>
              <w:bottom w:val="nil"/>
              <w:right w:val="nil"/>
            </w:tcBorders>
            <w:noWrap/>
            <w:vAlign w:val="center"/>
          </w:tcPr>
          <w:p w14:paraId="4C02DF13" w14:textId="77777777" w:rsidR="002C0132" w:rsidRPr="00721663" w:rsidRDefault="002C0132" w:rsidP="002C0132">
            <w:pPr>
              <w:spacing w:line="240" w:lineRule="auto"/>
              <w:ind w:right="122"/>
              <w:jc w:val="right"/>
              <w:rPr>
                <w:rFonts w:ascii="Arial" w:eastAsia="Arial Unicode MS" w:hAnsi="Arial" w:cs="Arial"/>
                <w:sz w:val="18"/>
                <w:szCs w:val="18"/>
                <w:lang w:val="bg-BG"/>
              </w:rPr>
            </w:pPr>
          </w:p>
        </w:tc>
        <w:tc>
          <w:tcPr>
            <w:tcW w:w="142" w:type="dxa"/>
            <w:tcBorders>
              <w:left w:val="nil"/>
              <w:bottom w:val="nil"/>
              <w:right w:val="nil"/>
            </w:tcBorders>
            <w:noWrap/>
            <w:vAlign w:val="center"/>
          </w:tcPr>
          <w:p w14:paraId="2534ADA7" w14:textId="77777777" w:rsidR="002C0132" w:rsidRPr="00721663" w:rsidRDefault="002C0132" w:rsidP="002C0132">
            <w:pPr>
              <w:spacing w:line="240" w:lineRule="auto"/>
              <w:ind w:right="122"/>
              <w:jc w:val="right"/>
              <w:rPr>
                <w:rFonts w:ascii="Arial" w:eastAsia="Arial Unicode MS" w:hAnsi="Arial" w:cs="Arial"/>
                <w:sz w:val="18"/>
                <w:szCs w:val="18"/>
                <w:lang w:val="bg-BG"/>
              </w:rPr>
            </w:pPr>
          </w:p>
        </w:tc>
        <w:tc>
          <w:tcPr>
            <w:tcW w:w="1559" w:type="dxa"/>
            <w:tcBorders>
              <w:top w:val="single" w:sz="4" w:space="0" w:color="auto"/>
              <w:left w:val="nil"/>
              <w:bottom w:val="nil"/>
              <w:right w:val="nil"/>
            </w:tcBorders>
            <w:noWrap/>
            <w:vAlign w:val="center"/>
          </w:tcPr>
          <w:p w14:paraId="70F699A9" w14:textId="77777777" w:rsidR="002C0132" w:rsidRPr="00721663" w:rsidRDefault="002C0132" w:rsidP="002C0132">
            <w:pPr>
              <w:spacing w:line="240" w:lineRule="auto"/>
              <w:ind w:right="122"/>
              <w:jc w:val="right"/>
              <w:rPr>
                <w:rFonts w:ascii="Arial" w:eastAsia="Arial Unicode MS" w:hAnsi="Arial" w:cs="Arial"/>
                <w:sz w:val="18"/>
                <w:szCs w:val="18"/>
                <w:lang w:val="bg-BG"/>
              </w:rPr>
            </w:pPr>
          </w:p>
        </w:tc>
        <w:tc>
          <w:tcPr>
            <w:tcW w:w="142" w:type="dxa"/>
            <w:tcBorders>
              <w:left w:val="nil"/>
              <w:bottom w:val="nil"/>
              <w:right w:val="nil"/>
            </w:tcBorders>
            <w:vAlign w:val="center"/>
          </w:tcPr>
          <w:p w14:paraId="3F71D8DD" w14:textId="77777777" w:rsidR="002C0132" w:rsidRPr="00721663" w:rsidRDefault="002C0132" w:rsidP="002C0132">
            <w:pPr>
              <w:spacing w:line="240" w:lineRule="auto"/>
              <w:ind w:right="122"/>
              <w:jc w:val="right"/>
              <w:rPr>
                <w:rFonts w:ascii="Arial" w:eastAsia="Arial Unicode MS" w:hAnsi="Arial" w:cs="Arial"/>
                <w:sz w:val="18"/>
                <w:szCs w:val="18"/>
                <w:lang w:val="bg-BG"/>
              </w:rPr>
            </w:pPr>
          </w:p>
        </w:tc>
        <w:tc>
          <w:tcPr>
            <w:tcW w:w="1134" w:type="dxa"/>
            <w:tcBorders>
              <w:top w:val="single" w:sz="4" w:space="0" w:color="auto"/>
              <w:left w:val="nil"/>
              <w:bottom w:val="nil"/>
              <w:right w:val="nil"/>
            </w:tcBorders>
            <w:tcMar>
              <w:top w:w="0" w:type="dxa"/>
              <w:left w:w="15" w:type="dxa"/>
              <w:bottom w:w="0" w:type="dxa"/>
              <w:right w:w="15" w:type="dxa"/>
            </w:tcMar>
            <w:vAlign w:val="center"/>
          </w:tcPr>
          <w:p w14:paraId="0D99627E" w14:textId="77777777" w:rsidR="002C0132" w:rsidRPr="00721663" w:rsidRDefault="002C0132" w:rsidP="002C0132">
            <w:pPr>
              <w:spacing w:line="240" w:lineRule="auto"/>
              <w:ind w:right="122"/>
              <w:jc w:val="right"/>
              <w:rPr>
                <w:rFonts w:ascii="Arial" w:eastAsia="Arial Unicode MS" w:hAnsi="Arial" w:cs="Arial"/>
                <w:sz w:val="18"/>
                <w:szCs w:val="18"/>
                <w:lang w:val="bg-BG"/>
              </w:rPr>
            </w:pPr>
          </w:p>
        </w:tc>
      </w:tr>
      <w:tr w:rsidR="002C0132" w:rsidRPr="00721663" w14:paraId="7DA5FF8B" w14:textId="77777777" w:rsidTr="00551604">
        <w:trPr>
          <w:trHeight w:hRule="exact" w:val="329"/>
        </w:trPr>
        <w:tc>
          <w:tcPr>
            <w:tcW w:w="2410" w:type="dxa"/>
            <w:tcBorders>
              <w:top w:val="nil"/>
              <w:left w:val="nil"/>
              <w:bottom w:val="nil"/>
              <w:right w:val="nil"/>
            </w:tcBorders>
            <w:noWrap/>
            <w:vAlign w:val="center"/>
          </w:tcPr>
          <w:p w14:paraId="2CE5EDE6" w14:textId="77777777" w:rsidR="002C0132" w:rsidRPr="00721663" w:rsidRDefault="002C0132" w:rsidP="002C0132">
            <w:pPr>
              <w:spacing w:line="240" w:lineRule="auto"/>
              <w:jc w:val="left"/>
              <w:rPr>
                <w:rFonts w:ascii="Arial" w:eastAsia="Arial Unicode MS" w:hAnsi="Arial" w:cs="Arial"/>
                <w:sz w:val="18"/>
                <w:szCs w:val="18"/>
                <w:lang w:val="bg-BG"/>
              </w:rPr>
            </w:pPr>
            <w:r w:rsidRPr="00721663">
              <w:rPr>
                <w:rFonts w:ascii="Arial" w:hAnsi="Arial" w:cs="Arial"/>
                <w:sz w:val="18"/>
                <w:szCs w:val="18"/>
                <w:lang w:val="bg-BG"/>
              </w:rPr>
              <w:t xml:space="preserve">Заеми и лихви </w:t>
            </w:r>
          </w:p>
        </w:tc>
        <w:tc>
          <w:tcPr>
            <w:tcW w:w="142" w:type="dxa"/>
            <w:tcBorders>
              <w:top w:val="nil"/>
              <w:left w:val="nil"/>
              <w:bottom w:val="nil"/>
              <w:right w:val="nil"/>
            </w:tcBorders>
            <w:noWrap/>
            <w:vAlign w:val="bottom"/>
          </w:tcPr>
          <w:p w14:paraId="0BE46753" w14:textId="77777777" w:rsidR="002C0132" w:rsidRPr="00721663" w:rsidRDefault="002C0132" w:rsidP="002C0132">
            <w:pPr>
              <w:spacing w:line="240" w:lineRule="auto"/>
              <w:rPr>
                <w:rFonts w:ascii="Arial" w:eastAsia="Arial Unicode MS" w:hAnsi="Arial" w:cs="Arial"/>
                <w:sz w:val="18"/>
                <w:szCs w:val="18"/>
                <w:lang w:val="bg-BG"/>
              </w:rPr>
            </w:pPr>
          </w:p>
        </w:tc>
        <w:tc>
          <w:tcPr>
            <w:tcW w:w="1276" w:type="dxa"/>
            <w:tcBorders>
              <w:top w:val="nil"/>
              <w:left w:val="nil"/>
              <w:bottom w:val="nil"/>
              <w:right w:val="nil"/>
            </w:tcBorders>
            <w:noWrap/>
            <w:vAlign w:val="center"/>
          </w:tcPr>
          <w:p w14:paraId="545C9BAA" w14:textId="2659DC82" w:rsidR="002C0132" w:rsidRPr="00BC2D1E" w:rsidRDefault="002C0132" w:rsidP="002C0132">
            <w:pPr>
              <w:spacing w:line="240" w:lineRule="auto"/>
              <w:ind w:right="127"/>
              <w:jc w:val="right"/>
              <w:rPr>
                <w:rFonts w:ascii="Arial" w:eastAsia="Arial Unicode MS" w:hAnsi="Arial" w:cs="Arial"/>
                <w:sz w:val="18"/>
                <w:szCs w:val="18"/>
                <w:lang w:val="en-GB"/>
              </w:rPr>
            </w:pPr>
            <w:r>
              <w:rPr>
                <w:rFonts w:ascii="Arial" w:eastAsia="Arial Unicode MS" w:hAnsi="Arial" w:cs="Arial"/>
                <w:sz w:val="18"/>
                <w:szCs w:val="18"/>
                <w:lang w:val="en-GB" w:eastAsia="bg-BG"/>
              </w:rPr>
              <w:t>606</w:t>
            </w:r>
          </w:p>
        </w:tc>
        <w:tc>
          <w:tcPr>
            <w:tcW w:w="141" w:type="dxa"/>
            <w:tcBorders>
              <w:top w:val="nil"/>
              <w:left w:val="nil"/>
              <w:bottom w:val="nil"/>
              <w:right w:val="nil"/>
            </w:tcBorders>
            <w:noWrap/>
            <w:vAlign w:val="center"/>
          </w:tcPr>
          <w:p w14:paraId="7FCCB1A7" w14:textId="77777777" w:rsidR="002C0132" w:rsidRPr="00BC2D1E" w:rsidRDefault="002C0132" w:rsidP="002C0132">
            <w:pPr>
              <w:spacing w:line="240" w:lineRule="auto"/>
              <w:jc w:val="right"/>
              <w:rPr>
                <w:rFonts w:ascii="Arial" w:eastAsia="Arial Unicode MS" w:hAnsi="Arial" w:cs="Arial"/>
                <w:sz w:val="18"/>
                <w:szCs w:val="18"/>
                <w:lang w:val="en-GB"/>
              </w:rPr>
            </w:pPr>
          </w:p>
        </w:tc>
        <w:tc>
          <w:tcPr>
            <w:tcW w:w="1134" w:type="dxa"/>
            <w:tcBorders>
              <w:top w:val="nil"/>
              <w:left w:val="nil"/>
              <w:bottom w:val="nil"/>
              <w:right w:val="nil"/>
            </w:tcBorders>
            <w:noWrap/>
            <w:vAlign w:val="center"/>
          </w:tcPr>
          <w:p w14:paraId="6AC85F42" w14:textId="57D97834" w:rsidR="002C0132" w:rsidRPr="00BC2D1E" w:rsidRDefault="002C0132" w:rsidP="002C0132">
            <w:pPr>
              <w:spacing w:line="240" w:lineRule="auto"/>
              <w:ind w:right="122"/>
              <w:jc w:val="right"/>
              <w:rPr>
                <w:rFonts w:ascii="Arial" w:eastAsia="Arial Unicode MS" w:hAnsi="Arial" w:cs="Arial"/>
                <w:sz w:val="18"/>
                <w:szCs w:val="18"/>
                <w:lang w:val="en-GB"/>
              </w:rPr>
            </w:pPr>
            <w:r>
              <w:rPr>
                <w:rFonts w:ascii="Arial" w:eastAsia="Arial Unicode MS" w:hAnsi="Arial" w:cs="Arial"/>
                <w:sz w:val="18"/>
                <w:szCs w:val="18"/>
                <w:lang w:val="en-GB" w:eastAsia="bg-BG"/>
              </w:rPr>
              <w:t>6,743</w:t>
            </w:r>
          </w:p>
        </w:tc>
        <w:tc>
          <w:tcPr>
            <w:tcW w:w="142" w:type="dxa"/>
            <w:tcBorders>
              <w:top w:val="nil"/>
              <w:left w:val="nil"/>
              <w:bottom w:val="nil"/>
              <w:right w:val="nil"/>
            </w:tcBorders>
            <w:noWrap/>
            <w:vAlign w:val="center"/>
          </w:tcPr>
          <w:p w14:paraId="23FB501A" w14:textId="77777777" w:rsidR="002C0132" w:rsidRPr="00BC2D1E" w:rsidRDefault="002C0132" w:rsidP="002C0132">
            <w:pPr>
              <w:spacing w:line="240" w:lineRule="auto"/>
              <w:ind w:right="122"/>
              <w:jc w:val="right"/>
              <w:rPr>
                <w:rFonts w:ascii="Arial" w:eastAsia="Arial Unicode MS" w:hAnsi="Arial" w:cs="Arial"/>
                <w:sz w:val="18"/>
                <w:szCs w:val="18"/>
                <w:lang w:val="en-GB"/>
              </w:rPr>
            </w:pPr>
          </w:p>
        </w:tc>
        <w:tc>
          <w:tcPr>
            <w:tcW w:w="1559" w:type="dxa"/>
            <w:tcBorders>
              <w:top w:val="nil"/>
              <w:left w:val="nil"/>
              <w:bottom w:val="nil"/>
              <w:right w:val="nil"/>
            </w:tcBorders>
            <w:noWrap/>
            <w:vAlign w:val="center"/>
          </w:tcPr>
          <w:p w14:paraId="7B3CC949" w14:textId="137CAAE8" w:rsidR="002C0132" w:rsidRPr="00BC2D1E" w:rsidRDefault="002C0132" w:rsidP="002C0132">
            <w:pPr>
              <w:spacing w:line="240" w:lineRule="auto"/>
              <w:ind w:right="122"/>
              <w:jc w:val="right"/>
              <w:rPr>
                <w:rFonts w:ascii="Arial" w:eastAsia="Arial Unicode MS" w:hAnsi="Arial" w:cs="Arial"/>
                <w:sz w:val="18"/>
                <w:szCs w:val="18"/>
                <w:lang w:val="en-GB"/>
              </w:rPr>
            </w:pPr>
            <w:r>
              <w:rPr>
                <w:rFonts w:ascii="Arial" w:eastAsia="Arial Unicode MS" w:hAnsi="Arial" w:cs="Arial"/>
                <w:sz w:val="18"/>
                <w:szCs w:val="18"/>
                <w:lang w:val="en-GB" w:eastAsia="bg-BG"/>
              </w:rPr>
              <w:t>19,137</w:t>
            </w:r>
          </w:p>
        </w:tc>
        <w:tc>
          <w:tcPr>
            <w:tcW w:w="142" w:type="dxa"/>
            <w:tcBorders>
              <w:top w:val="nil"/>
              <w:left w:val="nil"/>
              <w:bottom w:val="nil"/>
              <w:right w:val="nil"/>
            </w:tcBorders>
            <w:vAlign w:val="center"/>
          </w:tcPr>
          <w:p w14:paraId="6602FF89" w14:textId="77777777" w:rsidR="002C0132" w:rsidRPr="00BC2D1E" w:rsidRDefault="002C0132" w:rsidP="002C0132">
            <w:pPr>
              <w:spacing w:line="240" w:lineRule="auto"/>
              <w:ind w:right="122"/>
              <w:jc w:val="right"/>
              <w:rPr>
                <w:rFonts w:ascii="Arial" w:eastAsia="Arial Unicode MS" w:hAnsi="Arial" w:cs="Arial"/>
                <w:sz w:val="18"/>
                <w:szCs w:val="18"/>
                <w:lang w:val="en-GB"/>
              </w:rPr>
            </w:pPr>
          </w:p>
        </w:tc>
        <w:tc>
          <w:tcPr>
            <w:tcW w:w="1134" w:type="dxa"/>
            <w:tcBorders>
              <w:top w:val="nil"/>
              <w:left w:val="nil"/>
              <w:bottom w:val="nil"/>
              <w:right w:val="nil"/>
            </w:tcBorders>
            <w:tcMar>
              <w:top w:w="0" w:type="dxa"/>
              <w:left w:w="15" w:type="dxa"/>
              <w:bottom w:w="0" w:type="dxa"/>
              <w:right w:w="15" w:type="dxa"/>
            </w:tcMar>
            <w:vAlign w:val="center"/>
          </w:tcPr>
          <w:p w14:paraId="1C121B17" w14:textId="362A59FB" w:rsidR="002C0132" w:rsidRPr="00BC2D1E" w:rsidRDefault="002C0132" w:rsidP="002C0132">
            <w:pPr>
              <w:spacing w:line="240" w:lineRule="auto"/>
              <w:ind w:right="122"/>
              <w:jc w:val="right"/>
              <w:rPr>
                <w:rFonts w:ascii="Arial" w:eastAsia="Arial Unicode MS" w:hAnsi="Arial" w:cs="Arial"/>
                <w:sz w:val="18"/>
                <w:szCs w:val="18"/>
                <w:lang w:val="en-GB"/>
              </w:rPr>
            </w:pPr>
            <w:r>
              <w:rPr>
                <w:rFonts w:ascii="Arial" w:eastAsia="Arial Unicode MS" w:hAnsi="Arial" w:cs="Arial"/>
                <w:sz w:val="18"/>
                <w:szCs w:val="18"/>
                <w:lang w:val="en-GB" w:eastAsia="bg-BG"/>
              </w:rPr>
              <w:t>26,486</w:t>
            </w:r>
          </w:p>
        </w:tc>
      </w:tr>
      <w:tr w:rsidR="002C0132" w:rsidRPr="00721663" w14:paraId="3955E95A" w14:textId="77777777" w:rsidTr="00551604">
        <w:trPr>
          <w:trHeight w:hRule="exact" w:val="329"/>
        </w:trPr>
        <w:tc>
          <w:tcPr>
            <w:tcW w:w="2410" w:type="dxa"/>
            <w:tcBorders>
              <w:top w:val="nil"/>
              <w:left w:val="nil"/>
              <w:bottom w:val="nil"/>
              <w:right w:val="nil"/>
            </w:tcBorders>
            <w:vAlign w:val="center"/>
          </w:tcPr>
          <w:p w14:paraId="64496E8E" w14:textId="77777777" w:rsidR="002C0132" w:rsidRPr="00721663" w:rsidRDefault="002C0132" w:rsidP="002C0132">
            <w:pPr>
              <w:spacing w:line="240" w:lineRule="auto"/>
              <w:jc w:val="left"/>
              <w:rPr>
                <w:rFonts w:ascii="Arial" w:eastAsia="Arial Unicode MS" w:hAnsi="Arial" w:cs="Arial"/>
                <w:sz w:val="18"/>
                <w:szCs w:val="18"/>
                <w:lang w:val="bg-BG"/>
              </w:rPr>
            </w:pPr>
            <w:r w:rsidRPr="00721663">
              <w:rPr>
                <w:rFonts w:ascii="Arial" w:hAnsi="Arial" w:cs="Arial"/>
                <w:sz w:val="18"/>
                <w:szCs w:val="18"/>
                <w:lang w:val="bg-BG"/>
              </w:rPr>
              <w:t>Търговски задължения</w:t>
            </w:r>
          </w:p>
        </w:tc>
        <w:tc>
          <w:tcPr>
            <w:tcW w:w="142" w:type="dxa"/>
            <w:tcBorders>
              <w:top w:val="nil"/>
              <w:left w:val="nil"/>
              <w:bottom w:val="nil"/>
              <w:right w:val="nil"/>
            </w:tcBorders>
            <w:noWrap/>
            <w:vAlign w:val="bottom"/>
          </w:tcPr>
          <w:p w14:paraId="70232F8D" w14:textId="77777777" w:rsidR="002C0132" w:rsidRPr="00721663" w:rsidRDefault="002C0132" w:rsidP="002C0132">
            <w:pPr>
              <w:spacing w:line="240" w:lineRule="auto"/>
              <w:rPr>
                <w:rFonts w:ascii="Arial" w:eastAsia="Arial Unicode MS" w:hAnsi="Arial" w:cs="Arial"/>
                <w:sz w:val="18"/>
                <w:szCs w:val="18"/>
                <w:lang w:val="bg-BG"/>
              </w:rPr>
            </w:pPr>
          </w:p>
        </w:tc>
        <w:tc>
          <w:tcPr>
            <w:tcW w:w="1276" w:type="dxa"/>
            <w:tcBorders>
              <w:top w:val="nil"/>
              <w:left w:val="nil"/>
              <w:bottom w:val="nil"/>
              <w:right w:val="nil"/>
            </w:tcBorders>
            <w:noWrap/>
            <w:vAlign w:val="center"/>
          </w:tcPr>
          <w:p w14:paraId="10E418A1" w14:textId="2C946D42" w:rsidR="002C0132" w:rsidRPr="00BC2D1E" w:rsidRDefault="002C0132" w:rsidP="002C0132">
            <w:pPr>
              <w:spacing w:line="240" w:lineRule="auto"/>
              <w:ind w:right="127"/>
              <w:jc w:val="right"/>
              <w:rPr>
                <w:rFonts w:ascii="Arial" w:eastAsia="Arial Unicode MS" w:hAnsi="Arial" w:cs="Arial"/>
                <w:sz w:val="18"/>
                <w:szCs w:val="18"/>
                <w:lang w:val="en-GB"/>
              </w:rPr>
            </w:pPr>
            <w:r>
              <w:rPr>
                <w:rFonts w:ascii="Arial" w:eastAsia="Arial Unicode MS" w:hAnsi="Arial" w:cs="Arial"/>
                <w:sz w:val="18"/>
                <w:szCs w:val="18"/>
                <w:lang w:val="en-GB" w:eastAsia="bg-BG"/>
              </w:rPr>
              <w:t>315</w:t>
            </w:r>
          </w:p>
        </w:tc>
        <w:tc>
          <w:tcPr>
            <w:tcW w:w="141" w:type="dxa"/>
            <w:tcBorders>
              <w:top w:val="nil"/>
              <w:left w:val="nil"/>
              <w:bottom w:val="nil"/>
              <w:right w:val="nil"/>
            </w:tcBorders>
            <w:noWrap/>
            <w:vAlign w:val="center"/>
          </w:tcPr>
          <w:p w14:paraId="19919B41" w14:textId="77777777" w:rsidR="002C0132" w:rsidRPr="00BC2D1E" w:rsidRDefault="002C0132" w:rsidP="002C0132">
            <w:pPr>
              <w:spacing w:line="240" w:lineRule="auto"/>
              <w:jc w:val="right"/>
              <w:rPr>
                <w:rFonts w:ascii="Arial" w:eastAsia="Arial Unicode MS" w:hAnsi="Arial" w:cs="Arial"/>
                <w:sz w:val="18"/>
                <w:szCs w:val="18"/>
                <w:lang w:val="en-GB"/>
              </w:rPr>
            </w:pPr>
          </w:p>
        </w:tc>
        <w:tc>
          <w:tcPr>
            <w:tcW w:w="1134" w:type="dxa"/>
            <w:tcBorders>
              <w:top w:val="nil"/>
              <w:left w:val="nil"/>
              <w:bottom w:val="nil"/>
              <w:right w:val="nil"/>
            </w:tcBorders>
            <w:noWrap/>
            <w:vAlign w:val="center"/>
          </w:tcPr>
          <w:p w14:paraId="01FDBA06" w14:textId="37ADE20F" w:rsidR="002C0132" w:rsidRPr="00BC2D1E" w:rsidRDefault="002C0132" w:rsidP="002C0132">
            <w:pPr>
              <w:spacing w:line="240" w:lineRule="auto"/>
              <w:ind w:right="122"/>
              <w:jc w:val="right"/>
              <w:rPr>
                <w:rFonts w:ascii="Arial" w:eastAsia="Arial Unicode MS" w:hAnsi="Arial" w:cs="Arial"/>
                <w:sz w:val="18"/>
                <w:szCs w:val="18"/>
                <w:lang w:val="en-GB"/>
              </w:rPr>
            </w:pPr>
            <w:r>
              <w:rPr>
                <w:rFonts w:ascii="Arial" w:eastAsia="Arial Unicode MS" w:hAnsi="Arial" w:cs="Arial"/>
                <w:sz w:val="18"/>
                <w:szCs w:val="18"/>
                <w:lang w:val="en-GB" w:eastAsia="bg-BG"/>
              </w:rPr>
              <w:t>-</w:t>
            </w:r>
          </w:p>
        </w:tc>
        <w:tc>
          <w:tcPr>
            <w:tcW w:w="142" w:type="dxa"/>
            <w:tcBorders>
              <w:top w:val="nil"/>
              <w:left w:val="nil"/>
              <w:bottom w:val="nil"/>
              <w:right w:val="nil"/>
            </w:tcBorders>
            <w:noWrap/>
            <w:vAlign w:val="center"/>
          </w:tcPr>
          <w:p w14:paraId="7DD62E80" w14:textId="77777777" w:rsidR="002C0132" w:rsidRPr="00BC2D1E" w:rsidRDefault="002C0132" w:rsidP="002C0132">
            <w:pPr>
              <w:spacing w:line="240" w:lineRule="auto"/>
              <w:ind w:right="122"/>
              <w:jc w:val="right"/>
              <w:rPr>
                <w:rFonts w:ascii="Arial" w:eastAsia="Arial Unicode MS" w:hAnsi="Arial" w:cs="Arial"/>
                <w:sz w:val="18"/>
                <w:szCs w:val="18"/>
                <w:lang w:val="en-GB"/>
              </w:rPr>
            </w:pPr>
          </w:p>
        </w:tc>
        <w:tc>
          <w:tcPr>
            <w:tcW w:w="1559" w:type="dxa"/>
            <w:tcBorders>
              <w:top w:val="nil"/>
              <w:left w:val="nil"/>
              <w:bottom w:val="nil"/>
              <w:right w:val="nil"/>
            </w:tcBorders>
            <w:noWrap/>
            <w:vAlign w:val="center"/>
          </w:tcPr>
          <w:p w14:paraId="1CC2D8CB" w14:textId="626292C9" w:rsidR="002C0132" w:rsidRPr="00BC2D1E" w:rsidRDefault="002C0132" w:rsidP="002C0132">
            <w:pPr>
              <w:spacing w:line="240" w:lineRule="auto"/>
              <w:ind w:right="122"/>
              <w:jc w:val="right"/>
              <w:rPr>
                <w:rFonts w:ascii="Arial" w:eastAsia="Arial Unicode MS" w:hAnsi="Arial" w:cs="Arial"/>
                <w:sz w:val="18"/>
                <w:szCs w:val="18"/>
                <w:lang w:val="en-GB"/>
              </w:rPr>
            </w:pPr>
            <w:r>
              <w:rPr>
                <w:rFonts w:ascii="Arial" w:eastAsia="Arial Unicode MS" w:hAnsi="Arial" w:cs="Arial"/>
                <w:sz w:val="18"/>
                <w:szCs w:val="18"/>
                <w:lang w:val="en-GB" w:eastAsia="bg-BG"/>
              </w:rPr>
              <w:t>-</w:t>
            </w:r>
          </w:p>
        </w:tc>
        <w:tc>
          <w:tcPr>
            <w:tcW w:w="142" w:type="dxa"/>
            <w:tcBorders>
              <w:top w:val="nil"/>
              <w:left w:val="nil"/>
              <w:bottom w:val="nil"/>
              <w:right w:val="nil"/>
            </w:tcBorders>
            <w:vAlign w:val="center"/>
          </w:tcPr>
          <w:p w14:paraId="7A03AAB3" w14:textId="77777777" w:rsidR="002C0132" w:rsidRPr="00BC2D1E" w:rsidRDefault="002C0132" w:rsidP="002C0132">
            <w:pPr>
              <w:spacing w:line="240" w:lineRule="auto"/>
              <w:ind w:right="122"/>
              <w:jc w:val="right"/>
              <w:rPr>
                <w:rFonts w:ascii="Arial" w:eastAsia="Arial Unicode MS" w:hAnsi="Arial" w:cs="Arial"/>
                <w:sz w:val="18"/>
                <w:szCs w:val="18"/>
                <w:lang w:val="en-GB"/>
              </w:rPr>
            </w:pPr>
          </w:p>
        </w:tc>
        <w:tc>
          <w:tcPr>
            <w:tcW w:w="1134" w:type="dxa"/>
            <w:tcBorders>
              <w:top w:val="nil"/>
              <w:left w:val="nil"/>
              <w:bottom w:val="nil"/>
              <w:right w:val="nil"/>
            </w:tcBorders>
            <w:tcMar>
              <w:top w:w="0" w:type="dxa"/>
              <w:left w:w="15" w:type="dxa"/>
              <w:bottom w:w="0" w:type="dxa"/>
              <w:right w:w="15" w:type="dxa"/>
            </w:tcMar>
            <w:vAlign w:val="center"/>
          </w:tcPr>
          <w:p w14:paraId="79B895C0" w14:textId="51A836FA" w:rsidR="002C0132" w:rsidRPr="00BC2D1E" w:rsidRDefault="002C0132" w:rsidP="002C0132">
            <w:pPr>
              <w:spacing w:line="240" w:lineRule="auto"/>
              <w:ind w:right="122"/>
              <w:jc w:val="right"/>
              <w:rPr>
                <w:rFonts w:ascii="Arial" w:eastAsia="Arial Unicode MS" w:hAnsi="Arial" w:cs="Arial"/>
                <w:sz w:val="18"/>
                <w:szCs w:val="18"/>
                <w:lang w:val="en-GB"/>
              </w:rPr>
            </w:pPr>
            <w:r>
              <w:rPr>
                <w:rFonts w:ascii="Arial" w:eastAsia="Arial Unicode MS" w:hAnsi="Arial" w:cs="Arial"/>
                <w:sz w:val="18"/>
                <w:szCs w:val="18"/>
                <w:lang w:val="en-GB" w:eastAsia="bg-BG"/>
              </w:rPr>
              <w:t>315</w:t>
            </w:r>
          </w:p>
        </w:tc>
      </w:tr>
      <w:tr w:rsidR="002C0132" w:rsidRPr="00721663" w14:paraId="023F8D97" w14:textId="77777777" w:rsidTr="00551604">
        <w:trPr>
          <w:trHeight w:hRule="exact" w:val="329"/>
        </w:trPr>
        <w:tc>
          <w:tcPr>
            <w:tcW w:w="2410" w:type="dxa"/>
            <w:tcBorders>
              <w:top w:val="nil"/>
              <w:left w:val="nil"/>
              <w:bottom w:val="nil"/>
              <w:right w:val="nil"/>
            </w:tcBorders>
            <w:noWrap/>
            <w:tcMar>
              <w:top w:w="0" w:type="dxa"/>
              <w:left w:w="15" w:type="dxa"/>
              <w:bottom w:w="0" w:type="dxa"/>
              <w:right w:w="15" w:type="dxa"/>
            </w:tcMar>
            <w:vAlign w:val="center"/>
          </w:tcPr>
          <w:p w14:paraId="2FE5EC40" w14:textId="77777777" w:rsidR="002C0132" w:rsidRPr="00721663" w:rsidRDefault="002C0132" w:rsidP="002C0132">
            <w:pPr>
              <w:spacing w:line="240" w:lineRule="auto"/>
              <w:jc w:val="left"/>
              <w:rPr>
                <w:rFonts w:ascii="Arial" w:eastAsia="Arial Unicode MS" w:hAnsi="Arial" w:cs="Arial"/>
                <w:b/>
                <w:bCs/>
                <w:sz w:val="18"/>
                <w:szCs w:val="18"/>
                <w:lang w:val="bg-BG"/>
              </w:rPr>
            </w:pPr>
          </w:p>
        </w:tc>
        <w:tc>
          <w:tcPr>
            <w:tcW w:w="142" w:type="dxa"/>
            <w:tcBorders>
              <w:top w:val="nil"/>
              <w:left w:val="nil"/>
              <w:bottom w:val="nil"/>
              <w:right w:val="nil"/>
            </w:tcBorders>
            <w:noWrap/>
            <w:tcMar>
              <w:top w:w="0" w:type="dxa"/>
              <w:left w:w="15" w:type="dxa"/>
              <w:bottom w:w="0" w:type="dxa"/>
              <w:right w:w="15" w:type="dxa"/>
            </w:tcMar>
            <w:vAlign w:val="bottom"/>
          </w:tcPr>
          <w:p w14:paraId="22A522D3" w14:textId="77777777" w:rsidR="002C0132" w:rsidRPr="00721663" w:rsidRDefault="002C0132" w:rsidP="002C0132">
            <w:pPr>
              <w:spacing w:line="240" w:lineRule="auto"/>
              <w:rPr>
                <w:rFonts w:ascii="Arial" w:eastAsia="Arial Unicode MS" w:hAnsi="Arial" w:cs="Arial"/>
                <w:sz w:val="18"/>
                <w:szCs w:val="18"/>
                <w:lang w:val="bg-BG"/>
              </w:rPr>
            </w:pPr>
          </w:p>
        </w:tc>
        <w:tc>
          <w:tcPr>
            <w:tcW w:w="1276"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3435CEBF" w14:textId="0AD61FBA" w:rsidR="002C0132" w:rsidRPr="00BC2D1E" w:rsidRDefault="002C0132" w:rsidP="002C0132">
            <w:pPr>
              <w:spacing w:line="240" w:lineRule="auto"/>
              <w:ind w:right="127"/>
              <w:jc w:val="right"/>
              <w:rPr>
                <w:rFonts w:ascii="Arial" w:eastAsia="Arial Unicode MS" w:hAnsi="Arial" w:cs="Arial"/>
                <w:b/>
                <w:bCs/>
                <w:sz w:val="18"/>
                <w:szCs w:val="18"/>
                <w:lang w:val="en-GB"/>
              </w:rPr>
            </w:pPr>
            <w:r>
              <w:rPr>
                <w:rFonts w:ascii="Arial" w:eastAsia="Arial Unicode MS" w:hAnsi="Arial" w:cs="Arial"/>
                <w:b/>
                <w:bCs/>
                <w:sz w:val="18"/>
                <w:szCs w:val="18"/>
                <w:lang w:val="en-GB" w:eastAsia="bg-BG"/>
              </w:rPr>
              <w:t>921</w:t>
            </w:r>
          </w:p>
        </w:tc>
        <w:tc>
          <w:tcPr>
            <w:tcW w:w="141" w:type="dxa"/>
            <w:tcBorders>
              <w:top w:val="nil"/>
              <w:left w:val="nil"/>
              <w:bottom w:val="nil"/>
              <w:right w:val="nil"/>
            </w:tcBorders>
            <w:noWrap/>
            <w:tcMar>
              <w:top w:w="0" w:type="dxa"/>
              <w:left w:w="15" w:type="dxa"/>
              <w:bottom w:w="0" w:type="dxa"/>
              <w:right w:w="15" w:type="dxa"/>
            </w:tcMar>
            <w:vAlign w:val="center"/>
          </w:tcPr>
          <w:p w14:paraId="0F4943EA" w14:textId="77777777" w:rsidR="002C0132" w:rsidRPr="00BC2D1E" w:rsidRDefault="002C0132" w:rsidP="002C0132">
            <w:pPr>
              <w:spacing w:line="240" w:lineRule="auto"/>
              <w:jc w:val="right"/>
              <w:rPr>
                <w:rFonts w:ascii="Arial" w:eastAsia="Arial Unicode MS" w:hAnsi="Arial" w:cs="Arial"/>
                <w:b/>
                <w:bCs/>
                <w:sz w:val="18"/>
                <w:szCs w:val="18"/>
                <w:lang w:val="en-GB"/>
              </w:rPr>
            </w:pPr>
          </w:p>
        </w:tc>
        <w:tc>
          <w:tcPr>
            <w:tcW w:w="1134"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08BF2946" w14:textId="35CAA59A" w:rsidR="002C0132" w:rsidRPr="00BC2D1E" w:rsidRDefault="002C0132" w:rsidP="002C0132">
            <w:pPr>
              <w:spacing w:line="240" w:lineRule="auto"/>
              <w:ind w:right="122"/>
              <w:jc w:val="right"/>
              <w:rPr>
                <w:rFonts w:ascii="Arial" w:eastAsia="Arial Unicode MS" w:hAnsi="Arial" w:cs="Arial"/>
                <w:b/>
                <w:sz w:val="18"/>
                <w:szCs w:val="18"/>
                <w:lang w:val="en-GB"/>
              </w:rPr>
            </w:pPr>
            <w:r>
              <w:rPr>
                <w:rFonts w:ascii="Arial" w:eastAsia="Arial Unicode MS" w:hAnsi="Arial" w:cs="Arial"/>
                <w:b/>
                <w:sz w:val="18"/>
                <w:szCs w:val="18"/>
                <w:lang w:val="en-GB" w:eastAsia="bg-BG"/>
              </w:rPr>
              <w:t>6,743</w:t>
            </w:r>
          </w:p>
        </w:tc>
        <w:tc>
          <w:tcPr>
            <w:tcW w:w="142" w:type="dxa"/>
            <w:tcBorders>
              <w:top w:val="nil"/>
              <w:left w:val="nil"/>
              <w:bottom w:val="nil"/>
              <w:right w:val="nil"/>
            </w:tcBorders>
            <w:noWrap/>
            <w:tcMar>
              <w:top w:w="0" w:type="dxa"/>
              <w:left w:w="15" w:type="dxa"/>
              <w:bottom w:w="0" w:type="dxa"/>
              <w:right w:w="15" w:type="dxa"/>
            </w:tcMar>
            <w:vAlign w:val="center"/>
          </w:tcPr>
          <w:p w14:paraId="289F1DED" w14:textId="77777777" w:rsidR="002C0132" w:rsidRPr="00BC2D1E" w:rsidRDefault="002C0132" w:rsidP="002C0132">
            <w:pPr>
              <w:spacing w:line="240" w:lineRule="auto"/>
              <w:ind w:right="122"/>
              <w:jc w:val="right"/>
              <w:rPr>
                <w:rFonts w:ascii="Arial" w:eastAsia="Arial Unicode MS" w:hAnsi="Arial" w:cs="Arial"/>
                <w:b/>
                <w:sz w:val="18"/>
                <w:szCs w:val="18"/>
                <w:lang w:val="en-GB"/>
              </w:rPr>
            </w:pPr>
          </w:p>
        </w:tc>
        <w:tc>
          <w:tcPr>
            <w:tcW w:w="1559"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7B4BC91D" w14:textId="3EF69AD5" w:rsidR="002C0132" w:rsidRPr="00BC2D1E" w:rsidRDefault="002C0132" w:rsidP="002C0132">
            <w:pPr>
              <w:spacing w:line="240" w:lineRule="auto"/>
              <w:ind w:right="122"/>
              <w:jc w:val="right"/>
              <w:rPr>
                <w:rFonts w:ascii="Arial" w:eastAsia="Arial Unicode MS" w:hAnsi="Arial" w:cs="Arial"/>
                <w:b/>
                <w:sz w:val="18"/>
                <w:szCs w:val="18"/>
                <w:lang w:val="en-GB"/>
              </w:rPr>
            </w:pPr>
            <w:r>
              <w:rPr>
                <w:rFonts w:ascii="Arial" w:eastAsia="Arial Unicode MS" w:hAnsi="Arial" w:cs="Arial"/>
                <w:b/>
                <w:sz w:val="18"/>
                <w:szCs w:val="18"/>
                <w:lang w:val="en-GB" w:eastAsia="bg-BG"/>
              </w:rPr>
              <w:t>19,137</w:t>
            </w:r>
          </w:p>
        </w:tc>
        <w:tc>
          <w:tcPr>
            <w:tcW w:w="142" w:type="dxa"/>
            <w:tcBorders>
              <w:left w:val="nil"/>
              <w:right w:val="nil"/>
            </w:tcBorders>
            <w:vAlign w:val="center"/>
          </w:tcPr>
          <w:p w14:paraId="256F4A55" w14:textId="77777777" w:rsidR="002C0132" w:rsidRPr="00BC2D1E" w:rsidRDefault="002C0132" w:rsidP="002C0132">
            <w:pPr>
              <w:spacing w:line="240" w:lineRule="auto"/>
              <w:ind w:right="127"/>
              <w:jc w:val="right"/>
              <w:rPr>
                <w:rFonts w:ascii="Arial" w:eastAsia="Arial Unicode MS" w:hAnsi="Arial" w:cs="Arial"/>
                <w:b/>
                <w:bCs/>
                <w:sz w:val="18"/>
                <w:szCs w:val="18"/>
                <w:lang w:val="en-GB"/>
              </w:rPr>
            </w:pPr>
          </w:p>
        </w:tc>
        <w:tc>
          <w:tcPr>
            <w:tcW w:w="1134" w:type="dxa"/>
            <w:tcBorders>
              <w:top w:val="single" w:sz="4" w:space="0" w:color="auto"/>
              <w:left w:val="nil"/>
              <w:bottom w:val="double" w:sz="4" w:space="0" w:color="auto"/>
              <w:right w:val="nil"/>
            </w:tcBorders>
            <w:tcMar>
              <w:top w:w="15" w:type="dxa"/>
              <w:left w:w="15" w:type="dxa"/>
              <w:bottom w:w="0" w:type="dxa"/>
              <w:right w:w="15" w:type="dxa"/>
            </w:tcMar>
            <w:vAlign w:val="center"/>
          </w:tcPr>
          <w:p w14:paraId="39836ED4" w14:textId="019A970B" w:rsidR="002C0132" w:rsidRPr="00BC2D1E" w:rsidRDefault="002C0132" w:rsidP="002C0132">
            <w:pPr>
              <w:spacing w:line="240" w:lineRule="auto"/>
              <w:ind w:right="127"/>
              <w:jc w:val="right"/>
              <w:rPr>
                <w:rFonts w:ascii="Arial" w:eastAsia="Arial Unicode MS" w:hAnsi="Arial" w:cs="Arial"/>
                <w:b/>
                <w:bCs/>
                <w:sz w:val="18"/>
                <w:szCs w:val="18"/>
                <w:lang w:val="en-GB"/>
              </w:rPr>
            </w:pPr>
            <w:r>
              <w:rPr>
                <w:rFonts w:ascii="Arial" w:eastAsia="Arial Unicode MS" w:hAnsi="Arial" w:cs="Arial"/>
                <w:b/>
                <w:bCs/>
                <w:sz w:val="18"/>
                <w:szCs w:val="18"/>
                <w:lang w:val="en-GB" w:eastAsia="bg-BG"/>
              </w:rPr>
              <w:t>26,801</w:t>
            </w:r>
          </w:p>
        </w:tc>
      </w:tr>
    </w:tbl>
    <w:p w14:paraId="5B2793C6" w14:textId="77777777" w:rsidR="00E07C4E" w:rsidRPr="00721663" w:rsidRDefault="00E07C4E" w:rsidP="00144930">
      <w:pPr>
        <w:rPr>
          <w:lang w:val="bg-BG"/>
        </w:rPr>
      </w:pPr>
    </w:p>
    <w:p w14:paraId="185CFC6F" w14:textId="77777777" w:rsidR="00E07C4E" w:rsidRPr="00721663" w:rsidRDefault="00E07C4E" w:rsidP="00E07C4E">
      <w:pPr>
        <w:pStyle w:val="Heading2"/>
        <w:tabs>
          <w:tab w:val="left" w:pos="227"/>
          <w:tab w:val="left" w:pos="454"/>
          <w:tab w:val="left" w:pos="680"/>
          <w:tab w:val="left" w:pos="907"/>
        </w:tabs>
        <w:spacing w:before="60" w:after="120"/>
        <w:jc w:val="left"/>
        <w:rPr>
          <w:rFonts w:ascii="Arial" w:hAnsi="Arial" w:cs="Arial"/>
          <w:sz w:val="18"/>
          <w:szCs w:val="18"/>
          <w:lang w:val="bg-BG"/>
        </w:rPr>
      </w:pPr>
      <w:r w:rsidRPr="00721663">
        <w:rPr>
          <w:rFonts w:ascii="Arial" w:hAnsi="Arial" w:cs="Arial"/>
          <w:sz w:val="18"/>
          <w:szCs w:val="18"/>
          <w:lang w:val="bg-BG"/>
        </w:rPr>
        <w:t>Управление на капитала</w:t>
      </w:r>
    </w:p>
    <w:p w14:paraId="424CEF36" w14:textId="77777777" w:rsidR="00E07C4E" w:rsidRPr="00721663" w:rsidRDefault="00E07C4E" w:rsidP="00E07C4E">
      <w:pPr>
        <w:pStyle w:val="Notesbodytext"/>
        <w:spacing w:line="240" w:lineRule="atLeast"/>
        <w:rPr>
          <w:rFonts w:ascii="Arial" w:hAnsi="Arial"/>
          <w:lang w:val="bg-BG"/>
        </w:rPr>
      </w:pPr>
      <w:r w:rsidRPr="00721663">
        <w:rPr>
          <w:rFonts w:ascii="Arial" w:hAnsi="Arial"/>
          <w:lang w:val="bg-BG"/>
        </w:rPr>
        <w:t>Основната цел на управлението на капитала на Групата е да осигури стабилни капиталови показатели, с оглед продължаващото функциониране на бизнеса и максимизиране на стойността му за собствениците.</w:t>
      </w:r>
    </w:p>
    <w:p w14:paraId="1C81CFFF" w14:textId="381D3492" w:rsidR="00E07C4E" w:rsidRPr="00721663" w:rsidRDefault="00E07C4E" w:rsidP="00E07C4E">
      <w:pPr>
        <w:pStyle w:val="Notesbodytext"/>
        <w:spacing w:line="240" w:lineRule="atLeast"/>
        <w:rPr>
          <w:rFonts w:ascii="Arial" w:hAnsi="Arial"/>
          <w:lang w:val="bg-BG"/>
        </w:rPr>
      </w:pPr>
      <w:r w:rsidRPr="00721663">
        <w:rPr>
          <w:rFonts w:ascii="Arial" w:hAnsi="Arial"/>
          <w:lang w:val="bg-BG"/>
        </w:rPr>
        <w:t xml:space="preserve">Следващата таблица представя коефициента на задлъжнялост на база на капиталовата структура към </w:t>
      </w:r>
      <w:r w:rsidR="00144930">
        <w:rPr>
          <w:rFonts w:ascii="Arial" w:hAnsi="Arial"/>
          <w:lang w:val="bg-BG"/>
        </w:rPr>
        <w:t>30 юни 2017</w:t>
      </w:r>
      <w:r w:rsidRPr="00721663">
        <w:rPr>
          <w:rFonts w:ascii="Arial" w:hAnsi="Arial"/>
          <w:lang w:val="bg-BG"/>
        </w:rPr>
        <w:t xml:space="preserve"> и </w:t>
      </w:r>
      <w:r w:rsidR="00144930">
        <w:rPr>
          <w:rFonts w:ascii="Arial" w:hAnsi="Arial"/>
          <w:lang w:val="bg-BG"/>
        </w:rPr>
        <w:t>31 декември 2016</w:t>
      </w:r>
      <w:r w:rsidRPr="00721663">
        <w:rPr>
          <w:rFonts w:ascii="Arial" w:hAnsi="Arial"/>
          <w:lang w:val="bg-BG"/>
        </w:rPr>
        <w:t xml:space="preserve"> г.:</w:t>
      </w:r>
    </w:p>
    <w:tbl>
      <w:tblPr>
        <w:tblW w:w="7670" w:type="dxa"/>
        <w:tblInd w:w="-15" w:type="dxa"/>
        <w:tblCellMar>
          <w:left w:w="0" w:type="dxa"/>
          <w:right w:w="0" w:type="dxa"/>
        </w:tblCellMar>
        <w:tblLook w:val="0000" w:firstRow="0" w:lastRow="0" w:firstColumn="0" w:lastColumn="0" w:noHBand="0" w:noVBand="0"/>
      </w:tblPr>
      <w:tblGrid>
        <w:gridCol w:w="4529"/>
        <w:gridCol w:w="1390"/>
        <w:gridCol w:w="134"/>
        <w:gridCol w:w="1617"/>
      </w:tblGrid>
      <w:tr w:rsidR="00E07C4E" w:rsidRPr="00721663" w14:paraId="57CF00E9" w14:textId="77777777" w:rsidTr="00551604">
        <w:trPr>
          <w:trHeight w:val="300"/>
        </w:trPr>
        <w:tc>
          <w:tcPr>
            <w:tcW w:w="4529" w:type="dxa"/>
            <w:tcBorders>
              <w:top w:val="nil"/>
              <w:left w:val="nil"/>
              <w:bottom w:val="nil"/>
              <w:right w:val="nil"/>
            </w:tcBorders>
          </w:tcPr>
          <w:p w14:paraId="3B153A43" w14:textId="77777777" w:rsidR="00E07C4E" w:rsidRPr="00721663" w:rsidRDefault="00E07C4E" w:rsidP="00551604">
            <w:pPr>
              <w:spacing w:line="240" w:lineRule="auto"/>
              <w:rPr>
                <w:rFonts w:ascii="Arial" w:eastAsia="Arial Unicode MS" w:hAnsi="Arial" w:cs="Arial"/>
                <w:sz w:val="18"/>
                <w:szCs w:val="18"/>
                <w:lang w:val="bg-BG"/>
              </w:rPr>
            </w:pPr>
          </w:p>
        </w:tc>
        <w:tc>
          <w:tcPr>
            <w:tcW w:w="1390" w:type="dxa"/>
            <w:tcBorders>
              <w:top w:val="nil"/>
              <w:left w:val="nil"/>
              <w:bottom w:val="single" w:sz="4" w:space="0" w:color="auto"/>
              <w:right w:val="nil"/>
            </w:tcBorders>
            <w:vAlign w:val="bottom"/>
          </w:tcPr>
          <w:p w14:paraId="3868E0E6" w14:textId="52FFED28" w:rsidR="00E07C4E" w:rsidRPr="00721663" w:rsidRDefault="00144930" w:rsidP="00551604">
            <w:pPr>
              <w:ind w:right="142"/>
              <w:jc w:val="right"/>
              <w:rPr>
                <w:rFonts w:ascii="Arial" w:hAnsi="Arial" w:cs="Arial"/>
                <w:b/>
                <w:bCs/>
                <w:sz w:val="18"/>
                <w:szCs w:val="18"/>
                <w:lang w:val="bg-BG"/>
              </w:rPr>
            </w:pPr>
            <w:r>
              <w:rPr>
                <w:rFonts w:ascii="Arial" w:hAnsi="Arial" w:cs="Arial"/>
                <w:b/>
                <w:bCs/>
                <w:sz w:val="18"/>
                <w:szCs w:val="18"/>
                <w:lang w:val="bg-BG"/>
              </w:rPr>
              <w:t>30 юни 2017</w:t>
            </w:r>
          </w:p>
        </w:tc>
        <w:tc>
          <w:tcPr>
            <w:tcW w:w="134" w:type="dxa"/>
            <w:tcBorders>
              <w:top w:val="nil"/>
              <w:left w:val="nil"/>
              <w:right w:val="nil"/>
            </w:tcBorders>
            <w:vAlign w:val="center"/>
          </w:tcPr>
          <w:p w14:paraId="2A88B91D" w14:textId="77777777" w:rsidR="00E07C4E" w:rsidRPr="00721663" w:rsidRDefault="00E07C4E" w:rsidP="00551604">
            <w:pPr>
              <w:ind w:right="142"/>
              <w:jc w:val="right"/>
              <w:rPr>
                <w:rFonts w:ascii="Arial" w:hAnsi="Arial" w:cs="Arial"/>
                <w:b/>
                <w:bCs/>
                <w:sz w:val="18"/>
                <w:szCs w:val="18"/>
                <w:lang w:val="bg-BG"/>
              </w:rPr>
            </w:pPr>
          </w:p>
        </w:tc>
        <w:tc>
          <w:tcPr>
            <w:tcW w:w="1617" w:type="dxa"/>
            <w:tcBorders>
              <w:top w:val="nil"/>
              <w:left w:val="nil"/>
              <w:bottom w:val="single" w:sz="4" w:space="0" w:color="auto"/>
              <w:right w:val="nil"/>
            </w:tcBorders>
            <w:vAlign w:val="bottom"/>
          </w:tcPr>
          <w:p w14:paraId="5A32540B" w14:textId="0527D88A" w:rsidR="00E07C4E" w:rsidRPr="00721663" w:rsidRDefault="00144930" w:rsidP="00551604">
            <w:pPr>
              <w:ind w:right="142"/>
              <w:jc w:val="right"/>
              <w:rPr>
                <w:rFonts w:ascii="Arial" w:hAnsi="Arial" w:cs="Arial"/>
                <w:b/>
                <w:bCs/>
                <w:sz w:val="18"/>
                <w:szCs w:val="18"/>
                <w:lang w:val="bg-BG"/>
              </w:rPr>
            </w:pPr>
            <w:r>
              <w:rPr>
                <w:rFonts w:ascii="Arial" w:hAnsi="Arial" w:cs="Arial"/>
                <w:b/>
                <w:bCs/>
                <w:sz w:val="18"/>
                <w:szCs w:val="18"/>
                <w:lang w:val="bg-BG"/>
              </w:rPr>
              <w:t>31 декември 2016</w:t>
            </w:r>
          </w:p>
        </w:tc>
      </w:tr>
      <w:tr w:rsidR="00E07C4E" w:rsidRPr="00721663" w14:paraId="18B378C6" w14:textId="77777777" w:rsidTr="00551604">
        <w:trPr>
          <w:trHeight w:hRule="exact" w:val="284"/>
        </w:trPr>
        <w:tc>
          <w:tcPr>
            <w:tcW w:w="4529" w:type="dxa"/>
            <w:tcBorders>
              <w:top w:val="nil"/>
              <w:left w:val="nil"/>
              <w:bottom w:val="nil"/>
              <w:right w:val="nil"/>
            </w:tcBorders>
          </w:tcPr>
          <w:p w14:paraId="3B62DF75" w14:textId="77777777" w:rsidR="00E07C4E" w:rsidRPr="00721663" w:rsidRDefault="00E07C4E" w:rsidP="00551604">
            <w:pPr>
              <w:spacing w:line="240" w:lineRule="auto"/>
              <w:rPr>
                <w:rFonts w:ascii="Arial" w:eastAsia="Arial Unicode MS" w:hAnsi="Arial" w:cs="Arial"/>
                <w:sz w:val="18"/>
                <w:szCs w:val="18"/>
                <w:lang w:val="bg-BG"/>
              </w:rPr>
            </w:pPr>
          </w:p>
        </w:tc>
        <w:tc>
          <w:tcPr>
            <w:tcW w:w="1390" w:type="dxa"/>
            <w:tcBorders>
              <w:top w:val="single" w:sz="4" w:space="0" w:color="auto"/>
              <w:left w:val="nil"/>
              <w:right w:val="nil"/>
            </w:tcBorders>
            <w:vAlign w:val="bottom"/>
          </w:tcPr>
          <w:p w14:paraId="5B236C29"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c>
          <w:tcPr>
            <w:tcW w:w="134" w:type="dxa"/>
            <w:tcBorders>
              <w:left w:val="nil"/>
              <w:right w:val="nil"/>
            </w:tcBorders>
            <w:vAlign w:val="bottom"/>
          </w:tcPr>
          <w:p w14:paraId="78F946DE"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617" w:type="dxa"/>
            <w:tcBorders>
              <w:top w:val="single" w:sz="4" w:space="0" w:color="auto"/>
              <w:left w:val="nil"/>
              <w:right w:val="nil"/>
            </w:tcBorders>
            <w:vAlign w:val="bottom"/>
          </w:tcPr>
          <w:p w14:paraId="0E20BB05" w14:textId="77777777" w:rsidR="00E07C4E" w:rsidRPr="00721663" w:rsidRDefault="00E07C4E" w:rsidP="00551604">
            <w:pPr>
              <w:spacing w:line="240" w:lineRule="auto"/>
              <w:jc w:val="right"/>
              <w:rPr>
                <w:rFonts w:ascii="Arial" w:eastAsia="Arial Unicode MS" w:hAnsi="Arial" w:cs="Arial"/>
                <w:b/>
                <w:sz w:val="18"/>
                <w:szCs w:val="18"/>
                <w:lang w:val="bg-BG"/>
              </w:rPr>
            </w:pPr>
            <w:r w:rsidRPr="00721663">
              <w:rPr>
                <w:rFonts w:ascii="Arial" w:eastAsia="Arial Unicode MS" w:hAnsi="Arial" w:cs="Arial"/>
                <w:b/>
                <w:sz w:val="18"/>
                <w:szCs w:val="18"/>
                <w:lang w:val="bg-BG"/>
              </w:rPr>
              <w:t>хил. лв.</w:t>
            </w:r>
          </w:p>
        </w:tc>
      </w:tr>
      <w:tr w:rsidR="00E07C4E" w:rsidRPr="00721663" w14:paraId="296D705F" w14:textId="77777777" w:rsidTr="00551604">
        <w:trPr>
          <w:trHeight w:hRule="exact" w:val="170"/>
        </w:trPr>
        <w:tc>
          <w:tcPr>
            <w:tcW w:w="4529" w:type="dxa"/>
            <w:tcBorders>
              <w:top w:val="nil"/>
              <w:left w:val="nil"/>
              <w:bottom w:val="nil"/>
              <w:right w:val="nil"/>
            </w:tcBorders>
          </w:tcPr>
          <w:p w14:paraId="382D021F" w14:textId="77777777" w:rsidR="00E07C4E" w:rsidRPr="00721663" w:rsidRDefault="00E07C4E" w:rsidP="00551604">
            <w:pPr>
              <w:spacing w:line="240" w:lineRule="auto"/>
              <w:rPr>
                <w:rFonts w:ascii="Arial" w:eastAsia="Arial Unicode MS" w:hAnsi="Arial" w:cs="Arial"/>
                <w:sz w:val="18"/>
                <w:szCs w:val="18"/>
                <w:lang w:val="bg-BG"/>
              </w:rPr>
            </w:pPr>
          </w:p>
        </w:tc>
        <w:tc>
          <w:tcPr>
            <w:tcW w:w="1390" w:type="dxa"/>
            <w:tcBorders>
              <w:left w:val="nil"/>
              <w:bottom w:val="nil"/>
              <w:right w:val="nil"/>
            </w:tcBorders>
            <w:vAlign w:val="center"/>
          </w:tcPr>
          <w:p w14:paraId="31B72FF6" w14:textId="77777777" w:rsidR="00E07C4E" w:rsidRPr="00721663" w:rsidRDefault="00E07C4E" w:rsidP="00551604">
            <w:pPr>
              <w:spacing w:line="240" w:lineRule="auto"/>
              <w:jc w:val="right"/>
              <w:rPr>
                <w:rFonts w:ascii="Arial" w:hAnsi="Arial" w:cs="Arial"/>
                <w:b/>
                <w:bCs/>
                <w:i/>
                <w:iCs/>
                <w:sz w:val="18"/>
                <w:szCs w:val="18"/>
                <w:lang w:val="bg-BG"/>
              </w:rPr>
            </w:pPr>
          </w:p>
        </w:tc>
        <w:tc>
          <w:tcPr>
            <w:tcW w:w="134" w:type="dxa"/>
            <w:tcBorders>
              <w:left w:val="nil"/>
              <w:bottom w:val="nil"/>
              <w:right w:val="nil"/>
            </w:tcBorders>
            <w:vAlign w:val="center"/>
          </w:tcPr>
          <w:p w14:paraId="5BB7BBE5" w14:textId="77777777" w:rsidR="00E07C4E" w:rsidRPr="00721663" w:rsidRDefault="00E07C4E" w:rsidP="00551604">
            <w:pPr>
              <w:spacing w:line="240" w:lineRule="auto"/>
              <w:jc w:val="right"/>
              <w:rPr>
                <w:rFonts w:ascii="Arial" w:hAnsi="Arial" w:cs="Arial"/>
                <w:b/>
                <w:bCs/>
                <w:i/>
                <w:iCs/>
                <w:sz w:val="18"/>
                <w:szCs w:val="18"/>
                <w:lang w:val="bg-BG"/>
              </w:rPr>
            </w:pPr>
          </w:p>
        </w:tc>
        <w:tc>
          <w:tcPr>
            <w:tcW w:w="1617" w:type="dxa"/>
            <w:tcBorders>
              <w:left w:val="nil"/>
              <w:bottom w:val="nil"/>
              <w:right w:val="nil"/>
            </w:tcBorders>
            <w:vAlign w:val="center"/>
          </w:tcPr>
          <w:p w14:paraId="32B01DA1" w14:textId="77777777" w:rsidR="00E07C4E" w:rsidRPr="00721663" w:rsidRDefault="00E07C4E" w:rsidP="00551604">
            <w:pPr>
              <w:spacing w:line="240" w:lineRule="auto"/>
              <w:jc w:val="right"/>
              <w:rPr>
                <w:rFonts w:ascii="Arial" w:hAnsi="Arial" w:cs="Arial"/>
                <w:b/>
                <w:bCs/>
                <w:i/>
                <w:iCs/>
                <w:sz w:val="18"/>
                <w:szCs w:val="18"/>
                <w:lang w:val="bg-BG"/>
              </w:rPr>
            </w:pPr>
          </w:p>
        </w:tc>
      </w:tr>
      <w:tr w:rsidR="00E07C4E" w:rsidRPr="00721663" w14:paraId="2E381A71" w14:textId="77777777" w:rsidTr="00551604">
        <w:trPr>
          <w:trHeight w:hRule="exact" w:val="329"/>
        </w:trPr>
        <w:tc>
          <w:tcPr>
            <w:tcW w:w="4529" w:type="dxa"/>
            <w:tcBorders>
              <w:top w:val="nil"/>
              <w:left w:val="nil"/>
              <w:bottom w:val="nil"/>
              <w:right w:val="nil"/>
            </w:tcBorders>
            <w:vAlign w:val="center"/>
          </w:tcPr>
          <w:p w14:paraId="667CBFE8" w14:textId="77777777" w:rsidR="00E07C4E" w:rsidRPr="00721663" w:rsidRDefault="00E07C4E" w:rsidP="00551604">
            <w:pPr>
              <w:spacing w:line="240" w:lineRule="auto"/>
              <w:jc w:val="left"/>
              <w:rPr>
                <w:rFonts w:ascii="Arial" w:eastAsia="Arial Unicode MS" w:hAnsi="Arial" w:cs="Arial"/>
                <w:bCs/>
                <w:i/>
                <w:iCs/>
                <w:sz w:val="18"/>
                <w:szCs w:val="18"/>
                <w:lang w:val="bg-BG"/>
              </w:rPr>
            </w:pPr>
            <w:r w:rsidRPr="00721663">
              <w:rPr>
                <w:rFonts w:ascii="Arial" w:hAnsi="Arial" w:cs="Arial"/>
                <w:bCs/>
                <w:i/>
                <w:iCs/>
                <w:sz w:val="18"/>
                <w:szCs w:val="18"/>
                <w:lang w:val="bg-BG"/>
              </w:rPr>
              <w:t xml:space="preserve">Общо дълг, включващ: </w:t>
            </w:r>
          </w:p>
        </w:tc>
        <w:tc>
          <w:tcPr>
            <w:tcW w:w="1390" w:type="dxa"/>
            <w:tcBorders>
              <w:top w:val="nil"/>
              <w:left w:val="nil"/>
              <w:bottom w:val="nil"/>
              <w:right w:val="nil"/>
            </w:tcBorders>
            <w:vAlign w:val="center"/>
          </w:tcPr>
          <w:p w14:paraId="5ADB077D"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34" w:type="dxa"/>
            <w:tcBorders>
              <w:top w:val="nil"/>
              <w:left w:val="nil"/>
              <w:bottom w:val="nil"/>
              <w:right w:val="nil"/>
            </w:tcBorders>
            <w:vAlign w:val="center"/>
          </w:tcPr>
          <w:p w14:paraId="1FBB28F1" w14:textId="77777777" w:rsidR="00E07C4E" w:rsidRPr="00721663" w:rsidRDefault="00E07C4E" w:rsidP="00551604">
            <w:pPr>
              <w:spacing w:line="240" w:lineRule="auto"/>
              <w:jc w:val="right"/>
              <w:rPr>
                <w:rFonts w:ascii="Arial" w:eastAsia="Arial Unicode MS" w:hAnsi="Arial" w:cs="Arial"/>
                <w:sz w:val="18"/>
                <w:szCs w:val="18"/>
                <w:lang w:val="bg-BG"/>
              </w:rPr>
            </w:pPr>
          </w:p>
        </w:tc>
        <w:tc>
          <w:tcPr>
            <w:tcW w:w="1617" w:type="dxa"/>
            <w:tcBorders>
              <w:top w:val="nil"/>
              <w:left w:val="nil"/>
              <w:bottom w:val="nil"/>
              <w:right w:val="nil"/>
            </w:tcBorders>
            <w:vAlign w:val="center"/>
          </w:tcPr>
          <w:p w14:paraId="6A1E79EB" w14:textId="77777777" w:rsidR="00E07C4E" w:rsidRPr="00721663" w:rsidRDefault="00E07C4E" w:rsidP="00551604">
            <w:pPr>
              <w:spacing w:line="240" w:lineRule="auto"/>
              <w:jc w:val="right"/>
              <w:rPr>
                <w:rFonts w:ascii="Arial" w:eastAsia="Arial Unicode MS" w:hAnsi="Arial" w:cs="Arial"/>
                <w:sz w:val="18"/>
                <w:szCs w:val="18"/>
                <w:lang w:val="bg-BG"/>
              </w:rPr>
            </w:pPr>
          </w:p>
        </w:tc>
      </w:tr>
      <w:tr w:rsidR="002C0132" w:rsidRPr="00721663" w14:paraId="165DAD7B" w14:textId="77777777" w:rsidTr="00551604">
        <w:trPr>
          <w:trHeight w:hRule="exact" w:val="329"/>
        </w:trPr>
        <w:tc>
          <w:tcPr>
            <w:tcW w:w="4529" w:type="dxa"/>
            <w:tcBorders>
              <w:top w:val="nil"/>
              <w:left w:val="nil"/>
              <w:bottom w:val="nil"/>
              <w:right w:val="nil"/>
            </w:tcBorders>
            <w:vAlign w:val="center"/>
          </w:tcPr>
          <w:p w14:paraId="395B345F" w14:textId="77777777" w:rsidR="002C0132" w:rsidRPr="00721663" w:rsidRDefault="002C0132" w:rsidP="002C0132">
            <w:pPr>
              <w:spacing w:line="240" w:lineRule="auto"/>
              <w:jc w:val="left"/>
              <w:rPr>
                <w:rFonts w:ascii="Arial" w:eastAsia="Arial Unicode MS" w:hAnsi="Arial" w:cs="Arial"/>
                <w:i/>
                <w:iCs/>
                <w:sz w:val="18"/>
                <w:szCs w:val="18"/>
                <w:lang w:val="bg-BG"/>
              </w:rPr>
            </w:pPr>
            <w:r w:rsidRPr="00721663">
              <w:rPr>
                <w:rFonts w:ascii="Arial" w:hAnsi="Arial" w:cs="Arial"/>
                <w:i/>
                <w:iCs/>
                <w:sz w:val="18"/>
                <w:szCs w:val="18"/>
                <w:lang w:val="bg-BG"/>
              </w:rPr>
              <w:t>Заеми от компания-майка</w:t>
            </w:r>
          </w:p>
        </w:tc>
        <w:tc>
          <w:tcPr>
            <w:tcW w:w="1390" w:type="dxa"/>
            <w:tcBorders>
              <w:top w:val="nil"/>
              <w:left w:val="nil"/>
              <w:right w:val="nil"/>
            </w:tcBorders>
            <w:vAlign w:val="center"/>
          </w:tcPr>
          <w:p w14:paraId="7AF4F9BF" w14:textId="5357465B" w:rsidR="002C0132" w:rsidRPr="00FB2FEB" w:rsidRDefault="002C0132" w:rsidP="002C0132">
            <w:pPr>
              <w:spacing w:line="240" w:lineRule="auto"/>
              <w:ind w:right="142"/>
              <w:jc w:val="right"/>
              <w:rPr>
                <w:rFonts w:ascii="Arial" w:eastAsia="Arial Unicode MS" w:hAnsi="Arial" w:cs="Arial"/>
                <w:sz w:val="18"/>
                <w:szCs w:val="18"/>
                <w:highlight w:val="yellow"/>
                <w:lang w:val="en-GB"/>
              </w:rPr>
            </w:pPr>
            <w:r>
              <w:rPr>
                <w:rFonts w:ascii="Arial" w:eastAsia="Arial Unicode MS" w:hAnsi="Arial" w:cs="Arial"/>
                <w:sz w:val="18"/>
                <w:szCs w:val="18"/>
                <w:lang w:val="en-GB" w:eastAsia="bg-BG"/>
              </w:rPr>
              <w:t>4,938</w:t>
            </w:r>
          </w:p>
        </w:tc>
        <w:tc>
          <w:tcPr>
            <w:tcW w:w="134" w:type="dxa"/>
            <w:tcBorders>
              <w:top w:val="nil"/>
              <w:left w:val="nil"/>
              <w:right w:val="nil"/>
            </w:tcBorders>
            <w:vAlign w:val="center"/>
          </w:tcPr>
          <w:p w14:paraId="231E2167" w14:textId="77777777" w:rsidR="002C0132" w:rsidRPr="00721663" w:rsidRDefault="002C0132" w:rsidP="002C0132">
            <w:pPr>
              <w:spacing w:line="240" w:lineRule="auto"/>
              <w:ind w:right="142"/>
              <w:jc w:val="right"/>
              <w:rPr>
                <w:rFonts w:ascii="Arial" w:eastAsia="Arial Unicode MS" w:hAnsi="Arial" w:cs="Arial"/>
                <w:sz w:val="18"/>
                <w:szCs w:val="18"/>
                <w:lang w:val="bg-BG"/>
              </w:rPr>
            </w:pPr>
          </w:p>
        </w:tc>
        <w:tc>
          <w:tcPr>
            <w:tcW w:w="1617" w:type="dxa"/>
            <w:tcBorders>
              <w:top w:val="nil"/>
              <w:left w:val="nil"/>
              <w:right w:val="nil"/>
            </w:tcBorders>
            <w:vAlign w:val="center"/>
          </w:tcPr>
          <w:p w14:paraId="55F44090" w14:textId="79AC93C2" w:rsidR="002C0132" w:rsidRPr="00BC2D1E" w:rsidRDefault="002C0132" w:rsidP="002C0132">
            <w:pPr>
              <w:spacing w:line="240" w:lineRule="auto"/>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4,862</w:t>
            </w:r>
          </w:p>
        </w:tc>
      </w:tr>
      <w:tr w:rsidR="002C0132" w:rsidRPr="00721663" w14:paraId="17E478F4" w14:textId="77777777" w:rsidTr="00551604">
        <w:trPr>
          <w:trHeight w:hRule="exact" w:val="329"/>
        </w:trPr>
        <w:tc>
          <w:tcPr>
            <w:tcW w:w="4529" w:type="dxa"/>
            <w:tcBorders>
              <w:top w:val="nil"/>
              <w:left w:val="nil"/>
              <w:bottom w:val="nil"/>
              <w:right w:val="nil"/>
            </w:tcBorders>
            <w:vAlign w:val="center"/>
          </w:tcPr>
          <w:p w14:paraId="22D50101" w14:textId="77777777" w:rsidR="002C0132" w:rsidRPr="00721663" w:rsidRDefault="002C0132" w:rsidP="002C0132">
            <w:pPr>
              <w:spacing w:line="240" w:lineRule="auto"/>
              <w:jc w:val="left"/>
              <w:rPr>
                <w:rFonts w:ascii="Arial" w:hAnsi="Arial" w:cs="Arial"/>
                <w:i/>
                <w:iCs/>
                <w:sz w:val="18"/>
                <w:szCs w:val="18"/>
                <w:lang w:val="bg-BG"/>
              </w:rPr>
            </w:pPr>
            <w:r w:rsidRPr="00721663">
              <w:rPr>
                <w:rFonts w:ascii="Arial" w:hAnsi="Arial" w:cs="Arial"/>
                <w:i/>
                <w:iCs/>
                <w:sz w:val="18"/>
                <w:szCs w:val="18"/>
                <w:lang w:val="bg-BG"/>
              </w:rPr>
              <w:t>Банков заем</w:t>
            </w:r>
          </w:p>
        </w:tc>
        <w:tc>
          <w:tcPr>
            <w:tcW w:w="1390" w:type="dxa"/>
            <w:tcBorders>
              <w:top w:val="nil"/>
              <w:left w:val="nil"/>
              <w:bottom w:val="single" w:sz="4" w:space="0" w:color="auto"/>
              <w:right w:val="nil"/>
            </w:tcBorders>
            <w:vAlign w:val="center"/>
          </w:tcPr>
          <w:p w14:paraId="60945B7A" w14:textId="5694D4C9" w:rsidR="002C0132" w:rsidRPr="00FB2FEB" w:rsidRDefault="002C0132" w:rsidP="002C0132">
            <w:pPr>
              <w:spacing w:line="240" w:lineRule="auto"/>
              <w:ind w:right="142"/>
              <w:jc w:val="right"/>
              <w:rPr>
                <w:rFonts w:ascii="Arial" w:eastAsia="Arial Unicode MS" w:hAnsi="Arial" w:cs="Arial"/>
                <w:sz w:val="18"/>
                <w:szCs w:val="18"/>
                <w:highlight w:val="yellow"/>
                <w:lang w:val="en-GB"/>
              </w:rPr>
            </w:pPr>
            <w:r>
              <w:rPr>
                <w:rFonts w:ascii="Arial" w:eastAsia="Arial Unicode MS" w:hAnsi="Arial" w:cs="Arial"/>
                <w:sz w:val="18"/>
                <w:szCs w:val="18"/>
                <w:lang w:val="en-GB" w:eastAsia="bg-BG"/>
              </w:rPr>
              <w:t>14,925</w:t>
            </w:r>
          </w:p>
        </w:tc>
        <w:tc>
          <w:tcPr>
            <w:tcW w:w="134" w:type="dxa"/>
            <w:tcBorders>
              <w:top w:val="nil"/>
              <w:left w:val="nil"/>
              <w:right w:val="nil"/>
            </w:tcBorders>
            <w:vAlign w:val="center"/>
          </w:tcPr>
          <w:p w14:paraId="3686488A" w14:textId="77777777" w:rsidR="002C0132" w:rsidRPr="00721663" w:rsidRDefault="002C0132" w:rsidP="002C0132">
            <w:pPr>
              <w:spacing w:line="240" w:lineRule="auto"/>
              <w:ind w:right="142"/>
              <w:jc w:val="right"/>
              <w:rPr>
                <w:rFonts w:ascii="Arial" w:eastAsia="Arial Unicode MS" w:hAnsi="Arial" w:cs="Arial"/>
                <w:sz w:val="18"/>
                <w:szCs w:val="18"/>
                <w:lang w:val="bg-BG"/>
              </w:rPr>
            </w:pPr>
          </w:p>
        </w:tc>
        <w:tc>
          <w:tcPr>
            <w:tcW w:w="1617" w:type="dxa"/>
            <w:tcBorders>
              <w:top w:val="nil"/>
              <w:left w:val="nil"/>
              <w:bottom w:val="single" w:sz="4" w:space="0" w:color="auto"/>
              <w:right w:val="nil"/>
            </w:tcBorders>
            <w:vAlign w:val="center"/>
          </w:tcPr>
          <w:p w14:paraId="58999B37" w14:textId="61405DDE" w:rsidR="002C0132" w:rsidRPr="00BC2D1E" w:rsidRDefault="002C0132" w:rsidP="002C0132">
            <w:pPr>
              <w:spacing w:line="240" w:lineRule="auto"/>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15,696</w:t>
            </w:r>
          </w:p>
        </w:tc>
      </w:tr>
      <w:tr w:rsidR="002C0132" w:rsidRPr="00721663" w14:paraId="5CB89CDA" w14:textId="77777777" w:rsidTr="00551604">
        <w:trPr>
          <w:trHeight w:hRule="exact" w:val="392"/>
        </w:trPr>
        <w:tc>
          <w:tcPr>
            <w:tcW w:w="4529" w:type="dxa"/>
            <w:tcBorders>
              <w:top w:val="nil"/>
              <w:left w:val="nil"/>
              <w:bottom w:val="nil"/>
              <w:right w:val="nil"/>
            </w:tcBorders>
            <w:vAlign w:val="center"/>
          </w:tcPr>
          <w:p w14:paraId="3300F8AA" w14:textId="77777777" w:rsidR="002C0132" w:rsidRPr="00721663" w:rsidRDefault="002C0132" w:rsidP="002C0132">
            <w:pPr>
              <w:spacing w:line="240" w:lineRule="auto"/>
              <w:jc w:val="left"/>
              <w:rPr>
                <w:rFonts w:ascii="Arial" w:hAnsi="Arial" w:cs="Arial"/>
                <w:i/>
                <w:iCs/>
                <w:sz w:val="18"/>
                <w:szCs w:val="18"/>
                <w:lang w:val="bg-BG"/>
              </w:rPr>
            </w:pPr>
            <w:r w:rsidRPr="00721663">
              <w:rPr>
                <w:rFonts w:ascii="Arial" w:hAnsi="Arial" w:cs="Arial"/>
                <w:i/>
                <w:iCs/>
                <w:sz w:val="18"/>
                <w:szCs w:val="18"/>
                <w:lang w:val="bg-BG"/>
              </w:rPr>
              <w:t>Намален с: Парични средства и парични еквиваленти</w:t>
            </w:r>
          </w:p>
        </w:tc>
        <w:tc>
          <w:tcPr>
            <w:tcW w:w="1390" w:type="dxa"/>
            <w:tcBorders>
              <w:top w:val="single" w:sz="4" w:space="0" w:color="auto"/>
              <w:left w:val="nil"/>
              <w:bottom w:val="single" w:sz="4" w:space="0" w:color="auto"/>
              <w:right w:val="nil"/>
            </w:tcBorders>
            <w:vAlign w:val="center"/>
          </w:tcPr>
          <w:p w14:paraId="47506B4C" w14:textId="1B7CFEEC" w:rsidR="002C0132" w:rsidRPr="00FB2FEB" w:rsidRDefault="002C0132" w:rsidP="002C0132">
            <w:pPr>
              <w:spacing w:line="240" w:lineRule="auto"/>
              <w:ind w:right="142"/>
              <w:jc w:val="right"/>
              <w:rPr>
                <w:rFonts w:ascii="Arial" w:eastAsia="Arial Unicode MS" w:hAnsi="Arial" w:cs="Arial"/>
                <w:sz w:val="18"/>
                <w:szCs w:val="18"/>
                <w:highlight w:val="yellow"/>
                <w:lang w:val="en-GB"/>
              </w:rPr>
            </w:pPr>
            <w:r>
              <w:rPr>
                <w:rFonts w:ascii="Arial" w:eastAsia="Arial Unicode MS" w:hAnsi="Arial" w:cs="Arial"/>
                <w:sz w:val="18"/>
                <w:szCs w:val="18"/>
                <w:lang w:val="en-GB" w:eastAsia="bg-BG"/>
              </w:rPr>
              <w:t>(2,096)</w:t>
            </w:r>
          </w:p>
        </w:tc>
        <w:tc>
          <w:tcPr>
            <w:tcW w:w="134" w:type="dxa"/>
            <w:tcBorders>
              <w:top w:val="nil"/>
              <w:left w:val="nil"/>
              <w:right w:val="nil"/>
            </w:tcBorders>
            <w:vAlign w:val="center"/>
          </w:tcPr>
          <w:p w14:paraId="73311EC5" w14:textId="77777777" w:rsidR="002C0132" w:rsidRPr="00721663" w:rsidRDefault="002C0132" w:rsidP="002C0132">
            <w:pPr>
              <w:spacing w:line="240" w:lineRule="auto"/>
              <w:ind w:right="142"/>
              <w:jc w:val="right"/>
              <w:rPr>
                <w:rFonts w:ascii="Arial" w:eastAsia="Arial Unicode MS" w:hAnsi="Arial" w:cs="Arial"/>
                <w:sz w:val="18"/>
                <w:szCs w:val="18"/>
                <w:lang w:val="bg-BG"/>
              </w:rPr>
            </w:pPr>
          </w:p>
        </w:tc>
        <w:tc>
          <w:tcPr>
            <w:tcW w:w="1617" w:type="dxa"/>
            <w:tcBorders>
              <w:top w:val="single" w:sz="4" w:space="0" w:color="auto"/>
              <w:left w:val="nil"/>
              <w:bottom w:val="single" w:sz="4" w:space="0" w:color="auto"/>
              <w:right w:val="nil"/>
            </w:tcBorders>
            <w:vAlign w:val="center"/>
          </w:tcPr>
          <w:p w14:paraId="3E765571" w14:textId="7FA5E2A9" w:rsidR="002C0132" w:rsidRPr="00BC2D1E" w:rsidRDefault="002C0132" w:rsidP="002C0132">
            <w:pPr>
              <w:spacing w:line="240" w:lineRule="auto"/>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(1,836)</w:t>
            </w:r>
          </w:p>
        </w:tc>
      </w:tr>
      <w:tr w:rsidR="002C0132" w:rsidRPr="00721663" w14:paraId="788B335C" w14:textId="77777777" w:rsidTr="00551604">
        <w:trPr>
          <w:trHeight w:hRule="exact" w:val="329"/>
        </w:trPr>
        <w:tc>
          <w:tcPr>
            <w:tcW w:w="4529" w:type="dxa"/>
            <w:tcBorders>
              <w:top w:val="nil"/>
              <w:left w:val="nil"/>
              <w:bottom w:val="nil"/>
              <w:right w:val="nil"/>
            </w:tcBorders>
            <w:tcMar>
              <w:top w:w="57" w:type="dxa"/>
              <w:left w:w="15" w:type="dxa"/>
              <w:bottom w:w="0" w:type="dxa"/>
              <w:right w:w="15" w:type="dxa"/>
            </w:tcMar>
            <w:vAlign w:val="center"/>
          </w:tcPr>
          <w:p w14:paraId="31663801" w14:textId="77777777" w:rsidR="002C0132" w:rsidRPr="00721663" w:rsidRDefault="002C0132" w:rsidP="002C0132">
            <w:pPr>
              <w:spacing w:line="240" w:lineRule="auto"/>
              <w:jc w:val="left"/>
              <w:rPr>
                <w:rFonts w:ascii="Arial" w:eastAsia="Arial Unicode MS" w:hAnsi="Arial" w:cs="Arial"/>
                <w:bCs/>
                <w:i/>
                <w:iCs/>
                <w:sz w:val="18"/>
                <w:szCs w:val="18"/>
                <w:lang w:val="bg-BG"/>
              </w:rPr>
            </w:pPr>
            <w:r w:rsidRPr="00721663">
              <w:rPr>
                <w:rFonts w:ascii="Arial" w:hAnsi="Arial" w:cs="Arial"/>
                <w:bCs/>
                <w:i/>
                <w:iCs/>
                <w:sz w:val="18"/>
                <w:szCs w:val="18"/>
                <w:lang w:val="bg-BG"/>
              </w:rPr>
              <w:t>Нетен дълг</w:t>
            </w:r>
          </w:p>
        </w:tc>
        <w:tc>
          <w:tcPr>
            <w:tcW w:w="1390" w:type="dxa"/>
            <w:tcBorders>
              <w:top w:val="single" w:sz="4" w:space="0" w:color="auto"/>
              <w:left w:val="nil"/>
              <w:right w:val="nil"/>
            </w:tcBorders>
            <w:vAlign w:val="center"/>
          </w:tcPr>
          <w:p w14:paraId="397F4BEA" w14:textId="77D09472" w:rsidR="002C0132" w:rsidRPr="00FB2FEB" w:rsidRDefault="002C0132" w:rsidP="002C0132">
            <w:pPr>
              <w:spacing w:line="240" w:lineRule="auto"/>
              <w:ind w:right="142"/>
              <w:jc w:val="right"/>
              <w:rPr>
                <w:rFonts w:ascii="Arial" w:eastAsia="Arial Unicode MS" w:hAnsi="Arial" w:cs="Arial"/>
                <w:sz w:val="18"/>
                <w:szCs w:val="18"/>
                <w:highlight w:val="yellow"/>
                <w:lang w:val="en-GB"/>
              </w:rPr>
            </w:pPr>
            <w:r>
              <w:rPr>
                <w:rFonts w:ascii="Arial" w:eastAsia="Arial Unicode MS" w:hAnsi="Arial" w:cs="Arial"/>
                <w:sz w:val="18"/>
                <w:szCs w:val="18"/>
                <w:lang w:val="en-GB" w:eastAsia="bg-BG"/>
              </w:rPr>
              <w:t>17,767</w:t>
            </w:r>
          </w:p>
        </w:tc>
        <w:tc>
          <w:tcPr>
            <w:tcW w:w="134" w:type="dxa"/>
            <w:tcBorders>
              <w:left w:val="nil"/>
              <w:right w:val="nil"/>
            </w:tcBorders>
            <w:vAlign w:val="center"/>
          </w:tcPr>
          <w:p w14:paraId="639029C5" w14:textId="77777777" w:rsidR="002C0132" w:rsidRPr="00721663" w:rsidRDefault="002C0132" w:rsidP="002C0132">
            <w:pPr>
              <w:spacing w:line="240" w:lineRule="auto"/>
              <w:ind w:right="142"/>
              <w:jc w:val="right"/>
              <w:rPr>
                <w:rFonts w:ascii="Arial" w:eastAsia="Arial Unicode MS" w:hAnsi="Arial" w:cs="Arial"/>
                <w:sz w:val="18"/>
                <w:szCs w:val="18"/>
                <w:lang w:val="bg-BG"/>
              </w:rPr>
            </w:pPr>
          </w:p>
        </w:tc>
        <w:tc>
          <w:tcPr>
            <w:tcW w:w="1617" w:type="dxa"/>
            <w:tcBorders>
              <w:top w:val="single" w:sz="4" w:space="0" w:color="auto"/>
              <w:left w:val="nil"/>
              <w:right w:val="nil"/>
            </w:tcBorders>
            <w:vAlign w:val="center"/>
          </w:tcPr>
          <w:p w14:paraId="2C9F5BA2" w14:textId="67EAB78F" w:rsidR="002C0132" w:rsidRPr="00BC2D1E" w:rsidRDefault="002C0132" w:rsidP="002C0132">
            <w:pPr>
              <w:spacing w:line="240" w:lineRule="auto"/>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18,722</w:t>
            </w:r>
          </w:p>
        </w:tc>
      </w:tr>
      <w:tr w:rsidR="002C0132" w:rsidRPr="00721663" w14:paraId="676A367C" w14:textId="77777777" w:rsidTr="00551604">
        <w:trPr>
          <w:trHeight w:hRule="exact" w:val="329"/>
        </w:trPr>
        <w:tc>
          <w:tcPr>
            <w:tcW w:w="4529" w:type="dxa"/>
            <w:tcBorders>
              <w:top w:val="nil"/>
              <w:left w:val="nil"/>
              <w:bottom w:val="nil"/>
              <w:right w:val="nil"/>
            </w:tcBorders>
            <w:vAlign w:val="center"/>
          </w:tcPr>
          <w:p w14:paraId="0F3E44A4" w14:textId="77777777" w:rsidR="002C0132" w:rsidRPr="00721663" w:rsidRDefault="002C0132" w:rsidP="002C0132">
            <w:pPr>
              <w:spacing w:line="240" w:lineRule="auto"/>
              <w:jc w:val="left"/>
              <w:rPr>
                <w:rFonts w:ascii="Arial" w:eastAsia="Arial Unicode MS" w:hAnsi="Arial" w:cs="Arial"/>
                <w:bCs/>
                <w:i/>
                <w:iCs/>
                <w:sz w:val="18"/>
                <w:szCs w:val="18"/>
                <w:lang w:val="bg-BG"/>
              </w:rPr>
            </w:pPr>
            <w:r w:rsidRPr="00721663">
              <w:rPr>
                <w:rFonts w:ascii="Arial" w:hAnsi="Arial" w:cs="Arial"/>
                <w:bCs/>
                <w:i/>
                <w:iCs/>
                <w:sz w:val="18"/>
                <w:szCs w:val="18"/>
                <w:lang w:val="bg-BG"/>
              </w:rPr>
              <w:t>Общо собствен капитал</w:t>
            </w:r>
          </w:p>
        </w:tc>
        <w:tc>
          <w:tcPr>
            <w:tcW w:w="1390" w:type="dxa"/>
            <w:tcBorders>
              <w:top w:val="nil"/>
              <w:left w:val="nil"/>
              <w:right w:val="nil"/>
            </w:tcBorders>
            <w:vAlign w:val="center"/>
          </w:tcPr>
          <w:p w14:paraId="62DBF090" w14:textId="7BA97635" w:rsidR="002C0132" w:rsidRPr="00FB2FEB" w:rsidRDefault="002C0132" w:rsidP="002C0132">
            <w:pPr>
              <w:spacing w:line="240" w:lineRule="auto"/>
              <w:ind w:right="142"/>
              <w:jc w:val="right"/>
              <w:rPr>
                <w:rFonts w:ascii="Arial" w:eastAsia="Arial Unicode MS" w:hAnsi="Arial" w:cs="Arial"/>
                <w:sz w:val="18"/>
                <w:szCs w:val="18"/>
                <w:highlight w:val="yellow"/>
                <w:lang w:val="en-GB"/>
              </w:rPr>
            </w:pPr>
            <w:r>
              <w:rPr>
                <w:rFonts w:ascii="Arial" w:eastAsia="Arial Unicode MS" w:hAnsi="Arial" w:cs="Arial"/>
                <w:sz w:val="18"/>
                <w:szCs w:val="18"/>
                <w:lang w:val="en-GB" w:eastAsia="bg-BG"/>
              </w:rPr>
              <w:t>(2,042)</w:t>
            </w:r>
          </w:p>
        </w:tc>
        <w:tc>
          <w:tcPr>
            <w:tcW w:w="134" w:type="dxa"/>
            <w:tcBorders>
              <w:top w:val="nil"/>
              <w:left w:val="nil"/>
              <w:right w:val="nil"/>
            </w:tcBorders>
            <w:vAlign w:val="center"/>
          </w:tcPr>
          <w:p w14:paraId="2AA8ABDD" w14:textId="77777777" w:rsidR="002C0132" w:rsidRPr="00721663" w:rsidRDefault="002C0132" w:rsidP="002C0132">
            <w:pPr>
              <w:spacing w:line="240" w:lineRule="auto"/>
              <w:ind w:right="142"/>
              <w:jc w:val="right"/>
              <w:rPr>
                <w:rFonts w:ascii="Arial" w:eastAsia="Arial Unicode MS" w:hAnsi="Arial" w:cs="Arial"/>
                <w:sz w:val="18"/>
                <w:szCs w:val="18"/>
                <w:lang w:val="bg-BG"/>
              </w:rPr>
            </w:pPr>
          </w:p>
        </w:tc>
        <w:tc>
          <w:tcPr>
            <w:tcW w:w="1617" w:type="dxa"/>
            <w:tcBorders>
              <w:top w:val="nil"/>
              <w:left w:val="nil"/>
              <w:right w:val="nil"/>
            </w:tcBorders>
            <w:vAlign w:val="center"/>
          </w:tcPr>
          <w:p w14:paraId="23D6182D" w14:textId="4C4F65CE" w:rsidR="002C0132" w:rsidRPr="00BC2D1E" w:rsidRDefault="002C0132" w:rsidP="002C0132">
            <w:pPr>
              <w:spacing w:line="240" w:lineRule="auto"/>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(2,394)</w:t>
            </w:r>
          </w:p>
        </w:tc>
      </w:tr>
      <w:tr w:rsidR="002C0132" w:rsidRPr="00721663" w14:paraId="39D4A051" w14:textId="77777777" w:rsidTr="00551604">
        <w:trPr>
          <w:trHeight w:hRule="exact" w:val="329"/>
        </w:trPr>
        <w:tc>
          <w:tcPr>
            <w:tcW w:w="4529" w:type="dxa"/>
            <w:tcBorders>
              <w:top w:val="nil"/>
              <w:left w:val="nil"/>
              <w:bottom w:val="nil"/>
              <w:right w:val="nil"/>
            </w:tcBorders>
            <w:tcMar>
              <w:top w:w="57" w:type="dxa"/>
              <w:left w:w="15" w:type="dxa"/>
              <w:bottom w:w="0" w:type="dxa"/>
              <w:right w:w="15" w:type="dxa"/>
            </w:tcMar>
            <w:vAlign w:val="center"/>
          </w:tcPr>
          <w:p w14:paraId="70B91F77" w14:textId="77777777" w:rsidR="002C0132" w:rsidRPr="00721663" w:rsidRDefault="002C0132" w:rsidP="002C0132">
            <w:pPr>
              <w:spacing w:line="240" w:lineRule="auto"/>
              <w:jc w:val="left"/>
              <w:rPr>
                <w:rFonts w:ascii="Arial" w:eastAsia="Arial Unicode MS" w:hAnsi="Arial" w:cs="Arial"/>
                <w:b/>
                <w:bCs/>
                <w:i/>
                <w:iCs/>
                <w:sz w:val="18"/>
                <w:szCs w:val="18"/>
                <w:lang w:val="bg-BG"/>
              </w:rPr>
            </w:pPr>
            <w:r w:rsidRPr="00721663">
              <w:rPr>
                <w:rFonts w:ascii="Arial" w:hAnsi="Arial" w:cs="Arial"/>
                <w:b/>
                <w:bCs/>
                <w:i/>
                <w:iCs/>
                <w:sz w:val="18"/>
                <w:szCs w:val="18"/>
                <w:lang w:val="bg-BG"/>
              </w:rPr>
              <w:t>Общо капитал</w:t>
            </w:r>
          </w:p>
        </w:tc>
        <w:tc>
          <w:tcPr>
            <w:tcW w:w="1390" w:type="dxa"/>
            <w:tcBorders>
              <w:left w:val="nil"/>
              <w:bottom w:val="single" w:sz="4" w:space="0" w:color="auto"/>
              <w:right w:val="nil"/>
            </w:tcBorders>
            <w:vAlign w:val="center"/>
          </w:tcPr>
          <w:p w14:paraId="08F91211" w14:textId="59798C71" w:rsidR="002C0132" w:rsidRPr="00FB2FEB" w:rsidRDefault="002C0132" w:rsidP="002C0132">
            <w:pPr>
              <w:spacing w:line="240" w:lineRule="auto"/>
              <w:ind w:right="142"/>
              <w:jc w:val="right"/>
              <w:rPr>
                <w:rFonts w:ascii="Arial" w:eastAsia="Arial Unicode MS" w:hAnsi="Arial" w:cs="Arial"/>
                <w:b/>
                <w:sz w:val="18"/>
                <w:szCs w:val="18"/>
                <w:highlight w:val="yellow"/>
                <w:lang w:val="en-GB"/>
              </w:rPr>
            </w:pPr>
            <w:r>
              <w:rPr>
                <w:rFonts w:ascii="Arial" w:eastAsia="Arial Unicode MS" w:hAnsi="Arial" w:cs="Arial"/>
                <w:b/>
                <w:sz w:val="18"/>
                <w:szCs w:val="18"/>
                <w:lang w:val="en-GB" w:eastAsia="bg-BG"/>
              </w:rPr>
              <w:t>15,725</w:t>
            </w:r>
          </w:p>
        </w:tc>
        <w:tc>
          <w:tcPr>
            <w:tcW w:w="134" w:type="dxa"/>
            <w:tcBorders>
              <w:left w:val="nil"/>
              <w:right w:val="nil"/>
            </w:tcBorders>
            <w:vAlign w:val="center"/>
          </w:tcPr>
          <w:p w14:paraId="5636D723" w14:textId="77777777" w:rsidR="002C0132" w:rsidRPr="00721663" w:rsidRDefault="002C0132" w:rsidP="002C0132">
            <w:pPr>
              <w:spacing w:line="240" w:lineRule="auto"/>
              <w:ind w:right="142"/>
              <w:jc w:val="right"/>
              <w:rPr>
                <w:rFonts w:ascii="Arial" w:eastAsia="Arial Unicode MS" w:hAnsi="Arial" w:cs="Arial"/>
                <w:b/>
                <w:sz w:val="18"/>
                <w:szCs w:val="18"/>
                <w:lang w:val="bg-BG"/>
              </w:rPr>
            </w:pPr>
          </w:p>
        </w:tc>
        <w:tc>
          <w:tcPr>
            <w:tcW w:w="1617" w:type="dxa"/>
            <w:tcBorders>
              <w:left w:val="nil"/>
              <w:bottom w:val="single" w:sz="4" w:space="0" w:color="auto"/>
              <w:right w:val="nil"/>
            </w:tcBorders>
            <w:vAlign w:val="center"/>
          </w:tcPr>
          <w:p w14:paraId="10E84610" w14:textId="53C8D5FD" w:rsidR="002C0132" w:rsidRPr="00BC2D1E" w:rsidRDefault="002C0132" w:rsidP="002C0132">
            <w:pPr>
              <w:spacing w:line="240" w:lineRule="auto"/>
              <w:ind w:right="142"/>
              <w:jc w:val="right"/>
              <w:rPr>
                <w:rFonts w:ascii="Arial" w:eastAsia="Arial Unicode MS" w:hAnsi="Arial" w:cs="Arial"/>
                <w:b/>
                <w:sz w:val="18"/>
                <w:szCs w:val="18"/>
                <w:lang w:val="en-GB"/>
              </w:rPr>
            </w:pPr>
            <w:r>
              <w:rPr>
                <w:rFonts w:ascii="Arial" w:eastAsia="Arial Unicode MS" w:hAnsi="Arial" w:cs="Arial"/>
                <w:b/>
                <w:sz w:val="18"/>
                <w:szCs w:val="18"/>
                <w:lang w:val="en-GB" w:eastAsia="bg-BG"/>
              </w:rPr>
              <w:t>16,328</w:t>
            </w:r>
          </w:p>
        </w:tc>
      </w:tr>
      <w:tr w:rsidR="002C0132" w:rsidRPr="00721663" w14:paraId="2E2ED744" w14:textId="77777777" w:rsidTr="00551604">
        <w:trPr>
          <w:trHeight w:hRule="exact" w:val="329"/>
        </w:trPr>
        <w:tc>
          <w:tcPr>
            <w:tcW w:w="4529" w:type="dxa"/>
            <w:tcBorders>
              <w:top w:val="nil"/>
              <w:left w:val="nil"/>
              <w:bottom w:val="nil"/>
              <w:right w:val="nil"/>
            </w:tcBorders>
            <w:tcMar>
              <w:top w:w="57" w:type="dxa"/>
              <w:left w:w="15" w:type="dxa"/>
              <w:bottom w:w="0" w:type="dxa"/>
              <w:right w:w="15" w:type="dxa"/>
            </w:tcMar>
            <w:vAlign w:val="center"/>
          </w:tcPr>
          <w:p w14:paraId="2D17085C" w14:textId="77777777" w:rsidR="002C0132" w:rsidRPr="00721663" w:rsidRDefault="002C0132" w:rsidP="002C0132">
            <w:pPr>
              <w:spacing w:line="240" w:lineRule="auto"/>
              <w:jc w:val="left"/>
              <w:rPr>
                <w:rFonts w:ascii="Arial" w:eastAsia="Arial Unicode MS" w:hAnsi="Arial" w:cs="Arial"/>
                <w:bCs/>
                <w:i/>
                <w:iCs/>
                <w:sz w:val="18"/>
                <w:szCs w:val="18"/>
                <w:lang w:val="bg-BG"/>
              </w:rPr>
            </w:pPr>
            <w:r w:rsidRPr="00721663">
              <w:rPr>
                <w:rFonts w:ascii="Arial" w:hAnsi="Arial" w:cs="Arial"/>
                <w:bCs/>
                <w:i/>
                <w:iCs/>
                <w:sz w:val="18"/>
                <w:szCs w:val="18"/>
                <w:lang w:val="bg-BG"/>
              </w:rPr>
              <w:t>Коефициент на задлъжнялост</w:t>
            </w:r>
          </w:p>
        </w:tc>
        <w:tc>
          <w:tcPr>
            <w:tcW w:w="1390" w:type="dxa"/>
            <w:tcBorders>
              <w:top w:val="single" w:sz="4" w:space="0" w:color="auto"/>
              <w:left w:val="nil"/>
              <w:bottom w:val="single" w:sz="4" w:space="0" w:color="auto"/>
              <w:right w:val="nil"/>
            </w:tcBorders>
            <w:vAlign w:val="center"/>
          </w:tcPr>
          <w:p w14:paraId="67A88F74" w14:textId="7E4BCD9E" w:rsidR="002C0132" w:rsidRPr="00FB2FEB" w:rsidRDefault="002C0132" w:rsidP="002C0132">
            <w:pPr>
              <w:spacing w:line="240" w:lineRule="auto"/>
              <w:ind w:right="142"/>
              <w:jc w:val="right"/>
              <w:rPr>
                <w:rFonts w:ascii="Arial" w:eastAsia="Arial Unicode MS" w:hAnsi="Arial" w:cs="Arial"/>
                <w:sz w:val="18"/>
                <w:szCs w:val="18"/>
                <w:highlight w:val="yellow"/>
                <w:lang w:val="en-GB"/>
              </w:rPr>
            </w:pPr>
            <w:r>
              <w:rPr>
                <w:rFonts w:ascii="Arial" w:eastAsia="Arial Unicode MS" w:hAnsi="Arial" w:cs="Arial"/>
                <w:sz w:val="18"/>
                <w:szCs w:val="18"/>
                <w:lang w:val="en-GB" w:eastAsia="bg-BG"/>
              </w:rPr>
              <w:t>112,99%</w:t>
            </w:r>
          </w:p>
        </w:tc>
        <w:tc>
          <w:tcPr>
            <w:tcW w:w="134" w:type="dxa"/>
            <w:tcBorders>
              <w:left w:val="nil"/>
              <w:right w:val="nil"/>
            </w:tcBorders>
            <w:vAlign w:val="center"/>
          </w:tcPr>
          <w:p w14:paraId="489453C5" w14:textId="77777777" w:rsidR="002C0132" w:rsidRPr="00721663" w:rsidRDefault="002C0132" w:rsidP="002C0132">
            <w:pPr>
              <w:spacing w:line="240" w:lineRule="auto"/>
              <w:ind w:right="142"/>
              <w:jc w:val="right"/>
              <w:rPr>
                <w:rFonts w:ascii="Arial" w:eastAsia="Arial Unicode MS" w:hAnsi="Arial" w:cs="Arial"/>
                <w:sz w:val="18"/>
                <w:szCs w:val="18"/>
                <w:lang w:val="bg-BG"/>
              </w:rPr>
            </w:pPr>
          </w:p>
        </w:tc>
        <w:tc>
          <w:tcPr>
            <w:tcW w:w="1617" w:type="dxa"/>
            <w:tcBorders>
              <w:top w:val="single" w:sz="4" w:space="0" w:color="auto"/>
              <w:left w:val="nil"/>
              <w:bottom w:val="single" w:sz="4" w:space="0" w:color="auto"/>
              <w:right w:val="nil"/>
            </w:tcBorders>
            <w:vAlign w:val="center"/>
          </w:tcPr>
          <w:p w14:paraId="7D5E855A" w14:textId="7AF09FE6" w:rsidR="002C0132" w:rsidRPr="00BC2D1E" w:rsidRDefault="002C0132" w:rsidP="002C0132">
            <w:pPr>
              <w:spacing w:line="240" w:lineRule="auto"/>
              <w:ind w:right="142"/>
              <w:jc w:val="right"/>
              <w:rPr>
                <w:rFonts w:ascii="Arial" w:eastAsia="Arial Unicode MS" w:hAnsi="Arial" w:cs="Arial"/>
                <w:sz w:val="18"/>
                <w:szCs w:val="18"/>
                <w:lang w:val="en-GB"/>
              </w:rPr>
            </w:pPr>
            <w:r>
              <w:rPr>
                <w:rFonts w:ascii="Arial" w:eastAsia="Arial Unicode MS" w:hAnsi="Arial" w:cs="Arial"/>
                <w:sz w:val="18"/>
                <w:szCs w:val="18"/>
                <w:lang w:val="en-GB" w:eastAsia="bg-BG"/>
              </w:rPr>
              <w:t>114,66%</w:t>
            </w:r>
          </w:p>
        </w:tc>
      </w:tr>
    </w:tbl>
    <w:p w14:paraId="5605120F" w14:textId="77777777" w:rsidR="00E07C4E" w:rsidRPr="00721663" w:rsidRDefault="00E07C4E" w:rsidP="00E07C4E">
      <w:pPr>
        <w:rPr>
          <w:rFonts w:ascii="Arial" w:hAnsi="Arial"/>
          <w:b/>
          <w:lang w:val="bg-BG" w:eastAsia="cs-CZ"/>
        </w:rPr>
      </w:pPr>
    </w:p>
    <w:p w14:paraId="1B92B8CC" w14:textId="2E9FA7A8" w:rsidR="00E07C4E" w:rsidRPr="00721663" w:rsidRDefault="00E07C4E" w:rsidP="00E07C4E">
      <w:pPr>
        <w:pStyle w:val="Notesbodytext"/>
        <w:spacing w:line="240" w:lineRule="atLeast"/>
        <w:rPr>
          <w:rFonts w:ascii="Arial" w:hAnsi="Arial"/>
          <w:lang w:val="bg-BG"/>
        </w:rPr>
      </w:pPr>
      <w:r w:rsidRPr="00721663">
        <w:rPr>
          <w:rFonts w:ascii="Arial" w:hAnsi="Arial"/>
          <w:lang w:val="bg-BG"/>
        </w:rPr>
        <w:t xml:space="preserve">Структурата и управлението на финансовите средства се контролира от Ръководството на Групата, както и от компанията майка. Не са направени промени в целите, политиките и процесите през шестмесечния период, приключващ на </w:t>
      </w:r>
      <w:r w:rsidR="00144930">
        <w:rPr>
          <w:rFonts w:ascii="Arial" w:hAnsi="Arial"/>
          <w:lang w:val="bg-BG"/>
        </w:rPr>
        <w:t>30 юни 2017</w:t>
      </w:r>
      <w:r w:rsidRPr="00721663">
        <w:rPr>
          <w:rFonts w:ascii="Arial" w:hAnsi="Arial"/>
          <w:lang w:val="bg-BG"/>
        </w:rPr>
        <w:t xml:space="preserve"> г.</w:t>
      </w:r>
    </w:p>
    <w:p w14:paraId="66C81A70" w14:textId="2E317913" w:rsidR="00E07C4E" w:rsidRPr="00721663" w:rsidRDefault="00E07C4E" w:rsidP="00E07C4E">
      <w:pPr>
        <w:pStyle w:val="Notesbodytext"/>
        <w:spacing w:line="240" w:lineRule="atLeast"/>
        <w:rPr>
          <w:rFonts w:ascii="Arial" w:hAnsi="Arial"/>
          <w:lang w:val="bg-BG"/>
        </w:rPr>
      </w:pPr>
      <w:r w:rsidRPr="00721663">
        <w:rPr>
          <w:rFonts w:ascii="Arial" w:hAnsi="Arial"/>
          <w:lang w:val="bg-BG"/>
        </w:rPr>
        <w:t xml:space="preserve">Ръководството  на Групата разглежда няколко различни мерки във връзка с установената капиталова структура към </w:t>
      </w:r>
      <w:r w:rsidR="00144930">
        <w:rPr>
          <w:rFonts w:ascii="Arial" w:hAnsi="Arial"/>
          <w:lang w:val="bg-BG"/>
        </w:rPr>
        <w:t>30 юни 2017</w:t>
      </w:r>
      <w:r w:rsidRPr="00721663">
        <w:rPr>
          <w:rFonts w:ascii="Arial" w:hAnsi="Arial"/>
          <w:lang w:val="bg-BG"/>
        </w:rPr>
        <w:t xml:space="preserve"> г.  Бъдещата жизнеспособност на Групата зависи от продължаващата подкрепа на собствениците й.</w:t>
      </w:r>
    </w:p>
    <w:p w14:paraId="25AB1A99" w14:textId="77777777" w:rsidR="00E07C4E" w:rsidRPr="00721663" w:rsidRDefault="00E07C4E" w:rsidP="00E07C4E">
      <w:pPr>
        <w:spacing w:line="240" w:lineRule="auto"/>
        <w:jc w:val="left"/>
        <w:rPr>
          <w:rFonts w:ascii="Arial" w:hAnsi="Arial" w:cs="Arial"/>
          <w:b/>
          <w:lang w:val="bg-BG"/>
        </w:rPr>
      </w:pPr>
      <w:bookmarkStart w:id="55" w:name="_Toc384989666"/>
      <w:bookmarkStart w:id="56" w:name="_Toc385430612"/>
      <w:bookmarkStart w:id="57" w:name="_Toc387762713"/>
      <w:bookmarkEnd w:id="52"/>
      <w:bookmarkEnd w:id="53"/>
      <w:bookmarkEnd w:id="54"/>
      <w:r w:rsidRPr="00721663">
        <w:rPr>
          <w:lang w:val="bg-BG"/>
        </w:rPr>
        <w:br w:type="page"/>
      </w:r>
    </w:p>
    <w:p w14:paraId="3028263E" w14:textId="77777777" w:rsidR="00E07C4E" w:rsidRPr="00721663" w:rsidRDefault="00E07C4E" w:rsidP="00E07C4E">
      <w:pPr>
        <w:pStyle w:val="Heading1"/>
      </w:pPr>
      <w:bookmarkStart w:id="58" w:name="_Toc490647410"/>
      <w:r w:rsidRPr="00721663">
        <w:t>18. Справедлива стойност на финансовите инструменти</w:t>
      </w:r>
      <w:bookmarkEnd w:id="55"/>
      <w:bookmarkEnd w:id="56"/>
      <w:bookmarkEnd w:id="57"/>
      <w:bookmarkEnd w:id="58"/>
    </w:p>
    <w:p w14:paraId="0F4FD704" w14:textId="77777777" w:rsidR="00E07C4E" w:rsidRPr="00721663" w:rsidRDefault="00E07C4E" w:rsidP="00E07C4E">
      <w:pPr>
        <w:pStyle w:val="Notesbodytext"/>
        <w:spacing w:before="120" w:line="240" w:lineRule="atLeast"/>
        <w:rPr>
          <w:rFonts w:ascii="Arial" w:hAnsi="Arial"/>
          <w:lang w:val="bg-BG"/>
        </w:rPr>
      </w:pPr>
      <w:r w:rsidRPr="00721663">
        <w:rPr>
          <w:rFonts w:ascii="Arial" w:hAnsi="Arial"/>
          <w:lang w:val="bg-BG"/>
        </w:rPr>
        <w:t>Справедлива стойност е сумата, за която един финансов инструмент може да бъде разменен или уреден между информирани и желаещи страни в честна сделка между тях.</w:t>
      </w:r>
    </w:p>
    <w:p w14:paraId="04F87AAA" w14:textId="77777777" w:rsidR="00E07C4E" w:rsidRPr="00721663" w:rsidRDefault="00E07C4E" w:rsidP="00E07C4E">
      <w:pPr>
        <w:pStyle w:val="Notesbodytext"/>
        <w:spacing w:line="240" w:lineRule="atLeast"/>
        <w:rPr>
          <w:rFonts w:ascii="Arial" w:hAnsi="Arial"/>
          <w:lang w:val="bg-BG"/>
        </w:rPr>
      </w:pPr>
      <w:r w:rsidRPr="00721663">
        <w:rPr>
          <w:rFonts w:ascii="Arial" w:hAnsi="Arial"/>
          <w:lang w:val="bg-BG"/>
        </w:rPr>
        <w:t>Концепцията за справедливата стойност предполага реализация на финансовите инструменти чрез продажба. Въпреки това в повечето случаи, особено по отношение на търговските вземания и задължения, както и заемите, Групата очаква да реализира тези финансови активи чрез тяхното пълно възстановяване или съответно, уреждане във времето. Затова те са представени по амортизираната им стойност.</w:t>
      </w:r>
    </w:p>
    <w:p w14:paraId="4B8686CD" w14:textId="77777777" w:rsidR="00E07C4E" w:rsidRPr="00721663" w:rsidRDefault="00E07C4E" w:rsidP="00E07C4E">
      <w:pPr>
        <w:pStyle w:val="Notesbodytext"/>
        <w:spacing w:line="240" w:lineRule="atLeast"/>
        <w:rPr>
          <w:rFonts w:ascii="Arial" w:hAnsi="Arial"/>
          <w:lang w:val="bg-BG"/>
        </w:rPr>
      </w:pPr>
      <w:r w:rsidRPr="00721663">
        <w:rPr>
          <w:rFonts w:ascii="Arial" w:hAnsi="Arial"/>
          <w:bCs/>
          <w:lang w:val="bg-BG"/>
        </w:rPr>
        <w:t>Справедливата стойност на паричните средства, краткосрочните вземания и краткосрочните задължения е приблизително равна на тяхната балансова стойност, при условие че падежът им е краткосрочен</w:t>
      </w:r>
      <w:r w:rsidRPr="00721663">
        <w:rPr>
          <w:rFonts w:ascii="Arial" w:hAnsi="Arial"/>
          <w:lang w:val="bg-BG"/>
        </w:rPr>
        <w:t>.</w:t>
      </w:r>
    </w:p>
    <w:p w14:paraId="02EE4569" w14:textId="77777777" w:rsidR="00E07C4E" w:rsidRPr="00721663" w:rsidRDefault="00E07C4E" w:rsidP="00E07C4E">
      <w:pPr>
        <w:pStyle w:val="Notesbodytext"/>
        <w:spacing w:line="240" w:lineRule="atLeast"/>
        <w:rPr>
          <w:rFonts w:ascii="Arial" w:hAnsi="Arial"/>
          <w:lang w:val="bg-BG"/>
        </w:rPr>
      </w:pPr>
      <w:r w:rsidRPr="00721663">
        <w:rPr>
          <w:rFonts w:ascii="Arial" w:hAnsi="Arial"/>
          <w:lang w:val="bg-BG"/>
        </w:rPr>
        <w:t>Дългосрочните заеми са с плаващи лихвени проценти, основани на пазарните лихвени проценти и Ръководството счита, че разликата между балансовата стойност и пазарна стойност не е съществена.</w:t>
      </w:r>
      <w:bookmarkStart w:id="59" w:name="OLE_LINK10"/>
    </w:p>
    <w:p w14:paraId="09E985F2" w14:textId="77777777" w:rsidR="00E07C4E" w:rsidRPr="00721663" w:rsidRDefault="00E07C4E" w:rsidP="00E07C4E">
      <w:pPr>
        <w:pStyle w:val="Heading1"/>
      </w:pPr>
      <w:bookmarkStart w:id="60" w:name="_Toc384989667"/>
      <w:bookmarkStart w:id="61" w:name="_Toc385430613"/>
      <w:bookmarkStart w:id="62" w:name="_Toc387762714"/>
      <w:bookmarkStart w:id="63" w:name="_Toc490647411"/>
      <w:bookmarkEnd w:id="59"/>
      <w:r w:rsidRPr="00721663">
        <w:t>19. Събития след отчетната дата</w:t>
      </w:r>
      <w:bookmarkEnd w:id="60"/>
      <w:bookmarkEnd w:id="61"/>
      <w:bookmarkEnd w:id="62"/>
      <w:bookmarkEnd w:id="63"/>
    </w:p>
    <w:p w14:paraId="5EC43C41" w14:textId="5525A4D3" w:rsidR="00E07C4E" w:rsidRPr="00721663" w:rsidRDefault="00E07C4E" w:rsidP="00E07C4E">
      <w:pPr>
        <w:spacing w:before="120" w:after="120"/>
        <w:jc w:val="left"/>
        <w:rPr>
          <w:rFonts w:ascii="Arial" w:hAnsi="Arial"/>
          <w:szCs w:val="18"/>
          <w:lang w:val="bg-BG"/>
        </w:rPr>
      </w:pPr>
      <w:r w:rsidRPr="00721663">
        <w:rPr>
          <w:rFonts w:ascii="Arial" w:hAnsi="Arial" w:cs="Arial"/>
          <w:sz w:val="18"/>
          <w:szCs w:val="18"/>
          <w:lang w:val="bg-BG"/>
        </w:rPr>
        <w:t xml:space="preserve">Не са настъпили значими събития след датата на отчета за финансовото състояние, които изискват оповестяване или корекции в консолидирания междинен финансов отчет на Групата шестмесечния период, приключващ на </w:t>
      </w:r>
      <w:r w:rsidR="00144930">
        <w:rPr>
          <w:rFonts w:ascii="Arial" w:hAnsi="Arial" w:cs="Arial"/>
          <w:sz w:val="18"/>
          <w:szCs w:val="18"/>
          <w:lang w:val="bg-BG"/>
        </w:rPr>
        <w:t>30 юни 2017</w:t>
      </w:r>
      <w:r w:rsidRPr="00826F1B">
        <w:rPr>
          <w:rFonts w:ascii="Arial" w:hAnsi="Arial" w:cs="Arial"/>
          <w:sz w:val="18"/>
          <w:szCs w:val="18"/>
          <w:lang w:val="bg-BG"/>
        </w:rPr>
        <w:t xml:space="preserve"> г.</w:t>
      </w:r>
    </w:p>
    <w:p w14:paraId="5F04E843" w14:textId="32679923" w:rsidR="00B75FD3" w:rsidRPr="00721663" w:rsidRDefault="00B75FD3" w:rsidP="00144930"/>
    <w:sectPr w:rsidR="00B75FD3" w:rsidRPr="00721663" w:rsidSect="00680E2F">
      <w:headerReference w:type="default" r:id="rId10"/>
      <w:footerReference w:type="default" r:id="rId11"/>
      <w:pgSz w:w="11907" w:h="16840" w:code="9"/>
      <w:pgMar w:top="1387" w:right="1275" w:bottom="851" w:left="1701" w:header="567" w:footer="615" w:gutter="0"/>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4F7FA" w14:textId="77777777" w:rsidR="00017A0C" w:rsidRDefault="00017A0C">
      <w:r>
        <w:separator/>
      </w:r>
    </w:p>
  </w:endnote>
  <w:endnote w:type="continuationSeparator" w:id="0">
    <w:p w14:paraId="244ED21C" w14:textId="77777777" w:rsidR="00017A0C" w:rsidRDefault="0001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EYlogo">
    <w:charset w:val="02"/>
    <w:family w:val="auto"/>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EY Gothic Comp BookPS">
    <w:altName w:val="Arial"/>
    <w:panose1 w:val="00000000000000000000"/>
    <w:charset w:val="00"/>
    <w:family w:val="swiss"/>
    <w:notTrueType/>
    <w:pitch w:val="variable"/>
    <w:sig w:usb0="00000083" w:usb1="00000000" w:usb2="00000000" w:usb3="00000000" w:csb0="00000009" w:csb1="00000000"/>
  </w:font>
  <w:font w:name="EY Gothic Cond DemiPS">
    <w:altName w:val="Times New Roman"/>
    <w:panose1 w:val="00000000000000000000"/>
    <w:charset w:val="00"/>
    <w:family w:val="auto"/>
    <w:notTrueType/>
    <w:pitch w:val="variable"/>
    <w:sig w:usb0="00000083" w:usb1="00000000" w:usb2="00000000" w:usb3="00000000" w:csb0="00000009"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EY Gothic Cond MedPS">
    <w:altName w:val="Arial"/>
    <w:panose1 w:val="00000000000000000000"/>
    <w:charset w:val="00"/>
    <w:family w:val="swiss"/>
    <w:notTrueType/>
    <w:pitch w:val="variable"/>
    <w:sig w:usb0="00000083" w:usb1="00000000" w:usb2="00000000" w:usb3="00000000" w:csb0="00000009" w:csb1="00000000"/>
  </w:font>
  <w:font w:name="Verdana">
    <w:panose1 w:val="020B0604030504040204"/>
    <w:charset w:val="CC"/>
    <w:family w:val="swiss"/>
    <w:pitch w:val="variable"/>
    <w:sig w:usb0="20000287" w:usb1="00000000" w:usb2="00000000" w:usb3="00000000" w:csb0="0000019F" w:csb1="00000000"/>
  </w:font>
  <w:font w:name="EYInterstate Light">
    <w:altName w:val="Franklin Gothic Medium Cond"/>
    <w:charset w:val="CC"/>
    <w:family w:val="auto"/>
    <w:pitch w:val="variable"/>
    <w:sig w:usb0="A00002AF" w:usb1="5000206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EYInterstate">
    <w:charset w:val="CC"/>
    <w:family w:val="auto"/>
    <w:pitch w:val="variable"/>
    <w:sig w:usb0="A00002AF" w:usb1="5000206A" w:usb2="00000000" w:usb3="00000000" w:csb0="0000009F" w:csb1="00000000"/>
  </w:font>
  <w:font w:name="Calibri">
    <w:panose1 w:val="020F0502020204030204"/>
    <w:charset w:val="CC"/>
    <w:family w:val="swiss"/>
    <w:pitch w:val="variable"/>
    <w:sig w:usb0="E10002FF" w:usb1="4000ACFF" w:usb2="00000009" w:usb3="00000000" w:csb0="0000019F" w:csb1="00000000"/>
  </w:font>
  <w:font w:name="Bodoni Book 12p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849030"/>
      <w:docPartObj>
        <w:docPartGallery w:val="Page Numbers (Bottom of Page)"/>
        <w:docPartUnique/>
      </w:docPartObj>
    </w:sdtPr>
    <w:sdtEndPr>
      <w:rPr>
        <w:noProof/>
      </w:rPr>
    </w:sdtEndPr>
    <w:sdtContent>
      <w:p w14:paraId="0DD6E7DC" w14:textId="20C61F74" w:rsidR="00680E2F" w:rsidRDefault="00680E2F">
        <w:pPr>
          <w:pStyle w:val="Footer"/>
          <w:ind w:firstLine="240"/>
          <w:jc w:val="right"/>
        </w:pPr>
        <w:r>
          <w:fldChar w:fldCharType="begin"/>
        </w:r>
        <w:r>
          <w:instrText xml:space="preserve"> PAGE   \* MERGEFORMAT </w:instrText>
        </w:r>
        <w:r>
          <w:fldChar w:fldCharType="separate"/>
        </w:r>
        <w:r w:rsidR="00AD71FF">
          <w:rPr>
            <w:noProof/>
          </w:rPr>
          <w:t>5</w:t>
        </w:r>
        <w:r>
          <w:rPr>
            <w:noProof/>
          </w:rPr>
          <w:fldChar w:fldCharType="end"/>
        </w:r>
      </w:p>
    </w:sdtContent>
  </w:sdt>
  <w:p w14:paraId="30FCB450" w14:textId="77777777" w:rsidR="00680E2F" w:rsidRDefault="00680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E41F9" w14:textId="77777777" w:rsidR="00017A0C" w:rsidRDefault="00017A0C">
      <w:r>
        <w:separator/>
      </w:r>
    </w:p>
  </w:footnote>
  <w:footnote w:type="continuationSeparator" w:id="0">
    <w:p w14:paraId="64D88574" w14:textId="77777777" w:rsidR="00017A0C" w:rsidRDefault="00017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FB19A" w14:textId="77777777" w:rsidR="00017A0C" w:rsidRPr="00497A58" w:rsidRDefault="00017A0C" w:rsidP="00497A58">
    <w:pPr>
      <w:spacing w:line="0" w:lineRule="atLeast"/>
      <w:rPr>
        <w:rFonts w:ascii="Arial" w:hAnsi="Arial" w:cs="Arial"/>
        <w:b/>
        <w:lang w:val="bg-BG"/>
      </w:rPr>
    </w:pPr>
    <w:r>
      <w:rPr>
        <w:rFonts w:ascii="Arial" w:hAnsi="Arial" w:cs="Arial"/>
        <w:b/>
        <w:lang w:val="bg-BG"/>
      </w:rPr>
      <w:t>ВГЕ-1 ЕООД</w:t>
    </w:r>
  </w:p>
  <w:p w14:paraId="631D2C3F" w14:textId="77777777" w:rsidR="00017A0C" w:rsidRPr="004E381E" w:rsidRDefault="00017A0C" w:rsidP="00BB0380">
    <w:pPr>
      <w:pStyle w:val="Heading1"/>
      <w:rPr>
        <w:i/>
      </w:rPr>
    </w:pPr>
    <w:r w:rsidRPr="008F199A">
      <w:t xml:space="preserve">БЕЛЕЖКИ КЪМ </w:t>
    </w:r>
    <w:r>
      <w:t xml:space="preserve">КОНСОЛИДИРАНИЯ МЕЖДИНЕН </w:t>
    </w:r>
    <w:r w:rsidRPr="008F199A">
      <w:t>ФИНАНСОВ ОТЧЕТ</w:t>
    </w:r>
  </w:p>
  <w:p w14:paraId="71375BC7" w14:textId="28B433DA" w:rsidR="00017A0C" w:rsidRPr="00CB2836" w:rsidRDefault="00017A0C" w:rsidP="006F1E1B">
    <w:pPr>
      <w:spacing w:after="120"/>
      <w:rPr>
        <w:rFonts w:ascii="Arial" w:hAnsi="Arial" w:cs="Arial"/>
        <w:lang w:val="bg-BG"/>
      </w:rPr>
    </w:pPr>
    <w:r>
      <w:rPr>
        <w:rFonts w:ascii="Arial" w:hAnsi="Arial" w:cs="Arial"/>
        <w:lang w:val="bg-BG"/>
      </w:rPr>
      <w:t>За шестмесечния период, приключващ на 30 юни 2017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2853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E7874F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11E7E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AF8D878"/>
    <w:lvl w:ilvl="0">
      <w:start w:val="1"/>
      <w:numFmt w:val="decimal"/>
      <w:pStyle w:val="ListNumber2"/>
      <w:lvlText w:val="%1."/>
      <w:lvlJc w:val="left"/>
      <w:pPr>
        <w:tabs>
          <w:tab w:val="num" w:pos="720"/>
        </w:tabs>
        <w:ind w:left="720" w:hanging="360"/>
      </w:pPr>
    </w:lvl>
  </w:abstractNum>
  <w:abstractNum w:abstractNumId="4">
    <w:nsid w:val="FFFFFF80"/>
    <w:multiLevelType w:val="singleLevel"/>
    <w:tmpl w:val="8F5AFB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DEC3D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B389AF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23007C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5A69006"/>
    <w:lvl w:ilvl="0">
      <w:start w:val="1"/>
      <w:numFmt w:val="decimal"/>
      <w:pStyle w:val="ListNumber"/>
      <w:lvlText w:val="%1."/>
      <w:lvlJc w:val="left"/>
      <w:pPr>
        <w:tabs>
          <w:tab w:val="num" w:pos="360"/>
        </w:tabs>
        <w:ind w:left="360" w:hanging="360"/>
      </w:pPr>
    </w:lvl>
  </w:abstractNum>
  <w:abstractNum w:abstractNumId="9">
    <w:nsid w:val="FFFFFF89"/>
    <w:multiLevelType w:val="singleLevel"/>
    <w:tmpl w:val="B5E22D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8F13D2"/>
    <w:multiLevelType w:val="hybridMultilevel"/>
    <w:tmpl w:val="392E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3726CE"/>
    <w:multiLevelType w:val="hybridMultilevel"/>
    <w:tmpl w:val="C2C6B9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087A5993"/>
    <w:multiLevelType w:val="hybridMultilevel"/>
    <w:tmpl w:val="6AAE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2B120F"/>
    <w:multiLevelType w:val="hybridMultilevel"/>
    <w:tmpl w:val="FB48BA0C"/>
    <w:lvl w:ilvl="0" w:tplc="7AC8D09E">
      <w:start w:val="1"/>
      <w:numFmt w:val="decimal"/>
      <w:pStyle w:val="Bulletindent"/>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7B35C40"/>
    <w:multiLevelType w:val="hybridMultilevel"/>
    <w:tmpl w:val="615CA17C"/>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0D66E2F"/>
    <w:multiLevelType w:val="hybridMultilevel"/>
    <w:tmpl w:val="AC62E0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635412"/>
    <w:multiLevelType w:val="singleLevel"/>
    <w:tmpl w:val="6C8A72AC"/>
    <w:lvl w:ilvl="0">
      <w:start w:val="1"/>
      <w:numFmt w:val="decimal"/>
      <w:pStyle w:val="AANumbering"/>
      <w:lvlText w:val="%1."/>
      <w:lvlJc w:val="left"/>
      <w:pPr>
        <w:tabs>
          <w:tab w:val="num" w:pos="283"/>
        </w:tabs>
        <w:ind w:left="283" w:hanging="283"/>
      </w:pPr>
    </w:lvl>
  </w:abstractNum>
  <w:abstractNum w:abstractNumId="17">
    <w:nsid w:val="277D212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nsid w:val="27C27C69"/>
    <w:multiLevelType w:val="hybridMultilevel"/>
    <w:tmpl w:val="4F749F94"/>
    <w:lvl w:ilvl="0" w:tplc="B3D6A304">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366A3311"/>
    <w:multiLevelType w:val="hybridMultilevel"/>
    <w:tmpl w:val="83B89E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0F079B5"/>
    <w:multiLevelType w:val="hybridMultilevel"/>
    <w:tmpl w:val="B62E7810"/>
    <w:lvl w:ilvl="0" w:tplc="3B14FE1E">
      <w:start w:val="1"/>
      <w:numFmt w:val="bullet"/>
      <w:lvlRestart w:val="0"/>
      <w:pStyle w:val="tablebullet"/>
      <w:lvlText w:val=""/>
      <w:lvlJc w:val="left"/>
      <w:pPr>
        <w:tabs>
          <w:tab w:val="num" w:pos="1088"/>
        </w:tabs>
        <w:ind w:left="1088" w:hanging="425"/>
      </w:pPr>
      <w:rPr>
        <w:rFonts w:ascii="Wingdings 3" w:hAnsi="Wingdings 3" w:hint="default"/>
        <w:color w:val="7F7E82"/>
        <w:sz w:val="12"/>
        <w:szCs w:val="22"/>
      </w:rPr>
    </w:lvl>
    <w:lvl w:ilvl="1" w:tplc="04090003" w:tentative="1">
      <w:start w:val="1"/>
      <w:numFmt w:val="bullet"/>
      <w:lvlText w:val="o"/>
      <w:lvlJc w:val="left"/>
      <w:pPr>
        <w:tabs>
          <w:tab w:val="num" w:pos="1440"/>
        </w:tabs>
        <w:ind w:left="1440" w:hanging="360"/>
      </w:pPr>
      <w:rPr>
        <w:rFonts w:ascii="Courier New" w:hAnsi="Courier New" w:cs="EYlog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EYlog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EYlog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0A2BCF"/>
    <w:multiLevelType w:val="hybridMultilevel"/>
    <w:tmpl w:val="B142B9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429A55EC"/>
    <w:multiLevelType w:val="hybridMultilevel"/>
    <w:tmpl w:val="0936A132"/>
    <w:lvl w:ilvl="0" w:tplc="B906CAE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945B76"/>
    <w:multiLevelType w:val="singleLevel"/>
    <w:tmpl w:val="EDE02A56"/>
    <w:lvl w:ilvl="0">
      <w:start w:val="1"/>
      <w:numFmt w:val="decimal"/>
      <w:pStyle w:val="AA2ndlevelbullet"/>
      <w:lvlText w:val="%1."/>
      <w:lvlJc w:val="left"/>
      <w:pPr>
        <w:tabs>
          <w:tab w:val="num" w:pos="360"/>
        </w:tabs>
        <w:ind w:left="284" w:hanging="284"/>
      </w:pPr>
    </w:lvl>
  </w:abstractNum>
  <w:abstractNum w:abstractNumId="24">
    <w:nsid w:val="5A9848F2"/>
    <w:multiLevelType w:val="hybridMultilevel"/>
    <w:tmpl w:val="33A23E22"/>
    <w:lvl w:ilvl="0" w:tplc="07105F78">
      <w:start w:val="1"/>
      <w:numFmt w:val="bullet"/>
      <w:lvlRestart w:val="0"/>
      <w:pStyle w:val="indent1"/>
      <w:lvlText w:val="·"/>
      <w:lvlJc w:val="left"/>
      <w:pPr>
        <w:tabs>
          <w:tab w:val="num" w:pos="425"/>
        </w:tabs>
        <w:ind w:left="425" w:hanging="425"/>
      </w:pPr>
      <w:rPr>
        <w:rFonts w:ascii="Symbol" w:hAnsi="Symbol" w:hint="default"/>
        <w:color w:val="00008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01299B"/>
    <w:multiLevelType w:val="hybridMultilevel"/>
    <w:tmpl w:val="B19C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4B3E94"/>
    <w:multiLevelType w:val="hybridMultilevel"/>
    <w:tmpl w:val="DE18E4F2"/>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157" w:hanging="360"/>
      </w:pPr>
      <w:rPr>
        <w:rFonts w:ascii="Courier New" w:hAnsi="Courier New" w:cs="Courier New" w:hint="default"/>
      </w:rPr>
    </w:lvl>
    <w:lvl w:ilvl="2" w:tplc="04080005">
      <w:start w:val="1"/>
      <w:numFmt w:val="bullet"/>
      <w:lvlText w:val=""/>
      <w:lvlJc w:val="left"/>
      <w:pPr>
        <w:ind w:left="1877" w:hanging="360"/>
      </w:pPr>
      <w:rPr>
        <w:rFonts w:ascii="Wingdings" w:hAnsi="Wingdings" w:hint="default"/>
      </w:rPr>
    </w:lvl>
    <w:lvl w:ilvl="3" w:tplc="04080001">
      <w:start w:val="1"/>
      <w:numFmt w:val="bullet"/>
      <w:lvlText w:val=""/>
      <w:lvlJc w:val="left"/>
      <w:pPr>
        <w:ind w:left="2597" w:hanging="360"/>
      </w:pPr>
      <w:rPr>
        <w:rFonts w:ascii="Symbol" w:hAnsi="Symbol" w:hint="default"/>
      </w:rPr>
    </w:lvl>
    <w:lvl w:ilvl="4" w:tplc="04080003">
      <w:start w:val="1"/>
      <w:numFmt w:val="bullet"/>
      <w:lvlText w:val="o"/>
      <w:lvlJc w:val="left"/>
      <w:pPr>
        <w:ind w:left="3317" w:hanging="360"/>
      </w:pPr>
      <w:rPr>
        <w:rFonts w:ascii="Courier New" w:hAnsi="Courier New" w:cs="Courier New" w:hint="default"/>
      </w:rPr>
    </w:lvl>
    <w:lvl w:ilvl="5" w:tplc="04080005">
      <w:start w:val="1"/>
      <w:numFmt w:val="bullet"/>
      <w:lvlText w:val=""/>
      <w:lvlJc w:val="left"/>
      <w:pPr>
        <w:ind w:left="4037" w:hanging="360"/>
      </w:pPr>
      <w:rPr>
        <w:rFonts w:ascii="Wingdings" w:hAnsi="Wingdings" w:hint="default"/>
      </w:rPr>
    </w:lvl>
    <w:lvl w:ilvl="6" w:tplc="04080001">
      <w:start w:val="1"/>
      <w:numFmt w:val="bullet"/>
      <w:lvlText w:val=""/>
      <w:lvlJc w:val="left"/>
      <w:pPr>
        <w:ind w:left="4757" w:hanging="360"/>
      </w:pPr>
      <w:rPr>
        <w:rFonts w:ascii="Symbol" w:hAnsi="Symbol" w:hint="default"/>
      </w:rPr>
    </w:lvl>
    <w:lvl w:ilvl="7" w:tplc="04080003">
      <w:start w:val="1"/>
      <w:numFmt w:val="bullet"/>
      <w:lvlText w:val="o"/>
      <w:lvlJc w:val="left"/>
      <w:pPr>
        <w:ind w:left="5477" w:hanging="360"/>
      </w:pPr>
      <w:rPr>
        <w:rFonts w:ascii="Courier New" w:hAnsi="Courier New" w:cs="Courier New" w:hint="default"/>
      </w:rPr>
    </w:lvl>
    <w:lvl w:ilvl="8" w:tplc="04080005">
      <w:start w:val="1"/>
      <w:numFmt w:val="bullet"/>
      <w:lvlText w:val=""/>
      <w:lvlJc w:val="left"/>
      <w:pPr>
        <w:ind w:left="6197" w:hanging="360"/>
      </w:pPr>
      <w:rPr>
        <w:rFonts w:ascii="Wingdings" w:hAnsi="Wingdings" w:hint="default"/>
      </w:rPr>
    </w:lvl>
  </w:abstractNum>
  <w:abstractNum w:abstractNumId="27">
    <w:nsid w:val="66AD448B"/>
    <w:multiLevelType w:val="singleLevel"/>
    <w:tmpl w:val="E6002CD6"/>
    <w:lvl w:ilvl="0">
      <w:start w:val="1"/>
      <w:numFmt w:val="lowerLetter"/>
      <w:pStyle w:val="ParagraphNumbering"/>
      <w:lvlText w:val="(%1)"/>
      <w:lvlJc w:val="left"/>
      <w:pPr>
        <w:tabs>
          <w:tab w:val="num" w:pos="705"/>
        </w:tabs>
        <w:ind w:left="705" w:hanging="705"/>
      </w:pPr>
      <w:rPr>
        <w:rFonts w:hint="default"/>
      </w:rPr>
    </w:lvl>
  </w:abstractNum>
  <w:abstractNum w:abstractNumId="28">
    <w:nsid w:val="7513257D"/>
    <w:multiLevelType w:val="singleLevel"/>
    <w:tmpl w:val="CC8A7736"/>
    <w:lvl w:ilvl="0">
      <w:start w:val="1"/>
      <w:numFmt w:val="bullet"/>
      <w:pStyle w:val="AA1stlevelbullet"/>
      <w:lvlText w:val=""/>
      <w:lvlJc w:val="left"/>
      <w:pPr>
        <w:tabs>
          <w:tab w:val="num" w:pos="283"/>
        </w:tabs>
        <w:ind w:left="283" w:hanging="283"/>
      </w:pPr>
      <w:rPr>
        <w:rFonts w:ascii="Symbol" w:hAnsi="Symbol" w:hint="default"/>
      </w:rPr>
    </w:lvl>
  </w:abstractNum>
  <w:abstractNum w:abstractNumId="29">
    <w:nsid w:val="78344738"/>
    <w:multiLevelType w:val="hybridMultilevel"/>
    <w:tmpl w:val="D6646C0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0">
    <w:nsid w:val="7D364718"/>
    <w:multiLevelType w:val="hybridMultilevel"/>
    <w:tmpl w:val="2B8C26EA"/>
    <w:lvl w:ilvl="0" w:tplc="E81C185A">
      <w:start w:val="1"/>
      <w:numFmt w:val="lowerLetter"/>
      <w:pStyle w:val="indent2"/>
      <w:lvlText w:val="%1."/>
      <w:lvlJc w:val="left"/>
      <w:pPr>
        <w:tabs>
          <w:tab w:val="num" w:pos="720"/>
        </w:tabs>
        <w:ind w:left="720" w:hanging="360"/>
      </w:pPr>
      <w:rPr>
        <w:rFonts w:ascii="Times New Roman" w:hAnsi="Times New Roman"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pStyle w:val="Char"/>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7F006880"/>
    <w:multiLevelType w:val="hybridMultilevel"/>
    <w:tmpl w:val="615CA17C"/>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7"/>
  </w:num>
  <w:num w:numId="5">
    <w:abstractNumId w:val="6"/>
  </w:num>
  <w:num w:numId="6">
    <w:abstractNumId w:val="5"/>
  </w:num>
  <w:num w:numId="7">
    <w:abstractNumId w:val="3"/>
  </w:num>
  <w:num w:numId="8">
    <w:abstractNumId w:val="2"/>
  </w:num>
  <w:num w:numId="9">
    <w:abstractNumId w:val="0"/>
  </w:num>
  <w:num w:numId="10">
    <w:abstractNumId w:val="1"/>
  </w:num>
  <w:num w:numId="11">
    <w:abstractNumId w:val="4"/>
  </w:num>
  <w:num w:numId="12">
    <w:abstractNumId w:val="23"/>
  </w:num>
  <w:num w:numId="13">
    <w:abstractNumId w:val="27"/>
  </w:num>
  <w:num w:numId="14">
    <w:abstractNumId w:val="28"/>
  </w:num>
  <w:num w:numId="15">
    <w:abstractNumId w:val="24"/>
  </w:num>
  <w:num w:numId="16">
    <w:abstractNumId w:val="30"/>
  </w:num>
  <w:num w:numId="17">
    <w:abstractNumId w:val="13"/>
  </w:num>
  <w:num w:numId="18">
    <w:abstractNumId w:val="20"/>
  </w:num>
  <w:num w:numId="19">
    <w:abstractNumId w:val="17"/>
  </w:num>
  <w:num w:numId="20">
    <w:abstractNumId w:val="19"/>
  </w:num>
  <w:num w:numId="21">
    <w:abstractNumId w:val="11"/>
  </w:num>
  <w:num w:numId="22">
    <w:abstractNumId w:val="15"/>
  </w:num>
  <w:num w:numId="23">
    <w:abstractNumId w:val="21"/>
  </w:num>
  <w:num w:numId="24">
    <w:abstractNumId w:val="10"/>
  </w:num>
  <w:num w:numId="25">
    <w:abstractNumId w:val="12"/>
  </w:num>
  <w:num w:numId="26">
    <w:abstractNumId w:val="25"/>
  </w:num>
  <w:num w:numId="27">
    <w:abstractNumId w:val="22"/>
  </w:num>
  <w:num w:numId="28">
    <w:abstractNumId w:val="18"/>
  </w:num>
  <w:num w:numId="29">
    <w:abstractNumId w:val="31"/>
  </w:num>
  <w:num w:numId="30">
    <w:abstractNumId w:val="14"/>
  </w:num>
  <w:num w:numId="31">
    <w:abstractNumId w:val="29"/>
  </w:num>
  <w:num w:numId="32">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E6A"/>
    <w:rsid w:val="000000FA"/>
    <w:rsid w:val="00000145"/>
    <w:rsid w:val="0000036A"/>
    <w:rsid w:val="000003F8"/>
    <w:rsid w:val="00000658"/>
    <w:rsid w:val="00000CFB"/>
    <w:rsid w:val="00000F7E"/>
    <w:rsid w:val="000010DB"/>
    <w:rsid w:val="000017F0"/>
    <w:rsid w:val="0000359C"/>
    <w:rsid w:val="00003D46"/>
    <w:rsid w:val="00004593"/>
    <w:rsid w:val="000055BF"/>
    <w:rsid w:val="00005AD3"/>
    <w:rsid w:val="00005C2E"/>
    <w:rsid w:val="0000610D"/>
    <w:rsid w:val="000062D3"/>
    <w:rsid w:val="00006993"/>
    <w:rsid w:val="00006E03"/>
    <w:rsid w:val="0000730B"/>
    <w:rsid w:val="00007A76"/>
    <w:rsid w:val="00007D43"/>
    <w:rsid w:val="00010342"/>
    <w:rsid w:val="0001054C"/>
    <w:rsid w:val="00010739"/>
    <w:rsid w:val="000109E8"/>
    <w:rsid w:val="00011114"/>
    <w:rsid w:val="00011C3E"/>
    <w:rsid w:val="00011CF6"/>
    <w:rsid w:val="00011D10"/>
    <w:rsid w:val="00012320"/>
    <w:rsid w:val="00012E95"/>
    <w:rsid w:val="000139A9"/>
    <w:rsid w:val="00014227"/>
    <w:rsid w:val="0001441B"/>
    <w:rsid w:val="000149A0"/>
    <w:rsid w:val="00014C02"/>
    <w:rsid w:val="00014C0D"/>
    <w:rsid w:val="00015170"/>
    <w:rsid w:val="000158EC"/>
    <w:rsid w:val="0001609D"/>
    <w:rsid w:val="000167BF"/>
    <w:rsid w:val="00016D0C"/>
    <w:rsid w:val="00017804"/>
    <w:rsid w:val="00017A0C"/>
    <w:rsid w:val="00017E44"/>
    <w:rsid w:val="00020F13"/>
    <w:rsid w:val="00020F56"/>
    <w:rsid w:val="000210DC"/>
    <w:rsid w:val="00022C9B"/>
    <w:rsid w:val="00023377"/>
    <w:rsid w:val="00023476"/>
    <w:rsid w:val="00024497"/>
    <w:rsid w:val="00024D39"/>
    <w:rsid w:val="00025FA7"/>
    <w:rsid w:val="0002626C"/>
    <w:rsid w:val="00026384"/>
    <w:rsid w:val="00026484"/>
    <w:rsid w:val="000276DB"/>
    <w:rsid w:val="00027BE1"/>
    <w:rsid w:val="00027C81"/>
    <w:rsid w:val="00030406"/>
    <w:rsid w:val="00030A5B"/>
    <w:rsid w:val="00030BB8"/>
    <w:rsid w:val="00030DC4"/>
    <w:rsid w:val="00031236"/>
    <w:rsid w:val="00031B4C"/>
    <w:rsid w:val="00031BEA"/>
    <w:rsid w:val="00033738"/>
    <w:rsid w:val="00033B2F"/>
    <w:rsid w:val="0003439F"/>
    <w:rsid w:val="0003442F"/>
    <w:rsid w:val="00034489"/>
    <w:rsid w:val="00035E77"/>
    <w:rsid w:val="00036095"/>
    <w:rsid w:val="00036641"/>
    <w:rsid w:val="000379BC"/>
    <w:rsid w:val="0004070A"/>
    <w:rsid w:val="00040723"/>
    <w:rsid w:val="00040906"/>
    <w:rsid w:val="00040C0D"/>
    <w:rsid w:val="000411CC"/>
    <w:rsid w:val="000415F2"/>
    <w:rsid w:val="000417E8"/>
    <w:rsid w:val="000419F3"/>
    <w:rsid w:val="00041F4F"/>
    <w:rsid w:val="00042960"/>
    <w:rsid w:val="00042B6C"/>
    <w:rsid w:val="00042CD5"/>
    <w:rsid w:val="00042F0E"/>
    <w:rsid w:val="00043464"/>
    <w:rsid w:val="000442F9"/>
    <w:rsid w:val="00044308"/>
    <w:rsid w:val="0004479B"/>
    <w:rsid w:val="00044A4F"/>
    <w:rsid w:val="000452E0"/>
    <w:rsid w:val="00045954"/>
    <w:rsid w:val="000464C9"/>
    <w:rsid w:val="000468C8"/>
    <w:rsid w:val="0004691F"/>
    <w:rsid w:val="00046CAA"/>
    <w:rsid w:val="0004762E"/>
    <w:rsid w:val="000476F0"/>
    <w:rsid w:val="00050E80"/>
    <w:rsid w:val="00051484"/>
    <w:rsid w:val="00051853"/>
    <w:rsid w:val="00052204"/>
    <w:rsid w:val="000524ED"/>
    <w:rsid w:val="00052C16"/>
    <w:rsid w:val="00054386"/>
    <w:rsid w:val="00054722"/>
    <w:rsid w:val="0005495C"/>
    <w:rsid w:val="00054F77"/>
    <w:rsid w:val="000551F1"/>
    <w:rsid w:val="00055608"/>
    <w:rsid w:val="000556E7"/>
    <w:rsid w:val="000561EF"/>
    <w:rsid w:val="000565C7"/>
    <w:rsid w:val="00056674"/>
    <w:rsid w:val="00056FDE"/>
    <w:rsid w:val="000577F2"/>
    <w:rsid w:val="000606BB"/>
    <w:rsid w:val="00061F24"/>
    <w:rsid w:val="00062059"/>
    <w:rsid w:val="00062969"/>
    <w:rsid w:val="00063780"/>
    <w:rsid w:val="00063805"/>
    <w:rsid w:val="0006407F"/>
    <w:rsid w:val="00064100"/>
    <w:rsid w:val="00064346"/>
    <w:rsid w:val="000643B4"/>
    <w:rsid w:val="00064E79"/>
    <w:rsid w:val="00064E91"/>
    <w:rsid w:val="000652B1"/>
    <w:rsid w:val="0006539C"/>
    <w:rsid w:val="00065764"/>
    <w:rsid w:val="00065E85"/>
    <w:rsid w:val="00066160"/>
    <w:rsid w:val="000665AE"/>
    <w:rsid w:val="00070659"/>
    <w:rsid w:val="00070B26"/>
    <w:rsid w:val="000720C9"/>
    <w:rsid w:val="00072BD0"/>
    <w:rsid w:val="00072EAD"/>
    <w:rsid w:val="00073E87"/>
    <w:rsid w:val="00074037"/>
    <w:rsid w:val="0007468E"/>
    <w:rsid w:val="00074C7B"/>
    <w:rsid w:val="00074CF2"/>
    <w:rsid w:val="0007544B"/>
    <w:rsid w:val="00075454"/>
    <w:rsid w:val="000758C9"/>
    <w:rsid w:val="00075DCE"/>
    <w:rsid w:val="00075E0B"/>
    <w:rsid w:val="00075E72"/>
    <w:rsid w:val="00075FAC"/>
    <w:rsid w:val="00076CF8"/>
    <w:rsid w:val="00076E5C"/>
    <w:rsid w:val="00076E9B"/>
    <w:rsid w:val="00080ECA"/>
    <w:rsid w:val="00081204"/>
    <w:rsid w:val="0008135C"/>
    <w:rsid w:val="00081892"/>
    <w:rsid w:val="00083357"/>
    <w:rsid w:val="00083483"/>
    <w:rsid w:val="000835CD"/>
    <w:rsid w:val="0008364C"/>
    <w:rsid w:val="00083D9F"/>
    <w:rsid w:val="0008407B"/>
    <w:rsid w:val="00084304"/>
    <w:rsid w:val="000845C6"/>
    <w:rsid w:val="00084C92"/>
    <w:rsid w:val="00084DA2"/>
    <w:rsid w:val="00084FD8"/>
    <w:rsid w:val="000853BC"/>
    <w:rsid w:val="00086069"/>
    <w:rsid w:val="000861D3"/>
    <w:rsid w:val="0008646E"/>
    <w:rsid w:val="000874D1"/>
    <w:rsid w:val="00091BEC"/>
    <w:rsid w:val="000928E5"/>
    <w:rsid w:val="00092ADA"/>
    <w:rsid w:val="0009394F"/>
    <w:rsid w:val="00093A32"/>
    <w:rsid w:val="00093C5E"/>
    <w:rsid w:val="0009459C"/>
    <w:rsid w:val="00094647"/>
    <w:rsid w:val="00094B8A"/>
    <w:rsid w:val="00094BCA"/>
    <w:rsid w:val="00094C72"/>
    <w:rsid w:val="00094CFA"/>
    <w:rsid w:val="000951A1"/>
    <w:rsid w:val="0009526D"/>
    <w:rsid w:val="00095603"/>
    <w:rsid w:val="000957B0"/>
    <w:rsid w:val="00095C76"/>
    <w:rsid w:val="00095FF4"/>
    <w:rsid w:val="000967D5"/>
    <w:rsid w:val="00096A1D"/>
    <w:rsid w:val="00097CC0"/>
    <w:rsid w:val="00097DFE"/>
    <w:rsid w:val="000A03CB"/>
    <w:rsid w:val="000A062D"/>
    <w:rsid w:val="000A0CA5"/>
    <w:rsid w:val="000A249D"/>
    <w:rsid w:val="000A29D7"/>
    <w:rsid w:val="000A35A5"/>
    <w:rsid w:val="000A35B6"/>
    <w:rsid w:val="000A392D"/>
    <w:rsid w:val="000A4363"/>
    <w:rsid w:val="000A4853"/>
    <w:rsid w:val="000A5055"/>
    <w:rsid w:val="000A5D63"/>
    <w:rsid w:val="000A5F7B"/>
    <w:rsid w:val="000A61BC"/>
    <w:rsid w:val="000A651D"/>
    <w:rsid w:val="000A737A"/>
    <w:rsid w:val="000B05C7"/>
    <w:rsid w:val="000B1153"/>
    <w:rsid w:val="000B17D1"/>
    <w:rsid w:val="000B1F47"/>
    <w:rsid w:val="000B3200"/>
    <w:rsid w:val="000B48BD"/>
    <w:rsid w:val="000B4E8D"/>
    <w:rsid w:val="000B6506"/>
    <w:rsid w:val="000B6675"/>
    <w:rsid w:val="000B6776"/>
    <w:rsid w:val="000B71DE"/>
    <w:rsid w:val="000C04BA"/>
    <w:rsid w:val="000C06A0"/>
    <w:rsid w:val="000C0F54"/>
    <w:rsid w:val="000C12B7"/>
    <w:rsid w:val="000C1C82"/>
    <w:rsid w:val="000C3486"/>
    <w:rsid w:val="000C4BCD"/>
    <w:rsid w:val="000C4CCF"/>
    <w:rsid w:val="000C4F39"/>
    <w:rsid w:val="000C5CA7"/>
    <w:rsid w:val="000C78DD"/>
    <w:rsid w:val="000C7AFA"/>
    <w:rsid w:val="000D01AA"/>
    <w:rsid w:val="000D0675"/>
    <w:rsid w:val="000D0CD2"/>
    <w:rsid w:val="000D109C"/>
    <w:rsid w:val="000D15F0"/>
    <w:rsid w:val="000D1C77"/>
    <w:rsid w:val="000D2801"/>
    <w:rsid w:val="000D290A"/>
    <w:rsid w:val="000D2DC6"/>
    <w:rsid w:val="000D3773"/>
    <w:rsid w:val="000D3D07"/>
    <w:rsid w:val="000D5937"/>
    <w:rsid w:val="000D59E4"/>
    <w:rsid w:val="000D5B25"/>
    <w:rsid w:val="000D6CD3"/>
    <w:rsid w:val="000D777C"/>
    <w:rsid w:val="000D77D3"/>
    <w:rsid w:val="000E0A9D"/>
    <w:rsid w:val="000E0D1B"/>
    <w:rsid w:val="000E10E3"/>
    <w:rsid w:val="000E1420"/>
    <w:rsid w:val="000E15D8"/>
    <w:rsid w:val="000E1892"/>
    <w:rsid w:val="000E1ACD"/>
    <w:rsid w:val="000E1AFF"/>
    <w:rsid w:val="000E1B35"/>
    <w:rsid w:val="000E24CD"/>
    <w:rsid w:val="000E2619"/>
    <w:rsid w:val="000E27EC"/>
    <w:rsid w:val="000E314A"/>
    <w:rsid w:val="000E3A1F"/>
    <w:rsid w:val="000E49B5"/>
    <w:rsid w:val="000E4D1F"/>
    <w:rsid w:val="000E5784"/>
    <w:rsid w:val="000E5A67"/>
    <w:rsid w:val="000E5B81"/>
    <w:rsid w:val="000E6295"/>
    <w:rsid w:val="000E6BFA"/>
    <w:rsid w:val="000E6E23"/>
    <w:rsid w:val="000E713A"/>
    <w:rsid w:val="000E7E2E"/>
    <w:rsid w:val="000E7E30"/>
    <w:rsid w:val="000E7F52"/>
    <w:rsid w:val="000F044B"/>
    <w:rsid w:val="000F05FA"/>
    <w:rsid w:val="000F1111"/>
    <w:rsid w:val="000F13C2"/>
    <w:rsid w:val="000F1BE2"/>
    <w:rsid w:val="000F203F"/>
    <w:rsid w:val="000F2416"/>
    <w:rsid w:val="000F277B"/>
    <w:rsid w:val="000F351F"/>
    <w:rsid w:val="000F43DB"/>
    <w:rsid w:val="000F454B"/>
    <w:rsid w:val="000F49F6"/>
    <w:rsid w:val="000F6180"/>
    <w:rsid w:val="000F7B00"/>
    <w:rsid w:val="000F7E74"/>
    <w:rsid w:val="00100700"/>
    <w:rsid w:val="0010095F"/>
    <w:rsid w:val="00100AA0"/>
    <w:rsid w:val="00101276"/>
    <w:rsid w:val="0010146E"/>
    <w:rsid w:val="00101D6B"/>
    <w:rsid w:val="00101EB8"/>
    <w:rsid w:val="00102779"/>
    <w:rsid w:val="001029F3"/>
    <w:rsid w:val="00102FED"/>
    <w:rsid w:val="0010395D"/>
    <w:rsid w:val="001039EA"/>
    <w:rsid w:val="00103F12"/>
    <w:rsid w:val="001040AB"/>
    <w:rsid w:val="001055F4"/>
    <w:rsid w:val="001057E0"/>
    <w:rsid w:val="00106724"/>
    <w:rsid w:val="00106D84"/>
    <w:rsid w:val="00107910"/>
    <w:rsid w:val="00107C96"/>
    <w:rsid w:val="00110058"/>
    <w:rsid w:val="001104A6"/>
    <w:rsid w:val="00110E16"/>
    <w:rsid w:val="00110FE1"/>
    <w:rsid w:val="00111079"/>
    <w:rsid w:val="00111299"/>
    <w:rsid w:val="001119DE"/>
    <w:rsid w:val="001119FC"/>
    <w:rsid w:val="00111AD9"/>
    <w:rsid w:val="001125C8"/>
    <w:rsid w:val="00113C05"/>
    <w:rsid w:val="001158EB"/>
    <w:rsid w:val="00115906"/>
    <w:rsid w:val="00115DA5"/>
    <w:rsid w:val="00115E3B"/>
    <w:rsid w:val="00115EE2"/>
    <w:rsid w:val="00116088"/>
    <w:rsid w:val="00116C6F"/>
    <w:rsid w:val="00116C8F"/>
    <w:rsid w:val="00120112"/>
    <w:rsid w:val="001202CA"/>
    <w:rsid w:val="0012064F"/>
    <w:rsid w:val="00120EB6"/>
    <w:rsid w:val="00120F7B"/>
    <w:rsid w:val="00121178"/>
    <w:rsid w:val="00121520"/>
    <w:rsid w:val="00121B1E"/>
    <w:rsid w:val="00121CD0"/>
    <w:rsid w:val="001228A2"/>
    <w:rsid w:val="001228A3"/>
    <w:rsid w:val="00122DA9"/>
    <w:rsid w:val="00123319"/>
    <w:rsid w:val="0012351F"/>
    <w:rsid w:val="001236D9"/>
    <w:rsid w:val="00124184"/>
    <w:rsid w:val="001244CE"/>
    <w:rsid w:val="00124A50"/>
    <w:rsid w:val="00124A69"/>
    <w:rsid w:val="0012539A"/>
    <w:rsid w:val="00125689"/>
    <w:rsid w:val="00126152"/>
    <w:rsid w:val="001275BE"/>
    <w:rsid w:val="00127A8F"/>
    <w:rsid w:val="00130578"/>
    <w:rsid w:val="001307CB"/>
    <w:rsid w:val="001309E0"/>
    <w:rsid w:val="00130D59"/>
    <w:rsid w:val="00131E47"/>
    <w:rsid w:val="00131F30"/>
    <w:rsid w:val="001327C3"/>
    <w:rsid w:val="001328FB"/>
    <w:rsid w:val="00132EA3"/>
    <w:rsid w:val="00133283"/>
    <w:rsid w:val="001334CE"/>
    <w:rsid w:val="00133543"/>
    <w:rsid w:val="00133D5A"/>
    <w:rsid w:val="00134A70"/>
    <w:rsid w:val="001357DC"/>
    <w:rsid w:val="00136C4D"/>
    <w:rsid w:val="00137245"/>
    <w:rsid w:val="00137B18"/>
    <w:rsid w:val="00137D74"/>
    <w:rsid w:val="00140117"/>
    <w:rsid w:val="00140580"/>
    <w:rsid w:val="00140607"/>
    <w:rsid w:val="0014090C"/>
    <w:rsid w:val="00141A2A"/>
    <w:rsid w:val="00141B00"/>
    <w:rsid w:val="00141E7B"/>
    <w:rsid w:val="001425B2"/>
    <w:rsid w:val="00142F8A"/>
    <w:rsid w:val="00143B0B"/>
    <w:rsid w:val="00143D06"/>
    <w:rsid w:val="0014423A"/>
    <w:rsid w:val="001443BD"/>
    <w:rsid w:val="00144930"/>
    <w:rsid w:val="00145045"/>
    <w:rsid w:val="00145AB3"/>
    <w:rsid w:val="00145ED1"/>
    <w:rsid w:val="00145EF1"/>
    <w:rsid w:val="00145F1E"/>
    <w:rsid w:val="001469D3"/>
    <w:rsid w:val="00146ACA"/>
    <w:rsid w:val="001474D5"/>
    <w:rsid w:val="00147F59"/>
    <w:rsid w:val="00147F5E"/>
    <w:rsid w:val="001509D2"/>
    <w:rsid w:val="00150E41"/>
    <w:rsid w:val="0015190F"/>
    <w:rsid w:val="0015206C"/>
    <w:rsid w:val="001522EF"/>
    <w:rsid w:val="00152DBB"/>
    <w:rsid w:val="00153EED"/>
    <w:rsid w:val="00154346"/>
    <w:rsid w:val="001547B6"/>
    <w:rsid w:val="00154835"/>
    <w:rsid w:val="00155C06"/>
    <w:rsid w:val="001562CF"/>
    <w:rsid w:val="001562DD"/>
    <w:rsid w:val="001568A6"/>
    <w:rsid w:val="00156BB6"/>
    <w:rsid w:val="00157E12"/>
    <w:rsid w:val="001604B3"/>
    <w:rsid w:val="001610BF"/>
    <w:rsid w:val="001630E8"/>
    <w:rsid w:val="001632C1"/>
    <w:rsid w:val="00163985"/>
    <w:rsid w:val="001647B2"/>
    <w:rsid w:val="00165C82"/>
    <w:rsid w:val="00165E61"/>
    <w:rsid w:val="00166BCE"/>
    <w:rsid w:val="0016763B"/>
    <w:rsid w:val="00167689"/>
    <w:rsid w:val="00167975"/>
    <w:rsid w:val="00167984"/>
    <w:rsid w:val="00170D36"/>
    <w:rsid w:val="00171882"/>
    <w:rsid w:val="001718FB"/>
    <w:rsid w:val="00171B96"/>
    <w:rsid w:val="00172252"/>
    <w:rsid w:val="00172626"/>
    <w:rsid w:val="00172867"/>
    <w:rsid w:val="00173512"/>
    <w:rsid w:val="00173E9F"/>
    <w:rsid w:val="00174248"/>
    <w:rsid w:val="001744B3"/>
    <w:rsid w:val="001746B7"/>
    <w:rsid w:val="00175779"/>
    <w:rsid w:val="00176103"/>
    <w:rsid w:val="001762EC"/>
    <w:rsid w:val="001771BE"/>
    <w:rsid w:val="001776C3"/>
    <w:rsid w:val="001777BE"/>
    <w:rsid w:val="00177EBC"/>
    <w:rsid w:val="00177F32"/>
    <w:rsid w:val="0018056A"/>
    <w:rsid w:val="0018101C"/>
    <w:rsid w:val="001816E4"/>
    <w:rsid w:val="001817FB"/>
    <w:rsid w:val="00181871"/>
    <w:rsid w:val="00181A5B"/>
    <w:rsid w:val="00181DBE"/>
    <w:rsid w:val="00181E48"/>
    <w:rsid w:val="00181E7E"/>
    <w:rsid w:val="0018251D"/>
    <w:rsid w:val="0018290A"/>
    <w:rsid w:val="00182CF6"/>
    <w:rsid w:val="00182FBB"/>
    <w:rsid w:val="00183252"/>
    <w:rsid w:val="00183855"/>
    <w:rsid w:val="00183C9A"/>
    <w:rsid w:val="0018414E"/>
    <w:rsid w:val="00184325"/>
    <w:rsid w:val="001847E9"/>
    <w:rsid w:val="0018559D"/>
    <w:rsid w:val="001855A3"/>
    <w:rsid w:val="0018609B"/>
    <w:rsid w:val="00186835"/>
    <w:rsid w:val="00186883"/>
    <w:rsid w:val="00186896"/>
    <w:rsid w:val="00187716"/>
    <w:rsid w:val="001901E2"/>
    <w:rsid w:val="001901FE"/>
    <w:rsid w:val="00190515"/>
    <w:rsid w:val="00190C90"/>
    <w:rsid w:val="00192168"/>
    <w:rsid w:val="001936CD"/>
    <w:rsid w:val="00193C15"/>
    <w:rsid w:val="00193F81"/>
    <w:rsid w:val="00193FEA"/>
    <w:rsid w:val="00194534"/>
    <w:rsid w:val="001946F5"/>
    <w:rsid w:val="00194962"/>
    <w:rsid w:val="00194A1D"/>
    <w:rsid w:val="00194F17"/>
    <w:rsid w:val="00194FD4"/>
    <w:rsid w:val="0019541E"/>
    <w:rsid w:val="0019543A"/>
    <w:rsid w:val="0019566F"/>
    <w:rsid w:val="001956BB"/>
    <w:rsid w:val="001968BD"/>
    <w:rsid w:val="00196DF3"/>
    <w:rsid w:val="0019729F"/>
    <w:rsid w:val="001978D2"/>
    <w:rsid w:val="001A0664"/>
    <w:rsid w:val="001A1570"/>
    <w:rsid w:val="001A1ED7"/>
    <w:rsid w:val="001A2CD6"/>
    <w:rsid w:val="001A3841"/>
    <w:rsid w:val="001A4AF7"/>
    <w:rsid w:val="001A6BF6"/>
    <w:rsid w:val="001B0818"/>
    <w:rsid w:val="001B0B50"/>
    <w:rsid w:val="001B1092"/>
    <w:rsid w:val="001B1349"/>
    <w:rsid w:val="001B1468"/>
    <w:rsid w:val="001B18DC"/>
    <w:rsid w:val="001B1ADC"/>
    <w:rsid w:val="001B23EB"/>
    <w:rsid w:val="001B23F8"/>
    <w:rsid w:val="001B2875"/>
    <w:rsid w:val="001B297D"/>
    <w:rsid w:val="001B2C36"/>
    <w:rsid w:val="001B2C61"/>
    <w:rsid w:val="001B3055"/>
    <w:rsid w:val="001B315C"/>
    <w:rsid w:val="001B31B3"/>
    <w:rsid w:val="001B327E"/>
    <w:rsid w:val="001B4323"/>
    <w:rsid w:val="001B4508"/>
    <w:rsid w:val="001B4F54"/>
    <w:rsid w:val="001B5329"/>
    <w:rsid w:val="001B5379"/>
    <w:rsid w:val="001B541F"/>
    <w:rsid w:val="001B5C50"/>
    <w:rsid w:val="001B5F23"/>
    <w:rsid w:val="001B67BC"/>
    <w:rsid w:val="001B6C3F"/>
    <w:rsid w:val="001B74AD"/>
    <w:rsid w:val="001C0CAA"/>
    <w:rsid w:val="001C0F9B"/>
    <w:rsid w:val="001C1EF0"/>
    <w:rsid w:val="001C1FA8"/>
    <w:rsid w:val="001C31F5"/>
    <w:rsid w:val="001C3393"/>
    <w:rsid w:val="001C33C2"/>
    <w:rsid w:val="001C474F"/>
    <w:rsid w:val="001C5069"/>
    <w:rsid w:val="001C5433"/>
    <w:rsid w:val="001C5C4E"/>
    <w:rsid w:val="001C7075"/>
    <w:rsid w:val="001C73BD"/>
    <w:rsid w:val="001C77CD"/>
    <w:rsid w:val="001D082C"/>
    <w:rsid w:val="001D08A4"/>
    <w:rsid w:val="001D1229"/>
    <w:rsid w:val="001D1A0D"/>
    <w:rsid w:val="001D2638"/>
    <w:rsid w:val="001D2A61"/>
    <w:rsid w:val="001D2E14"/>
    <w:rsid w:val="001D2E20"/>
    <w:rsid w:val="001D30DB"/>
    <w:rsid w:val="001D346A"/>
    <w:rsid w:val="001D35FD"/>
    <w:rsid w:val="001D3921"/>
    <w:rsid w:val="001D3971"/>
    <w:rsid w:val="001D3A82"/>
    <w:rsid w:val="001D3F00"/>
    <w:rsid w:val="001D411B"/>
    <w:rsid w:val="001D430C"/>
    <w:rsid w:val="001D514B"/>
    <w:rsid w:val="001D592A"/>
    <w:rsid w:val="001D6940"/>
    <w:rsid w:val="001D6CC0"/>
    <w:rsid w:val="001D790F"/>
    <w:rsid w:val="001E0022"/>
    <w:rsid w:val="001E020A"/>
    <w:rsid w:val="001E04D6"/>
    <w:rsid w:val="001E087D"/>
    <w:rsid w:val="001E152C"/>
    <w:rsid w:val="001E1A15"/>
    <w:rsid w:val="001E21D9"/>
    <w:rsid w:val="001E29CE"/>
    <w:rsid w:val="001E370B"/>
    <w:rsid w:val="001E57D2"/>
    <w:rsid w:val="001E689E"/>
    <w:rsid w:val="001E6A50"/>
    <w:rsid w:val="001E6D18"/>
    <w:rsid w:val="001F0A61"/>
    <w:rsid w:val="001F14B1"/>
    <w:rsid w:val="001F14D9"/>
    <w:rsid w:val="001F24B6"/>
    <w:rsid w:val="001F28FF"/>
    <w:rsid w:val="001F3A8B"/>
    <w:rsid w:val="001F4346"/>
    <w:rsid w:val="001F4A11"/>
    <w:rsid w:val="001F4D7F"/>
    <w:rsid w:val="001F4ED3"/>
    <w:rsid w:val="001F5298"/>
    <w:rsid w:val="001F57F6"/>
    <w:rsid w:val="001F5844"/>
    <w:rsid w:val="001F6AF5"/>
    <w:rsid w:val="001F7684"/>
    <w:rsid w:val="00200131"/>
    <w:rsid w:val="0020227B"/>
    <w:rsid w:val="002029A6"/>
    <w:rsid w:val="00203238"/>
    <w:rsid w:val="0020343F"/>
    <w:rsid w:val="00203F52"/>
    <w:rsid w:val="0020496D"/>
    <w:rsid w:val="00205489"/>
    <w:rsid w:val="00205C1E"/>
    <w:rsid w:val="0020603F"/>
    <w:rsid w:val="0020643E"/>
    <w:rsid w:val="00206EC9"/>
    <w:rsid w:val="00207970"/>
    <w:rsid w:val="00207D4C"/>
    <w:rsid w:val="00211708"/>
    <w:rsid w:val="0021279C"/>
    <w:rsid w:val="0021392A"/>
    <w:rsid w:val="00213AB0"/>
    <w:rsid w:val="00213BAC"/>
    <w:rsid w:val="00214B36"/>
    <w:rsid w:val="00214F72"/>
    <w:rsid w:val="00214F93"/>
    <w:rsid w:val="002152F8"/>
    <w:rsid w:val="00215312"/>
    <w:rsid w:val="00215545"/>
    <w:rsid w:val="002162B5"/>
    <w:rsid w:val="002162D7"/>
    <w:rsid w:val="0021686E"/>
    <w:rsid w:val="002169E4"/>
    <w:rsid w:val="00216B52"/>
    <w:rsid w:val="002173D3"/>
    <w:rsid w:val="00217759"/>
    <w:rsid w:val="00217AC8"/>
    <w:rsid w:val="0022023E"/>
    <w:rsid w:val="002206D4"/>
    <w:rsid w:val="00220D83"/>
    <w:rsid w:val="002215E0"/>
    <w:rsid w:val="00222498"/>
    <w:rsid w:val="00222531"/>
    <w:rsid w:val="00222A4D"/>
    <w:rsid w:val="00223384"/>
    <w:rsid w:val="002234D5"/>
    <w:rsid w:val="00223872"/>
    <w:rsid w:val="00223884"/>
    <w:rsid w:val="00224793"/>
    <w:rsid w:val="0022583F"/>
    <w:rsid w:val="00225EF4"/>
    <w:rsid w:val="0022606A"/>
    <w:rsid w:val="00226226"/>
    <w:rsid w:val="002262AD"/>
    <w:rsid w:val="0022692D"/>
    <w:rsid w:val="00226A77"/>
    <w:rsid w:val="00226D72"/>
    <w:rsid w:val="00227800"/>
    <w:rsid w:val="00231149"/>
    <w:rsid w:val="0023152A"/>
    <w:rsid w:val="002320F4"/>
    <w:rsid w:val="00232B90"/>
    <w:rsid w:val="00232CA5"/>
    <w:rsid w:val="00232F5B"/>
    <w:rsid w:val="00233D1F"/>
    <w:rsid w:val="00234C90"/>
    <w:rsid w:val="00234F20"/>
    <w:rsid w:val="0023532E"/>
    <w:rsid w:val="00235E51"/>
    <w:rsid w:val="00235FBF"/>
    <w:rsid w:val="002360E2"/>
    <w:rsid w:val="00236460"/>
    <w:rsid w:val="0023719D"/>
    <w:rsid w:val="002371B0"/>
    <w:rsid w:val="0023751D"/>
    <w:rsid w:val="00240A0E"/>
    <w:rsid w:val="00240CA2"/>
    <w:rsid w:val="00240F84"/>
    <w:rsid w:val="0024120F"/>
    <w:rsid w:val="00241E53"/>
    <w:rsid w:val="002424A6"/>
    <w:rsid w:val="002428F1"/>
    <w:rsid w:val="0024322B"/>
    <w:rsid w:val="002434B2"/>
    <w:rsid w:val="00243B95"/>
    <w:rsid w:val="00243D77"/>
    <w:rsid w:val="00244117"/>
    <w:rsid w:val="002445C2"/>
    <w:rsid w:val="002447AE"/>
    <w:rsid w:val="00244B0E"/>
    <w:rsid w:val="00245E91"/>
    <w:rsid w:val="002460B6"/>
    <w:rsid w:val="002468BB"/>
    <w:rsid w:val="00246A0F"/>
    <w:rsid w:val="00246A16"/>
    <w:rsid w:val="00246F74"/>
    <w:rsid w:val="0024719A"/>
    <w:rsid w:val="002472FB"/>
    <w:rsid w:val="0024756C"/>
    <w:rsid w:val="00247CC1"/>
    <w:rsid w:val="00247D4C"/>
    <w:rsid w:val="00247D72"/>
    <w:rsid w:val="00247F05"/>
    <w:rsid w:val="002509A1"/>
    <w:rsid w:val="00250E9F"/>
    <w:rsid w:val="00250FD3"/>
    <w:rsid w:val="00251193"/>
    <w:rsid w:val="00251560"/>
    <w:rsid w:val="00251928"/>
    <w:rsid w:val="00251B23"/>
    <w:rsid w:val="00251E77"/>
    <w:rsid w:val="00251EFC"/>
    <w:rsid w:val="0025252F"/>
    <w:rsid w:val="002532C3"/>
    <w:rsid w:val="002539A5"/>
    <w:rsid w:val="00253E51"/>
    <w:rsid w:val="002547D7"/>
    <w:rsid w:val="002547E3"/>
    <w:rsid w:val="002548B6"/>
    <w:rsid w:val="00255034"/>
    <w:rsid w:val="0025576D"/>
    <w:rsid w:val="00255922"/>
    <w:rsid w:val="0025697E"/>
    <w:rsid w:val="0025720B"/>
    <w:rsid w:val="00257EBF"/>
    <w:rsid w:val="00262070"/>
    <w:rsid w:val="002620A7"/>
    <w:rsid w:val="00262786"/>
    <w:rsid w:val="00262C5A"/>
    <w:rsid w:val="0026381D"/>
    <w:rsid w:val="00263A05"/>
    <w:rsid w:val="00264BBF"/>
    <w:rsid w:val="00264FF8"/>
    <w:rsid w:val="00265920"/>
    <w:rsid w:val="00266666"/>
    <w:rsid w:val="00266BDE"/>
    <w:rsid w:val="00266E04"/>
    <w:rsid w:val="002679C4"/>
    <w:rsid w:val="002727F7"/>
    <w:rsid w:val="002729E1"/>
    <w:rsid w:val="00272AD8"/>
    <w:rsid w:val="0027385F"/>
    <w:rsid w:val="00274D08"/>
    <w:rsid w:val="00275F6C"/>
    <w:rsid w:val="002763F9"/>
    <w:rsid w:val="00276547"/>
    <w:rsid w:val="00276924"/>
    <w:rsid w:val="00276B7D"/>
    <w:rsid w:val="00277368"/>
    <w:rsid w:val="002776DD"/>
    <w:rsid w:val="00277B79"/>
    <w:rsid w:val="00280344"/>
    <w:rsid w:val="002807FB"/>
    <w:rsid w:val="00281CB9"/>
    <w:rsid w:val="00281D50"/>
    <w:rsid w:val="002820CB"/>
    <w:rsid w:val="002826DF"/>
    <w:rsid w:val="002828B0"/>
    <w:rsid w:val="002830A2"/>
    <w:rsid w:val="00283FA5"/>
    <w:rsid w:val="00283FE3"/>
    <w:rsid w:val="00284102"/>
    <w:rsid w:val="00284A88"/>
    <w:rsid w:val="002850E4"/>
    <w:rsid w:val="0028533D"/>
    <w:rsid w:val="002856C9"/>
    <w:rsid w:val="00285A75"/>
    <w:rsid w:val="00286121"/>
    <w:rsid w:val="0028612E"/>
    <w:rsid w:val="00286217"/>
    <w:rsid w:val="00286277"/>
    <w:rsid w:val="002868E2"/>
    <w:rsid w:val="00286AE2"/>
    <w:rsid w:val="0028766D"/>
    <w:rsid w:val="0028785F"/>
    <w:rsid w:val="002904E8"/>
    <w:rsid w:val="00290A5A"/>
    <w:rsid w:val="00290B6D"/>
    <w:rsid w:val="00291054"/>
    <w:rsid w:val="0029170B"/>
    <w:rsid w:val="00292E82"/>
    <w:rsid w:val="0029309F"/>
    <w:rsid w:val="002945DF"/>
    <w:rsid w:val="00294990"/>
    <w:rsid w:val="00294D8F"/>
    <w:rsid w:val="00294FAB"/>
    <w:rsid w:val="00295202"/>
    <w:rsid w:val="002955DA"/>
    <w:rsid w:val="002962B4"/>
    <w:rsid w:val="00296356"/>
    <w:rsid w:val="00296499"/>
    <w:rsid w:val="00297F63"/>
    <w:rsid w:val="002A0625"/>
    <w:rsid w:val="002A0A33"/>
    <w:rsid w:val="002A0FA1"/>
    <w:rsid w:val="002A1C66"/>
    <w:rsid w:val="002A1D6F"/>
    <w:rsid w:val="002A21FC"/>
    <w:rsid w:val="002A2E19"/>
    <w:rsid w:val="002A345B"/>
    <w:rsid w:val="002A34C3"/>
    <w:rsid w:val="002A350F"/>
    <w:rsid w:val="002A3CEA"/>
    <w:rsid w:val="002A4C90"/>
    <w:rsid w:val="002A4F2F"/>
    <w:rsid w:val="002A5BCD"/>
    <w:rsid w:val="002A685E"/>
    <w:rsid w:val="002A6BF7"/>
    <w:rsid w:val="002A6D38"/>
    <w:rsid w:val="002A7BA2"/>
    <w:rsid w:val="002A7BE5"/>
    <w:rsid w:val="002A7FF1"/>
    <w:rsid w:val="002B06E2"/>
    <w:rsid w:val="002B08D5"/>
    <w:rsid w:val="002B33B0"/>
    <w:rsid w:val="002B34BA"/>
    <w:rsid w:val="002B372F"/>
    <w:rsid w:val="002B3F96"/>
    <w:rsid w:val="002B4019"/>
    <w:rsid w:val="002B44B4"/>
    <w:rsid w:val="002B44F4"/>
    <w:rsid w:val="002B4F5B"/>
    <w:rsid w:val="002B56B0"/>
    <w:rsid w:val="002B597F"/>
    <w:rsid w:val="002B724A"/>
    <w:rsid w:val="002B7BDF"/>
    <w:rsid w:val="002C001C"/>
    <w:rsid w:val="002C0132"/>
    <w:rsid w:val="002C0192"/>
    <w:rsid w:val="002C025A"/>
    <w:rsid w:val="002C0C06"/>
    <w:rsid w:val="002C115F"/>
    <w:rsid w:val="002C26F6"/>
    <w:rsid w:val="002C29C3"/>
    <w:rsid w:val="002C3394"/>
    <w:rsid w:val="002C34C8"/>
    <w:rsid w:val="002C366E"/>
    <w:rsid w:val="002C403B"/>
    <w:rsid w:val="002C439C"/>
    <w:rsid w:val="002C4D95"/>
    <w:rsid w:val="002C6DEC"/>
    <w:rsid w:val="002C7332"/>
    <w:rsid w:val="002C76A7"/>
    <w:rsid w:val="002D0324"/>
    <w:rsid w:val="002D0546"/>
    <w:rsid w:val="002D05E2"/>
    <w:rsid w:val="002D0646"/>
    <w:rsid w:val="002D0792"/>
    <w:rsid w:val="002D079A"/>
    <w:rsid w:val="002D163E"/>
    <w:rsid w:val="002D296A"/>
    <w:rsid w:val="002D2D7A"/>
    <w:rsid w:val="002D31A5"/>
    <w:rsid w:val="002D31FE"/>
    <w:rsid w:val="002D3397"/>
    <w:rsid w:val="002D394A"/>
    <w:rsid w:val="002D43C9"/>
    <w:rsid w:val="002D44D5"/>
    <w:rsid w:val="002D4E04"/>
    <w:rsid w:val="002D560A"/>
    <w:rsid w:val="002D5755"/>
    <w:rsid w:val="002D57B5"/>
    <w:rsid w:val="002D5C19"/>
    <w:rsid w:val="002D5C85"/>
    <w:rsid w:val="002D6342"/>
    <w:rsid w:val="002D69E1"/>
    <w:rsid w:val="002D735A"/>
    <w:rsid w:val="002D7405"/>
    <w:rsid w:val="002E0869"/>
    <w:rsid w:val="002E0D5E"/>
    <w:rsid w:val="002E1F5A"/>
    <w:rsid w:val="002E2672"/>
    <w:rsid w:val="002E2C10"/>
    <w:rsid w:val="002E2C87"/>
    <w:rsid w:val="002E3BFD"/>
    <w:rsid w:val="002E40A5"/>
    <w:rsid w:val="002E41C9"/>
    <w:rsid w:val="002E46F9"/>
    <w:rsid w:val="002E6441"/>
    <w:rsid w:val="002E64EE"/>
    <w:rsid w:val="002E69D6"/>
    <w:rsid w:val="002E6ADE"/>
    <w:rsid w:val="002E6B94"/>
    <w:rsid w:val="002E72F0"/>
    <w:rsid w:val="002E7B0B"/>
    <w:rsid w:val="002F04C7"/>
    <w:rsid w:val="002F073F"/>
    <w:rsid w:val="002F07F0"/>
    <w:rsid w:val="002F1962"/>
    <w:rsid w:val="002F19AB"/>
    <w:rsid w:val="002F1ACA"/>
    <w:rsid w:val="002F1BE3"/>
    <w:rsid w:val="002F20B1"/>
    <w:rsid w:val="002F212F"/>
    <w:rsid w:val="002F2A86"/>
    <w:rsid w:val="002F3181"/>
    <w:rsid w:val="002F3CDD"/>
    <w:rsid w:val="002F3E2D"/>
    <w:rsid w:val="002F4640"/>
    <w:rsid w:val="002F47AD"/>
    <w:rsid w:val="002F4B81"/>
    <w:rsid w:val="002F6B64"/>
    <w:rsid w:val="002F6E56"/>
    <w:rsid w:val="002F7603"/>
    <w:rsid w:val="002F7E23"/>
    <w:rsid w:val="00300B7C"/>
    <w:rsid w:val="00300E74"/>
    <w:rsid w:val="00300F55"/>
    <w:rsid w:val="003018EB"/>
    <w:rsid w:val="003026B4"/>
    <w:rsid w:val="00302AC7"/>
    <w:rsid w:val="00302DB7"/>
    <w:rsid w:val="00302E55"/>
    <w:rsid w:val="00303095"/>
    <w:rsid w:val="003039FC"/>
    <w:rsid w:val="0030413B"/>
    <w:rsid w:val="003057F5"/>
    <w:rsid w:val="00305CDA"/>
    <w:rsid w:val="0030606A"/>
    <w:rsid w:val="00306290"/>
    <w:rsid w:val="0030772F"/>
    <w:rsid w:val="0030799D"/>
    <w:rsid w:val="00307DC5"/>
    <w:rsid w:val="0031021C"/>
    <w:rsid w:val="003111A0"/>
    <w:rsid w:val="00311CDC"/>
    <w:rsid w:val="00312BEB"/>
    <w:rsid w:val="003131B1"/>
    <w:rsid w:val="00313882"/>
    <w:rsid w:val="00314186"/>
    <w:rsid w:val="00314CC7"/>
    <w:rsid w:val="00315607"/>
    <w:rsid w:val="00315D68"/>
    <w:rsid w:val="00315DD6"/>
    <w:rsid w:val="00316229"/>
    <w:rsid w:val="00316AE6"/>
    <w:rsid w:val="00316F6E"/>
    <w:rsid w:val="00317DEF"/>
    <w:rsid w:val="00320349"/>
    <w:rsid w:val="00320B0E"/>
    <w:rsid w:val="003216C7"/>
    <w:rsid w:val="00321B8E"/>
    <w:rsid w:val="00321D50"/>
    <w:rsid w:val="003232FD"/>
    <w:rsid w:val="00323F6A"/>
    <w:rsid w:val="003245D1"/>
    <w:rsid w:val="0032478C"/>
    <w:rsid w:val="003247F7"/>
    <w:rsid w:val="00324C48"/>
    <w:rsid w:val="00324C83"/>
    <w:rsid w:val="00324DC0"/>
    <w:rsid w:val="003257CF"/>
    <w:rsid w:val="00325937"/>
    <w:rsid w:val="00325C8F"/>
    <w:rsid w:val="00325D50"/>
    <w:rsid w:val="00326356"/>
    <w:rsid w:val="00326470"/>
    <w:rsid w:val="003266F6"/>
    <w:rsid w:val="003267A5"/>
    <w:rsid w:val="00326BD8"/>
    <w:rsid w:val="00327C11"/>
    <w:rsid w:val="00330492"/>
    <w:rsid w:val="00330B1F"/>
    <w:rsid w:val="00331E40"/>
    <w:rsid w:val="00332866"/>
    <w:rsid w:val="00332B38"/>
    <w:rsid w:val="00332B68"/>
    <w:rsid w:val="00333529"/>
    <w:rsid w:val="00333B3A"/>
    <w:rsid w:val="00333CC1"/>
    <w:rsid w:val="00333F39"/>
    <w:rsid w:val="0033447F"/>
    <w:rsid w:val="00334C60"/>
    <w:rsid w:val="00334D53"/>
    <w:rsid w:val="00334F34"/>
    <w:rsid w:val="0033561F"/>
    <w:rsid w:val="003359AC"/>
    <w:rsid w:val="003359DE"/>
    <w:rsid w:val="00335D3C"/>
    <w:rsid w:val="00337C39"/>
    <w:rsid w:val="0034054F"/>
    <w:rsid w:val="00340C4D"/>
    <w:rsid w:val="0034193C"/>
    <w:rsid w:val="003419ED"/>
    <w:rsid w:val="00343CA9"/>
    <w:rsid w:val="00344885"/>
    <w:rsid w:val="003456B1"/>
    <w:rsid w:val="003462E4"/>
    <w:rsid w:val="003465B7"/>
    <w:rsid w:val="0034667B"/>
    <w:rsid w:val="00346AE9"/>
    <w:rsid w:val="0034736B"/>
    <w:rsid w:val="003477CE"/>
    <w:rsid w:val="00347D79"/>
    <w:rsid w:val="0035001C"/>
    <w:rsid w:val="00350FDD"/>
    <w:rsid w:val="00351CDE"/>
    <w:rsid w:val="00351DBA"/>
    <w:rsid w:val="00352BBC"/>
    <w:rsid w:val="00352CC8"/>
    <w:rsid w:val="00353656"/>
    <w:rsid w:val="0035407D"/>
    <w:rsid w:val="00354161"/>
    <w:rsid w:val="00355E9A"/>
    <w:rsid w:val="00356469"/>
    <w:rsid w:val="00356A32"/>
    <w:rsid w:val="00361285"/>
    <w:rsid w:val="0036276F"/>
    <w:rsid w:val="003628D6"/>
    <w:rsid w:val="0036345C"/>
    <w:rsid w:val="003640AE"/>
    <w:rsid w:val="00364766"/>
    <w:rsid w:val="003648A8"/>
    <w:rsid w:val="00364EDF"/>
    <w:rsid w:val="00365247"/>
    <w:rsid w:val="003657AA"/>
    <w:rsid w:val="00365A2A"/>
    <w:rsid w:val="003663F8"/>
    <w:rsid w:val="00366650"/>
    <w:rsid w:val="00366AB4"/>
    <w:rsid w:val="00366B96"/>
    <w:rsid w:val="00366C31"/>
    <w:rsid w:val="00366E7C"/>
    <w:rsid w:val="00367544"/>
    <w:rsid w:val="00370FD9"/>
    <w:rsid w:val="00371BC6"/>
    <w:rsid w:val="00372CBD"/>
    <w:rsid w:val="0037406F"/>
    <w:rsid w:val="003749BE"/>
    <w:rsid w:val="00374A15"/>
    <w:rsid w:val="00374F03"/>
    <w:rsid w:val="003757B2"/>
    <w:rsid w:val="003758E8"/>
    <w:rsid w:val="00375DF2"/>
    <w:rsid w:val="0037698E"/>
    <w:rsid w:val="00377396"/>
    <w:rsid w:val="00377593"/>
    <w:rsid w:val="00380288"/>
    <w:rsid w:val="003818E3"/>
    <w:rsid w:val="003828DF"/>
    <w:rsid w:val="0038315F"/>
    <w:rsid w:val="00384358"/>
    <w:rsid w:val="0038443E"/>
    <w:rsid w:val="00384508"/>
    <w:rsid w:val="003845AB"/>
    <w:rsid w:val="00384C79"/>
    <w:rsid w:val="00384D52"/>
    <w:rsid w:val="00385514"/>
    <w:rsid w:val="00385E1B"/>
    <w:rsid w:val="0038660B"/>
    <w:rsid w:val="003872BE"/>
    <w:rsid w:val="00387540"/>
    <w:rsid w:val="00387547"/>
    <w:rsid w:val="003876D5"/>
    <w:rsid w:val="00387948"/>
    <w:rsid w:val="00387C10"/>
    <w:rsid w:val="00387D76"/>
    <w:rsid w:val="003909CE"/>
    <w:rsid w:val="00390C28"/>
    <w:rsid w:val="00391B84"/>
    <w:rsid w:val="00392288"/>
    <w:rsid w:val="00392421"/>
    <w:rsid w:val="00393534"/>
    <w:rsid w:val="003936C4"/>
    <w:rsid w:val="00393FA3"/>
    <w:rsid w:val="00394767"/>
    <w:rsid w:val="00394E45"/>
    <w:rsid w:val="00395926"/>
    <w:rsid w:val="003963C9"/>
    <w:rsid w:val="003967E6"/>
    <w:rsid w:val="00396AC2"/>
    <w:rsid w:val="00396DA2"/>
    <w:rsid w:val="00396EEE"/>
    <w:rsid w:val="00397AC3"/>
    <w:rsid w:val="003A0058"/>
    <w:rsid w:val="003A04F6"/>
    <w:rsid w:val="003A1E23"/>
    <w:rsid w:val="003A2B4B"/>
    <w:rsid w:val="003A2BBE"/>
    <w:rsid w:val="003A3665"/>
    <w:rsid w:val="003A36CF"/>
    <w:rsid w:val="003A3722"/>
    <w:rsid w:val="003A3F78"/>
    <w:rsid w:val="003A457F"/>
    <w:rsid w:val="003A4635"/>
    <w:rsid w:val="003A48C2"/>
    <w:rsid w:val="003A567C"/>
    <w:rsid w:val="003A6186"/>
    <w:rsid w:val="003A667E"/>
    <w:rsid w:val="003A6FD7"/>
    <w:rsid w:val="003A7070"/>
    <w:rsid w:val="003A7074"/>
    <w:rsid w:val="003A71D5"/>
    <w:rsid w:val="003A7206"/>
    <w:rsid w:val="003B0160"/>
    <w:rsid w:val="003B02F9"/>
    <w:rsid w:val="003B0718"/>
    <w:rsid w:val="003B0DF9"/>
    <w:rsid w:val="003B0DFA"/>
    <w:rsid w:val="003B17DC"/>
    <w:rsid w:val="003B1898"/>
    <w:rsid w:val="003B1B87"/>
    <w:rsid w:val="003B1DD3"/>
    <w:rsid w:val="003B20EF"/>
    <w:rsid w:val="003B2800"/>
    <w:rsid w:val="003B2A78"/>
    <w:rsid w:val="003B3213"/>
    <w:rsid w:val="003B381B"/>
    <w:rsid w:val="003B389E"/>
    <w:rsid w:val="003B401B"/>
    <w:rsid w:val="003B4CE6"/>
    <w:rsid w:val="003B4D8D"/>
    <w:rsid w:val="003B4E7A"/>
    <w:rsid w:val="003B573B"/>
    <w:rsid w:val="003B5B41"/>
    <w:rsid w:val="003B6D6A"/>
    <w:rsid w:val="003B79F5"/>
    <w:rsid w:val="003C0A6E"/>
    <w:rsid w:val="003C0B0C"/>
    <w:rsid w:val="003C10FE"/>
    <w:rsid w:val="003C389B"/>
    <w:rsid w:val="003C3A22"/>
    <w:rsid w:val="003C4710"/>
    <w:rsid w:val="003C494E"/>
    <w:rsid w:val="003C4B1A"/>
    <w:rsid w:val="003C516B"/>
    <w:rsid w:val="003C56E3"/>
    <w:rsid w:val="003C5E21"/>
    <w:rsid w:val="003C61BD"/>
    <w:rsid w:val="003C6B3B"/>
    <w:rsid w:val="003C6F8E"/>
    <w:rsid w:val="003C70A8"/>
    <w:rsid w:val="003C76C6"/>
    <w:rsid w:val="003C7FE3"/>
    <w:rsid w:val="003D13D5"/>
    <w:rsid w:val="003D16D6"/>
    <w:rsid w:val="003D190C"/>
    <w:rsid w:val="003D2357"/>
    <w:rsid w:val="003D2585"/>
    <w:rsid w:val="003D2BC9"/>
    <w:rsid w:val="003D2D50"/>
    <w:rsid w:val="003D2E8D"/>
    <w:rsid w:val="003D2F4C"/>
    <w:rsid w:val="003D32DE"/>
    <w:rsid w:val="003D46D8"/>
    <w:rsid w:val="003D508A"/>
    <w:rsid w:val="003D52B5"/>
    <w:rsid w:val="003D5432"/>
    <w:rsid w:val="003D5A18"/>
    <w:rsid w:val="003D5E0B"/>
    <w:rsid w:val="003D621D"/>
    <w:rsid w:val="003D626E"/>
    <w:rsid w:val="003D67E6"/>
    <w:rsid w:val="003D69A8"/>
    <w:rsid w:val="003D713F"/>
    <w:rsid w:val="003E0304"/>
    <w:rsid w:val="003E06FF"/>
    <w:rsid w:val="003E0FB8"/>
    <w:rsid w:val="003E13CC"/>
    <w:rsid w:val="003E14E1"/>
    <w:rsid w:val="003E1E52"/>
    <w:rsid w:val="003E293A"/>
    <w:rsid w:val="003E2A47"/>
    <w:rsid w:val="003E2F00"/>
    <w:rsid w:val="003E37B7"/>
    <w:rsid w:val="003E38B0"/>
    <w:rsid w:val="003E3BCE"/>
    <w:rsid w:val="003E4F77"/>
    <w:rsid w:val="003E50F7"/>
    <w:rsid w:val="003E5127"/>
    <w:rsid w:val="003E54C6"/>
    <w:rsid w:val="003E5546"/>
    <w:rsid w:val="003E588D"/>
    <w:rsid w:val="003E5B52"/>
    <w:rsid w:val="003E5DC7"/>
    <w:rsid w:val="003E69FA"/>
    <w:rsid w:val="003E6A33"/>
    <w:rsid w:val="003E7A51"/>
    <w:rsid w:val="003E7C57"/>
    <w:rsid w:val="003F1000"/>
    <w:rsid w:val="003F113A"/>
    <w:rsid w:val="003F1D3E"/>
    <w:rsid w:val="003F2212"/>
    <w:rsid w:val="003F2C63"/>
    <w:rsid w:val="003F300F"/>
    <w:rsid w:val="003F3AD9"/>
    <w:rsid w:val="003F44F4"/>
    <w:rsid w:val="003F50D1"/>
    <w:rsid w:val="003F5AC7"/>
    <w:rsid w:val="003F5C92"/>
    <w:rsid w:val="003F5FA2"/>
    <w:rsid w:val="003F6483"/>
    <w:rsid w:val="003F737E"/>
    <w:rsid w:val="003F789E"/>
    <w:rsid w:val="003F7C51"/>
    <w:rsid w:val="004004A1"/>
    <w:rsid w:val="004008B5"/>
    <w:rsid w:val="004015E0"/>
    <w:rsid w:val="00401824"/>
    <w:rsid w:val="00401C74"/>
    <w:rsid w:val="00402844"/>
    <w:rsid w:val="00402961"/>
    <w:rsid w:val="004029B2"/>
    <w:rsid w:val="00403478"/>
    <w:rsid w:val="00403DDB"/>
    <w:rsid w:val="00403F20"/>
    <w:rsid w:val="00404FF5"/>
    <w:rsid w:val="0040524F"/>
    <w:rsid w:val="00405769"/>
    <w:rsid w:val="00405873"/>
    <w:rsid w:val="00405892"/>
    <w:rsid w:val="004058E1"/>
    <w:rsid w:val="004061C6"/>
    <w:rsid w:val="0040693B"/>
    <w:rsid w:val="00406A07"/>
    <w:rsid w:val="00406CB9"/>
    <w:rsid w:val="0040766D"/>
    <w:rsid w:val="00407FF1"/>
    <w:rsid w:val="00410065"/>
    <w:rsid w:val="0041068F"/>
    <w:rsid w:val="0041097F"/>
    <w:rsid w:val="00410A36"/>
    <w:rsid w:val="00410A8C"/>
    <w:rsid w:val="004118B1"/>
    <w:rsid w:val="00411909"/>
    <w:rsid w:val="0041248C"/>
    <w:rsid w:val="004128C6"/>
    <w:rsid w:val="00413724"/>
    <w:rsid w:val="004137C0"/>
    <w:rsid w:val="004141D5"/>
    <w:rsid w:val="00414303"/>
    <w:rsid w:val="004150C8"/>
    <w:rsid w:val="00415711"/>
    <w:rsid w:val="004163DC"/>
    <w:rsid w:val="00416D15"/>
    <w:rsid w:val="00416FD5"/>
    <w:rsid w:val="00417D03"/>
    <w:rsid w:val="00420281"/>
    <w:rsid w:val="0042036C"/>
    <w:rsid w:val="0042046D"/>
    <w:rsid w:val="00420A4B"/>
    <w:rsid w:val="0042156B"/>
    <w:rsid w:val="00421995"/>
    <w:rsid w:val="00422215"/>
    <w:rsid w:val="00422930"/>
    <w:rsid w:val="0042447B"/>
    <w:rsid w:val="00424D44"/>
    <w:rsid w:val="00425684"/>
    <w:rsid w:val="00425A3D"/>
    <w:rsid w:val="0042672C"/>
    <w:rsid w:val="00426803"/>
    <w:rsid w:val="004278CC"/>
    <w:rsid w:val="00427987"/>
    <w:rsid w:val="00427B5C"/>
    <w:rsid w:val="00427D15"/>
    <w:rsid w:val="00430073"/>
    <w:rsid w:val="004304D3"/>
    <w:rsid w:val="00430841"/>
    <w:rsid w:val="00430F97"/>
    <w:rsid w:val="004317FD"/>
    <w:rsid w:val="00431EC0"/>
    <w:rsid w:val="0043249A"/>
    <w:rsid w:val="0043250F"/>
    <w:rsid w:val="00432B00"/>
    <w:rsid w:val="00432B75"/>
    <w:rsid w:val="00433498"/>
    <w:rsid w:val="00433610"/>
    <w:rsid w:val="00433627"/>
    <w:rsid w:val="00433842"/>
    <w:rsid w:val="0043398F"/>
    <w:rsid w:val="004343A2"/>
    <w:rsid w:val="0043490E"/>
    <w:rsid w:val="00434FDE"/>
    <w:rsid w:val="00435237"/>
    <w:rsid w:val="00435706"/>
    <w:rsid w:val="004366BF"/>
    <w:rsid w:val="00436B2B"/>
    <w:rsid w:val="004373B8"/>
    <w:rsid w:val="0044053F"/>
    <w:rsid w:val="00440553"/>
    <w:rsid w:val="004416A0"/>
    <w:rsid w:val="004417DE"/>
    <w:rsid w:val="004418D8"/>
    <w:rsid w:val="00441B70"/>
    <w:rsid w:val="00442159"/>
    <w:rsid w:val="004423CF"/>
    <w:rsid w:val="0044257F"/>
    <w:rsid w:val="00442636"/>
    <w:rsid w:val="00442A54"/>
    <w:rsid w:val="00442A5B"/>
    <w:rsid w:val="00442D67"/>
    <w:rsid w:val="004434DD"/>
    <w:rsid w:val="00443540"/>
    <w:rsid w:val="00443AE7"/>
    <w:rsid w:val="004451AD"/>
    <w:rsid w:val="004457BA"/>
    <w:rsid w:val="00445CBA"/>
    <w:rsid w:val="00446C09"/>
    <w:rsid w:val="00446C67"/>
    <w:rsid w:val="0044766F"/>
    <w:rsid w:val="00447FD5"/>
    <w:rsid w:val="00450380"/>
    <w:rsid w:val="00450C83"/>
    <w:rsid w:val="00452818"/>
    <w:rsid w:val="00452F2B"/>
    <w:rsid w:val="004546F1"/>
    <w:rsid w:val="00454A92"/>
    <w:rsid w:val="00455529"/>
    <w:rsid w:val="004556A8"/>
    <w:rsid w:val="00455A93"/>
    <w:rsid w:val="0045642B"/>
    <w:rsid w:val="004566CC"/>
    <w:rsid w:val="00456C65"/>
    <w:rsid w:val="00456DFA"/>
    <w:rsid w:val="004600D6"/>
    <w:rsid w:val="0046049E"/>
    <w:rsid w:val="00460EC1"/>
    <w:rsid w:val="00461760"/>
    <w:rsid w:val="00462752"/>
    <w:rsid w:val="0046393C"/>
    <w:rsid w:val="00463EE4"/>
    <w:rsid w:val="0046435A"/>
    <w:rsid w:val="004647B5"/>
    <w:rsid w:val="004649DB"/>
    <w:rsid w:val="00464F1D"/>
    <w:rsid w:val="00466541"/>
    <w:rsid w:val="0046654B"/>
    <w:rsid w:val="00466A8E"/>
    <w:rsid w:val="00466CB0"/>
    <w:rsid w:val="00467980"/>
    <w:rsid w:val="00467D11"/>
    <w:rsid w:val="0047016E"/>
    <w:rsid w:val="00470273"/>
    <w:rsid w:val="004703F7"/>
    <w:rsid w:val="00471098"/>
    <w:rsid w:val="00471AC9"/>
    <w:rsid w:val="00471E52"/>
    <w:rsid w:val="00471F2F"/>
    <w:rsid w:val="0047202B"/>
    <w:rsid w:val="00472276"/>
    <w:rsid w:val="004735E6"/>
    <w:rsid w:val="004739B7"/>
    <w:rsid w:val="00473FDA"/>
    <w:rsid w:val="00474059"/>
    <w:rsid w:val="00474503"/>
    <w:rsid w:val="00474F25"/>
    <w:rsid w:val="004752EF"/>
    <w:rsid w:val="0047582E"/>
    <w:rsid w:val="004766B2"/>
    <w:rsid w:val="0047721E"/>
    <w:rsid w:val="004778B7"/>
    <w:rsid w:val="004803B2"/>
    <w:rsid w:val="00480E45"/>
    <w:rsid w:val="004821AF"/>
    <w:rsid w:val="0048319B"/>
    <w:rsid w:val="00483751"/>
    <w:rsid w:val="00483C21"/>
    <w:rsid w:val="00483DF5"/>
    <w:rsid w:val="004840E5"/>
    <w:rsid w:val="00484728"/>
    <w:rsid w:val="0048571E"/>
    <w:rsid w:val="00485DD1"/>
    <w:rsid w:val="00487392"/>
    <w:rsid w:val="0048750A"/>
    <w:rsid w:val="00487510"/>
    <w:rsid w:val="004875EB"/>
    <w:rsid w:val="00490893"/>
    <w:rsid w:val="00490FF3"/>
    <w:rsid w:val="00491243"/>
    <w:rsid w:val="00491849"/>
    <w:rsid w:val="00491C4C"/>
    <w:rsid w:val="00491F90"/>
    <w:rsid w:val="0049247F"/>
    <w:rsid w:val="00493C76"/>
    <w:rsid w:val="00493FA1"/>
    <w:rsid w:val="00494034"/>
    <w:rsid w:val="004942F9"/>
    <w:rsid w:val="00494687"/>
    <w:rsid w:val="00494A30"/>
    <w:rsid w:val="00495EF7"/>
    <w:rsid w:val="00496632"/>
    <w:rsid w:val="004966AF"/>
    <w:rsid w:val="00497378"/>
    <w:rsid w:val="00497408"/>
    <w:rsid w:val="00497A58"/>
    <w:rsid w:val="00497D6D"/>
    <w:rsid w:val="00497F13"/>
    <w:rsid w:val="004A0E5A"/>
    <w:rsid w:val="004A0E9D"/>
    <w:rsid w:val="004A14B7"/>
    <w:rsid w:val="004A1C84"/>
    <w:rsid w:val="004A2C8C"/>
    <w:rsid w:val="004A2D21"/>
    <w:rsid w:val="004A2DEC"/>
    <w:rsid w:val="004A32AA"/>
    <w:rsid w:val="004A34FD"/>
    <w:rsid w:val="004A36E2"/>
    <w:rsid w:val="004A382F"/>
    <w:rsid w:val="004A468B"/>
    <w:rsid w:val="004A4B57"/>
    <w:rsid w:val="004A4EB7"/>
    <w:rsid w:val="004A5487"/>
    <w:rsid w:val="004A548F"/>
    <w:rsid w:val="004A615A"/>
    <w:rsid w:val="004A631B"/>
    <w:rsid w:val="004A634E"/>
    <w:rsid w:val="004A7585"/>
    <w:rsid w:val="004A7C76"/>
    <w:rsid w:val="004B0558"/>
    <w:rsid w:val="004B07FB"/>
    <w:rsid w:val="004B0E77"/>
    <w:rsid w:val="004B1436"/>
    <w:rsid w:val="004B20EB"/>
    <w:rsid w:val="004B222A"/>
    <w:rsid w:val="004B3251"/>
    <w:rsid w:val="004B3D3A"/>
    <w:rsid w:val="004B4228"/>
    <w:rsid w:val="004B4D2B"/>
    <w:rsid w:val="004B519C"/>
    <w:rsid w:val="004B574B"/>
    <w:rsid w:val="004B581D"/>
    <w:rsid w:val="004B615C"/>
    <w:rsid w:val="004B633E"/>
    <w:rsid w:val="004B685F"/>
    <w:rsid w:val="004B7F1D"/>
    <w:rsid w:val="004B7FE8"/>
    <w:rsid w:val="004C002C"/>
    <w:rsid w:val="004C07C1"/>
    <w:rsid w:val="004C095E"/>
    <w:rsid w:val="004C15EA"/>
    <w:rsid w:val="004C186C"/>
    <w:rsid w:val="004C2200"/>
    <w:rsid w:val="004C2775"/>
    <w:rsid w:val="004C2B47"/>
    <w:rsid w:val="004C2E4E"/>
    <w:rsid w:val="004C2EE5"/>
    <w:rsid w:val="004C43CC"/>
    <w:rsid w:val="004C4BDD"/>
    <w:rsid w:val="004C590F"/>
    <w:rsid w:val="004C5AE2"/>
    <w:rsid w:val="004C5B30"/>
    <w:rsid w:val="004C5FC0"/>
    <w:rsid w:val="004C6591"/>
    <w:rsid w:val="004C6927"/>
    <w:rsid w:val="004C750D"/>
    <w:rsid w:val="004C7E99"/>
    <w:rsid w:val="004D05F3"/>
    <w:rsid w:val="004D095F"/>
    <w:rsid w:val="004D166A"/>
    <w:rsid w:val="004D1BB4"/>
    <w:rsid w:val="004D2031"/>
    <w:rsid w:val="004D2ABA"/>
    <w:rsid w:val="004D2D7A"/>
    <w:rsid w:val="004D3492"/>
    <w:rsid w:val="004D3DBC"/>
    <w:rsid w:val="004D42E0"/>
    <w:rsid w:val="004D4380"/>
    <w:rsid w:val="004D449E"/>
    <w:rsid w:val="004D462C"/>
    <w:rsid w:val="004D4A1F"/>
    <w:rsid w:val="004D558A"/>
    <w:rsid w:val="004D583A"/>
    <w:rsid w:val="004D58BC"/>
    <w:rsid w:val="004D5906"/>
    <w:rsid w:val="004D69AC"/>
    <w:rsid w:val="004D6A0E"/>
    <w:rsid w:val="004D6C52"/>
    <w:rsid w:val="004D6F54"/>
    <w:rsid w:val="004D7212"/>
    <w:rsid w:val="004D722B"/>
    <w:rsid w:val="004D7345"/>
    <w:rsid w:val="004E02C3"/>
    <w:rsid w:val="004E02D3"/>
    <w:rsid w:val="004E079F"/>
    <w:rsid w:val="004E0FBD"/>
    <w:rsid w:val="004E1ABA"/>
    <w:rsid w:val="004E1CD2"/>
    <w:rsid w:val="004E1DA1"/>
    <w:rsid w:val="004E1DCD"/>
    <w:rsid w:val="004E1E12"/>
    <w:rsid w:val="004E264E"/>
    <w:rsid w:val="004E2B12"/>
    <w:rsid w:val="004E2F06"/>
    <w:rsid w:val="004E33B3"/>
    <w:rsid w:val="004E376D"/>
    <w:rsid w:val="004E381E"/>
    <w:rsid w:val="004E5154"/>
    <w:rsid w:val="004E605E"/>
    <w:rsid w:val="004E7331"/>
    <w:rsid w:val="004F206C"/>
    <w:rsid w:val="004F24BC"/>
    <w:rsid w:val="004F2856"/>
    <w:rsid w:val="004F3059"/>
    <w:rsid w:val="004F3130"/>
    <w:rsid w:val="004F3307"/>
    <w:rsid w:val="004F40FE"/>
    <w:rsid w:val="004F42F3"/>
    <w:rsid w:val="004F4AF9"/>
    <w:rsid w:val="004F4C56"/>
    <w:rsid w:val="004F5152"/>
    <w:rsid w:val="004F524C"/>
    <w:rsid w:val="004F5305"/>
    <w:rsid w:val="004F54A8"/>
    <w:rsid w:val="004F5610"/>
    <w:rsid w:val="004F5D66"/>
    <w:rsid w:val="004F7AEC"/>
    <w:rsid w:val="00500E30"/>
    <w:rsid w:val="00500E8F"/>
    <w:rsid w:val="00501B73"/>
    <w:rsid w:val="00501C29"/>
    <w:rsid w:val="00501D78"/>
    <w:rsid w:val="00501E74"/>
    <w:rsid w:val="005023A7"/>
    <w:rsid w:val="00502773"/>
    <w:rsid w:val="00502A3C"/>
    <w:rsid w:val="00502B2B"/>
    <w:rsid w:val="005033A2"/>
    <w:rsid w:val="005037E8"/>
    <w:rsid w:val="00503B1E"/>
    <w:rsid w:val="00503B94"/>
    <w:rsid w:val="00504A88"/>
    <w:rsid w:val="00504D9C"/>
    <w:rsid w:val="005058CA"/>
    <w:rsid w:val="00506420"/>
    <w:rsid w:val="00506B43"/>
    <w:rsid w:val="00506CA5"/>
    <w:rsid w:val="005073DF"/>
    <w:rsid w:val="0050765D"/>
    <w:rsid w:val="0050781B"/>
    <w:rsid w:val="00507DAC"/>
    <w:rsid w:val="00510803"/>
    <w:rsid w:val="0051106B"/>
    <w:rsid w:val="0051106D"/>
    <w:rsid w:val="0051108E"/>
    <w:rsid w:val="00512511"/>
    <w:rsid w:val="0051288F"/>
    <w:rsid w:val="00512B86"/>
    <w:rsid w:val="00513214"/>
    <w:rsid w:val="00513847"/>
    <w:rsid w:val="00513B04"/>
    <w:rsid w:val="00513CF9"/>
    <w:rsid w:val="00514644"/>
    <w:rsid w:val="00514DD9"/>
    <w:rsid w:val="00515ACC"/>
    <w:rsid w:val="00515E25"/>
    <w:rsid w:val="00515EF6"/>
    <w:rsid w:val="00515F12"/>
    <w:rsid w:val="00515F29"/>
    <w:rsid w:val="005160E4"/>
    <w:rsid w:val="005162BE"/>
    <w:rsid w:val="005166FE"/>
    <w:rsid w:val="00516FCB"/>
    <w:rsid w:val="005178DC"/>
    <w:rsid w:val="00517904"/>
    <w:rsid w:val="0052025E"/>
    <w:rsid w:val="005206EC"/>
    <w:rsid w:val="00520708"/>
    <w:rsid w:val="005208B3"/>
    <w:rsid w:val="005213BC"/>
    <w:rsid w:val="00521528"/>
    <w:rsid w:val="00521590"/>
    <w:rsid w:val="00521AD9"/>
    <w:rsid w:val="005224AA"/>
    <w:rsid w:val="00522E57"/>
    <w:rsid w:val="00523EBC"/>
    <w:rsid w:val="0052411C"/>
    <w:rsid w:val="005245AA"/>
    <w:rsid w:val="00524CAD"/>
    <w:rsid w:val="00525233"/>
    <w:rsid w:val="0052564C"/>
    <w:rsid w:val="00525F26"/>
    <w:rsid w:val="00526456"/>
    <w:rsid w:val="005264FE"/>
    <w:rsid w:val="00526E15"/>
    <w:rsid w:val="0052722E"/>
    <w:rsid w:val="00527561"/>
    <w:rsid w:val="00527865"/>
    <w:rsid w:val="00530090"/>
    <w:rsid w:val="00530DD1"/>
    <w:rsid w:val="005311D9"/>
    <w:rsid w:val="0053146F"/>
    <w:rsid w:val="0053157E"/>
    <w:rsid w:val="005315D9"/>
    <w:rsid w:val="0053161B"/>
    <w:rsid w:val="00531C6C"/>
    <w:rsid w:val="005322D4"/>
    <w:rsid w:val="00532371"/>
    <w:rsid w:val="00532F12"/>
    <w:rsid w:val="00534835"/>
    <w:rsid w:val="00535515"/>
    <w:rsid w:val="00535A44"/>
    <w:rsid w:val="00535BAB"/>
    <w:rsid w:val="005374E1"/>
    <w:rsid w:val="00537512"/>
    <w:rsid w:val="00537739"/>
    <w:rsid w:val="00537DCA"/>
    <w:rsid w:val="005401E6"/>
    <w:rsid w:val="005404F0"/>
    <w:rsid w:val="00541390"/>
    <w:rsid w:val="00541CB3"/>
    <w:rsid w:val="0054272E"/>
    <w:rsid w:val="00542BED"/>
    <w:rsid w:val="0054354F"/>
    <w:rsid w:val="00543B10"/>
    <w:rsid w:val="00543D0A"/>
    <w:rsid w:val="005445FA"/>
    <w:rsid w:val="0054484C"/>
    <w:rsid w:val="00544EA5"/>
    <w:rsid w:val="00545215"/>
    <w:rsid w:val="005458B5"/>
    <w:rsid w:val="00545931"/>
    <w:rsid w:val="0054632C"/>
    <w:rsid w:val="00546EE5"/>
    <w:rsid w:val="00547B74"/>
    <w:rsid w:val="005505B5"/>
    <w:rsid w:val="00550EE4"/>
    <w:rsid w:val="00551604"/>
    <w:rsid w:val="00552464"/>
    <w:rsid w:val="00552A57"/>
    <w:rsid w:val="00552DCA"/>
    <w:rsid w:val="005530BA"/>
    <w:rsid w:val="0055372A"/>
    <w:rsid w:val="00553B8E"/>
    <w:rsid w:val="00553EDA"/>
    <w:rsid w:val="00554EDB"/>
    <w:rsid w:val="00555131"/>
    <w:rsid w:val="00555E5C"/>
    <w:rsid w:val="0055615D"/>
    <w:rsid w:val="005561B9"/>
    <w:rsid w:val="00556F35"/>
    <w:rsid w:val="0055722C"/>
    <w:rsid w:val="00560D39"/>
    <w:rsid w:val="0056198C"/>
    <w:rsid w:val="00561D20"/>
    <w:rsid w:val="00562001"/>
    <w:rsid w:val="00562A56"/>
    <w:rsid w:val="00562F31"/>
    <w:rsid w:val="0056332F"/>
    <w:rsid w:val="0056431D"/>
    <w:rsid w:val="00564F13"/>
    <w:rsid w:val="005666EB"/>
    <w:rsid w:val="00566AC1"/>
    <w:rsid w:val="00566ED2"/>
    <w:rsid w:val="005670C9"/>
    <w:rsid w:val="00567886"/>
    <w:rsid w:val="00567C53"/>
    <w:rsid w:val="00567EB3"/>
    <w:rsid w:val="00570827"/>
    <w:rsid w:val="00572D62"/>
    <w:rsid w:val="0057323F"/>
    <w:rsid w:val="005732AD"/>
    <w:rsid w:val="0057373F"/>
    <w:rsid w:val="00573971"/>
    <w:rsid w:val="00573B61"/>
    <w:rsid w:val="00573C3B"/>
    <w:rsid w:val="00574523"/>
    <w:rsid w:val="00574A64"/>
    <w:rsid w:val="0057553D"/>
    <w:rsid w:val="00576984"/>
    <w:rsid w:val="00576BA2"/>
    <w:rsid w:val="00576C33"/>
    <w:rsid w:val="005774C0"/>
    <w:rsid w:val="005776C0"/>
    <w:rsid w:val="00580099"/>
    <w:rsid w:val="005803B6"/>
    <w:rsid w:val="005807B7"/>
    <w:rsid w:val="00580838"/>
    <w:rsid w:val="00580A12"/>
    <w:rsid w:val="00580E5C"/>
    <w:rsid w:val="00582693"/>
    <w:rsid w:val="0058282D"/>
    <w:rsid w:val="00584769"/>
    <w:rsid w:val="00584A3E"/>
    <w:rsid w:val="00585020"/>
    <w:rsid w:val="00585201"/>
    <w:rsid w:val="00585A7E"/>
    <w:rsid w:val="00586239"/>
    <w:rsid w:val="005862B7"/>
    <w:rsid w:val="0058702A"/>
    <w:rsid w:val="005875C1"/>
    <w:rsid w:val="00587F69"/>
    <w:rsid w:val="0059186A"/>
    <w:rsid w:val="00591D0D"/>
    <w:rsid w:val="00592E39"/>
    <w:rsid w:val="00592E95"/>
    <w:rsid w:val="0059348F"/>
    <w:rsid w:val="00593C52"/>
    <w:rsid w:val="00593F57"/>
    <w:rsid w:val="00594143"/>
    <w:rsid w:val="0059485C"/>
    <w:rsid w:val="00594CB1"/>
    <w:rsid w:val="0059524B"/>
    <w:rsid w:val="005959D0"/>
    <w:rsid w:val="00595D73"/>
    <w:rsid w:val="00596DD4"/>
    <w:rsid w:val="00597667"/>
    <w:rsid w:val="00597735"/>
    <w:rsid w:val="00597C42"/>
    <w:rsid w:val="00597DEF"/>
    <w:rsid w:val="005A0966"/>
    <w:rsid w:val="005A0A12"/>
    <w:rsid w:val="005A0E9F"/>
    <w:rsid w:val="005A1197"/>
    <w:rsid w:val="005A18CD"/>
    <w:rsid w:val="005A1CF9"/>
    <w:rsid w:val="005A1E86"/>
    <w:rsid w:val="005A292A"/>
    <w:rsid w:val="005A29B2"/>
    <w:rsid w:val="005A37AC"/>
    <w:rsid w:val="005A3AE3"/>
    <w:rsid w:val="005A58CA"/>
    <w:rsid w:val="005A5BA3"/>
    <w:rsid w:val="005A5BC6"/>
    <w:rsid w:val="005A5F2D"/>
    <w:rsid w:val="005A5FFA"/>
    <w:rsid w:val="005A62D5"/>
    <w:rsid w:val="005A676B"/>
    <w:rsid w:val="005A6B64"/>
    <w:rsid w:val="005A7CEC"/>
    <w:rsid w:val="005B00C6"/>
    <w:rsid w:val="005B0169"/>
    <w:rsid w:val="005B099A"/>
    <w:rsid w:val="005B0B1D"/>
    <w:rsid w:val="005B1D08"/>
    <w:rsid w:val="005B2081"/>
    <w:rsid w:val="005B21BC"/>
    <w:rsid w:val="005B223F"/>
    <w:rsid w:val="005B34EB"/>
    <w:rsid w:val="005B391B"/>
    <w:rsid w:val="005B467B"/>
    <w:rsid w:val="005B4E1C"/>
    <w:rsid w:val="005B51E0"/>
    <w:rsid w:val="005B56EC"/>
    <w:rsid w:val="005B579C"/>
    <w:rsid w:val="005B5DE9"/>
    <w:rsid w:val="005B6E2B"/>
    <w:rsid w:val="005B72A2"/>
    <w:rsid w:val="005B72F4"/>
    <w:rsid w:val="005B7328"/>
    <w:rsid w:val="005B7804"/>
    <w:rsid w:val="005B7966"/>
    <w:rsid w:val="005B7D6D"/>
    <w:rsid w:val="005C11AC"/>
    <w:rsid w:val="005C1267"/>
    <w:rsid w:val="005C1390"/>
    <w:rsid w:val="005C1FA3"/>
    <w:rsid w:val="005C203A"/>
    <w:rsid w:val="005C2309"/>
    <w:rsid w:val="005C236A"/>
    <w:rsid w:val="005C2445"/>
    <w:rsid w:val="005C2B15"/>
    <w:rsid w:val="005C30B8"/>
    <w:rsid w:val="005C3121"/>
    <w:rsid w:val="005C3A92"/>
    <w:rsid w:val="005C3AF8"/>
    <w:rsid w:val="005C3D57"/>
    <w:rsid w:val="005C3E88"/>
    <w:rsid w:val="005C4522"/>
    <w:rsid w:val="005C4DD3"/>
    <w:rsid w:val="005C52C0"/>
    <w:rsid w:val="005C54DB"/>
    <w:rsid w:val="005C5F59"/>
    <w:rsid w:val="005C5FEF"/>
    <w:rsid w:val="005C68FF"/>
    <w:rsid w:val="005C6A52"/>
    <w:rsid w:val="005C6C4F"/>
    <w:rsid w:val="005C7121"/>
    <w:rsid w:val="005C71CC"/>
    <w:rsid w:val="005C7737"/>
    <w:rsid w:val="005C7DFC"/>
    <w:rsid w:val="005D0334"/>
    <w:rsid w:val="005D06A3"/>
    <w:rsid w:val="005D1991"/>
    <w:rsid w:val="005D2516"/>
    <w:rsid w:val="005D2CAE"/>
    <w:rsid w:val="005D35DD"/>
    <w:rsid w:val="005D4AC4"/>
    <w:rsid w:val="005D5113"/>
    <w:rsid w:val="005D6009"/>
    <w:rsid w:val="005D67AE"/>
    <w:rsid w:val="005D6841"/>
    <w:rsid w:val="005D6FA8"/>
    <w:rsid w:val="005D733B"/>
    <w:rsid w:val="005D78CD"/>
    <w:rsid w:val="005D79A3"/>
    <w:rsid w:val="005E02E3"/>
    <w:rsid w:val="005E061F"/>
    <w:rsid w:val="005E07DB"/>
    <w:rsid w:val="005E1F8F"/>
    <w:rsid w:val="005E2997"/>
    <w:rsid w:val="005E37EF"/>
    <w:rsid w:val="005E48B8"/>
    <w:rsid w:val="005E5764"/>
    <w:rsid w:val="005E695B"/>
    <w:rsid w:val="005E6D4D"/>
    <w:rsid w:val="005F017B"/>
    <w:rsid w:val="005F0F0A"/>
    <w:rsid w:val="005F1741"/>
    <w:rsid w:val="005F1CF0"/>
    <w:rsid w:val="005F1E6A"/>
    <w:rsid w:val="005F2237"/>
    <w:rsid w:val="005F2537"/>
    <w:rsid w:val="005F2CB8"/>
    <w:rsid w:val="005F32C2"/>
    <w:rsid w:val="005F38B1"/>
    <w:rsid w:val="005F3DDE"/>
    <w:rsid w:val="005F5E9C"/>
    <w:rsid w:val="005F614D"/>
    <w:rsid w:val="005F6BCC"/>
    <w:rsid w:val="005F721D"/>
    <w:rsid w:val="005F753C"/>
    <w:rsid w:val="005F7A70"/>
    <w:rsid w:val="00600127"/>
    <w:rsid w:val="006001AA"/>
    <w:rsid w:val="006006C0"/>
    <w:rsid w:val="00600807"/>
    <w:rsid w:val="006008C5"/>
    <w:rsid w:val="0060148E"/>
    <w:rsid w:val="0060297E"/>
    <w:rsid w:val="00602A13"/>
    <w:rsid w:val="006046B6"/>
    <w:rsid w:val="006047A7"/>
    <w:rsid w:val="00604F67"/>
    <w:rsid w:val="006051F8"/>
    <w:rsid w:val="006057E1"/>
    <w:rsid w:val="00605B80"/>
    <w:rsid w:val="00605E46"/>
    <w:rsid w:val="00607285"/>
    <w:rsid w:val="00607D32"/>
    <w:rsid w:val="006101F9"/>
    <w:rsid w:val="00610EF1"/>
    <w:rsid w:val="00611362"/>
    <w:rsid w:val="00611448"/>
    <w:rsid w:val="00612430"/>
    <w:rsid w:val="00612A64"/>
    <w:rsid w:val="00613912"/>
    <w:rsid w:val="00613F72"/>
    <w:rsid w:val="00615583"/>
    <w:rsid w:val="006157B1"/>
    <w:rsid w:val="00615A3E"/>
    <w:rsid w:val="006161F4"/>
    <w:rsid w:val="0061685B"/>
    <w:rsid w:val="00616BA3"/>
    <w:rsid w:val="00616CEA"/>
    <w:rsid w:val="00617ADA"/>
    <w:rsid w:val="00620772"/>
    <w:rsid w:val="006212F8"/>
    <w:rsid w:val="00621AA0"/>
    <w:rsid w:val="006224B1"/>
    <w:rsid w:val="00622646"/>
    <w:rsid w:val="00622CCB"/>
    <w:rsid w:val="00622D82"/>
    <w:rsid w:val="006235C5"/>
    <w:rsid w:val="00623992"/>
    <w:rsid w:val="00623F6B"/>
    <w:rsid w:val="00624E2D"/>
    <w:rsid w:val="00625115"/>
    <w:rsid w:val="0062531B"/>
    <w:rsid w:val="0062578C"/>
    <w:rsid w:val="00625EB1"/>
    <w:rsid w:val="00626D5B"/>
    <w:rsid w:val="00627199"/>
    <w:rsid w:val="00627514"/>
    <w:rsid w:val="00627E10"/>
    <w:rsid w:val="00630A47"/>
    <w:rsid w:val="00631D15"/>
    <w:rsid w:val="00632712"/>
    <w:rsid w:val="00632B08"/>
    <w:rsid w:val="006336E9"/>
    <w:rsid w:val="0063461C"/>
    <w:rsid w:val="006355CD"/>
    <w:rsid w:val="00635C52"/>
    <w:rsid w:val="0063712D"/>
    <w:rsid w:val="0064024E"/>
    <w:rsid w:val="00640D58"/>
    <w:rsid w:val="00640D6A"/>
    <w:rsid w:val="00640FB2"/>
    <w:rsid w:val="0064107D"/>
    <w:rsid w:val="00641C01"/>
    <w:rsid w:val="00642326"/>
    <w:rsid w:val="0064399E"/>
    <w:rsid w:val="00643F1D"/>
    <w:rsid w:val="00645348"/>
    <w:rsid w:val="006456D2"/>
    <w:rsid w:val="00645972"/>
    <w:rsid w:val="006469A6"/>
    <w:rsid w:val="00646AC8"/>
    <w:rsid w:val="006471FE"/>
    <w:rsid w:val="006478A6"/>
    <w:rsid w:val="00647914"/>
    <w:rsid w:val="00650B5A"/>
    <w:rsid w:val="00650E22"/>
    <w:rsid w:val="006512A1"/>
    <w:rsid w:val="0065138A"/>
    <w:rsid w:val="00651550"/>
    <w:rsid w:val="00651D24"/>
    <w:rsid w:val="0065219B"/>
    <w:rsid w:val="00652842"/>
    <w:rsid w:val="00652C09"/>
    <w:rsid w:val="00652E99"/>
    <w:rsid w:val="0065310E"/>
    <w:rsid w:val="006540E7"/>
    <w:rsid w:val="00654904"/>
    <w:rsid w:val="00654B8E"/>
    <w:rsid w:val="00654EAB"/>
    <w:rsid w:val="00656997"/>
    <w:rsid w:val="0065748B"/>
    <w:rsid w:val="006576C2"/>
    <w:rsid w:val="00657EBA"/>
    <w:rsid w:val="00661344"/>
    <w:rsid w:val="006624AD"/>
    <w:rsid w:val="00663372"/>
    <w:rsid w:val="00663FFC"/>
    <w:rsid w:val="006645C1"/>
    <w:rsid w:val="00664F1E"/>
    <w:rsid w:val="00665B28"/>
    <w:rsid w:val="0066692B"/>
    <w:rsid w:val="006672DE"/>
    <w:rsid w:val="006673C9"/>
    <w:rsid w:val="006673D4"/>
    <w:rsid w:val="00667D5D"/>
    <w:rsid w:val="00667DD6"/>
    <w:rsid w:val="00667E89"/>
    <w:rsid w:val="00667F82"/>
    <w:rsid w:val="006703FD"/>
    <w:rsid w:val="00671016"/>
    <w:rsid w:val="0067183E"/>
    <w:rsid w:val="006739A5"/>
    <w:rsid w:val="00673D8C"/>
    <w:rsid w:val="00673EC8"/>
    <w:rsid w:val="00674FCF"/>
    <w:rsid w:val="00675685"/>
    <w:rsid w:val="00675C07"/>
    <w:rsid w:val="006765E7"/>
    <w:rsid w:val="00676743"/>
    <w:rsid w:val="0067697C"/>
    <w:rsid w:val="006770DF"/>
    <w:rsid w:val="006771A1"/>
    <w:rsid w:val="00677448"/>
    <w:rsid w:val="0067778C"/>
    <w:rsid w:val="00677875"/>
    <w:rsid w:val="00677FF6"/>
    <w:rsid w:val="00680E2F"/>
    <w:rsid w:val="00680EBB"/>
    <w:rsid w:val="00681C80"/>
    <w:rsid w:val="00681F24"/>
    <w:rsid w:val="0068256D"/>
    <w:rsid w:val="00683165"/>
    <w:rsid w:val="006831EB"/>
    <w:rsid w:val="0068359B"/>
    <w:rsid w:val="0068386F"/>
    <w:rsid w:val="006839C1"/>
    <w:rsid w:val="00684164"/>
    <w:rsid w:val="0068459C"/>
    <w:rsid w:val="006847F0"/>
    <w:rsid w:val="00684B58"/>
    <w:rsid w:val="006867FA"/>
    <w:rsid w:val="00686826"/>
    <w:rsid w:val="00687148"/>
    <w:rsid w:val="00687277"/>
    <w:rsid w:val="006877E9"/>
    <w:rsid w:val="00687803"/>
    <w:rsid w:val="00687CCE"/>
    <w:rsid w:val="0069084D"/>
    <w:rsid w:val="00690C42"/>
    <w:rsid w:val="00690CC1"/>
    <w:rsid w:val="006913A3"/>
    <w:rsid w:val="006917B9"/>
    <w:rsid w:val="00693362"/>
    <w:rsid w:val="0069368F"/>
    <w:rsid w:val="00693D70"/>
    <w:rsid w:val="006940E8"/>
    <w:rsid w:val="0069445B"/>
    <w:rsid w:val="00694677"/>
    <w:rsid w:val="00694702"/>
    <w:rsid w:val="006947F0"/>
    <w:rsid w:val="00694840"/>
    <w:rsid w:val="00694B77"/>
    <w:rsid w:val="00694BA7"/>
    <w:rsid w:val="00694EDC"/>
    <w:rsid w:val="00695012"/>
    <w:rsid w:val="00695A2F"/>
    <w:rsid w:val="00695F43"/>
    <w:rsid w:val="006964B0"/>
    <w:rsid w:val="006977AC"/>
    <w:rsid w:val="006A06E9"/>
    <w:rsid w:val="006A0F60"/>
    <w:rsid w:val="006A1630"/>
    <w:rsid w:val="006A1738"/>
    <w:rsid w:val="006A22FC"/>
    <w:rsid w:val="006A2E41"/>
    <w:rsid w:val="006A2E57"/>
    <w:rsid w:val="006A302E"/>
    <w:rsid w:val="006A3125"/>
    <w:rsid w:val="006A31F7"/>
    <w:rsid w:val="006A3296"/>
    <w:rsid w:val="006A38B5"/>
    <w:rsid w:val="006A3914"/>
    <w:rsid w:val="006A3FCE"/>
    <w:rsid w:val="006A4100"/>
    <w:rsid w:val="006A44F9"/>
    <w:rsid w:val="006A4FE8"/>
    <w:rsid w:val="006A5359"/>
    <w:rsid w:val="006A5E65"/>
    <w:rsid w:val="006A6290"/>
    <w:rsid w:val="006A65DD"/>
    <w:rsid w:val="006A6AAF"/>
    <w:rsid w:val="006A6DF2"/>
    <w:rsid w:val="006A7D53"/>
    <w:rsid w:val="006B005B"/>
    <w:rsid w:val="006B0358"/>
    <w:rsid w:val="006B0BEE"/>
    <w:rsid w:val="006B0DC3"/>
    <w:rsid w:val="006B0E3D"/>
    <w:rsid w:val="006B11A1"/>
    <w:rsid w:val="006B184B"/>
    <w:rsid w:val="006B1AF9"/>
    <w:rsid w:val="006B1E9B"/>
    <w:rsid w:val="006B223B"/>
    <w:rsid w:val="006B23C7"/>
    <w:rsid w:val="006B25DC"/>
    <w:rsid w:val="006B273A"/>
    <w:rsid w:val="006B2B94"/>
    <w:rsid w:val="006B325E"/>
    <w:rsid w:val="006B42B2"/>
    <w:rsid w:val="006B46E1"/>
    <w:rsid w:val="006B4E75"/>
    <w:rsid w:val="006B52B1"/>
    <w:rsid w:val="006B5AA4"/>
    <w:rsid w:val="006B6825"/>
    <w:rsid w:val="006B6B51"/>
    <w:rsid w:val="006B7229"/>
    <w:rsid w:val="006B742C"/>
    <w:rsid w:val="006B7CEF"/>
    <w:rsid w:val="006C0424"/>
    <w:rsid w:val="006C0457"/>
    <w:rsid w:val="006C0561"/>
    <w:rsid w:val="006C111C"/>
    <w:rsid w:val="006C119B"/>
    <w:rsid w:val="006C18ED"/>
    <w:rsid w:val="006C1CC3"/>
    <w:rsid w:val="006C1F37"/>
    <w:rsid w:val="006C209A"/>
    <w:rsid w:val="006C3002"/>
    <w:rsid w:val="006C33C0"/>
    <w:rsid w:val="006C350E"/>
    <w:rsid w:val="006C3C32"/>
    <w:rsid w:val="006C4380"/>
    <w:rsid w:val="006C468C"/>
    <w:rsid w:val="006C483B"/>
    <w:rsid w:val="006C4ED0"/>
    <w:rsid w:val="006C54E6"/>
    <w:rsid w:val="006C5FD5"/>
    <w:rsid w:val="006C632B"/>
    <w:rsid w:val="006C6434"/>
    <w:rsid w:val="006C6B0A"/>
    <w:rsid w:val="006C720C"/>
    <w:rsid w:val="006D1045"/>
    <w:rsid w:val="006D11A4"/>
    <w:rsid w:val="006D13C5"/>
    <w:rsid w:val="006D1867"/>
    <w:rsid w:val="006D1B39"/>
    <w:rsid w:val="006D2034"/>
    <w:rsid w:val="006D21CF"/>
    <w:rsid w:val="006D226F"/>
    <w:rsid w:val="006D2449"/>
    <w:rsid w:val="006D2CB6"/>
    <w:rsid w:val="006D2CD5"/>
    <w:rsid w:val="006D6374"/>
    <w:rsid w:val="006D6546"/>
    <w:rsid w:val="006D6D34"/>
    <w:rsid w:val="006D6ECD"/>
    <w:rsid w:val="006D7F53"/>
    <w:rsid w:val="006E0AA2"/>
    <w:rsid w:val="006E13FE"/>
    <w:rsid w:val="006E2608"/>
    <w:rsid w:val="006E2840"/>
    <w:rsid w:val="006E3C72"/>
    <w:rsid w:val="006E416E"/>
    <w:rsid w:val="006E4310"/>
    <w:rsid w:val="006E4346"/>
    <w:rsid w:val="006E46CF"/>
    <w:rsid w:val="006E475A"/>
    <w:rsid w:val="006E56F3"/>
    <w:rsid w:val="006E5B30"/>
    <w:rsid w:val="006E6253"/>
    <w:rsid w:val="006E6FEB"/>
    <w:rsid w:val="006E7AFD"/>
    <w:rsid w:val="006F045E"/>
    <w:rsid w:val="006F057E"/>
    <w:rsid w:val="006F0CAE"/>
    <w:rsid w:val="006F19E7"/>
    <w:rsid w:val="006F1E1B"/>
    <w:rsid w:val="006F25EE"/>
    <w:rsid w:val="006F2770"/>
    <w:rsid w:val="006F2CFE"/>
    <w:rsid w:val="006F33A8"/>
    <w:rsid w:val="006F4AA4"/>
    <w:rsid w:val="006F4B50"/>
    <w:rsid w:val="006F521A"/>
    <w:rsid w:val="006F5506"/>
    <w:rsid w:val="006F5E80"/>
    <w:rsid w:val="006F5F5E"/>
    <w:rsid w:val="006F602C"/>
    <w:rsid w:val="006F6121"/>
    <w:rsid w:val="006F7350"/>
    <w:rsid w:val="006F7398"/>
    <w:rsid w:val="007003E9"/>
    <w:rsid w:val="007007AC"/>
    <w:rsid w:val="00701A6A"/>
    <w:rsid w:val="0070230E"/>
    <w:rsid w:val="00703882"/>
    <w:rsid w:val="00703B35"/>
    <w:rsid w:val="00703CCA"/>
    <w:rsid w:val="007041DC"/>
    <w:rsid w:val="00704A56"/>
    <w:rsid w:val="00704AF7"/>
    <w:rsid w:val="007062D9"/>
    <w:rsid w:val="00706753"/>
    <w:rsid w:val="00706F37"/>
    <w:rsid w:val="0070719E"/>
    <w:rsid w:val="0070771B"/>
    <w:rsid w:val="007079BE"/>
    <w:rsid w:val="00707A93"/>
    <w:rsid w:val="00707FCF"/>
    <w:rsid w:val="00707FFB"/>
    <w:rsid w:val="00710109"/>
    <w:rsid w:val="00711689"/>
    <w:rsid w:val="0071202E"/>
    <w:rsid w:val="00712A27"/>
    <w:rsid w:val="00712C5C"/>
    <w:rsid w:val="00712FBD"/>
    <w:rsid w:val="007134DB"/>
    <w:rsid w:val="007135A1"/>
    <w:rsid w:val="00713AFF"/>
    <w:rsid w:val="00714262"/>
    <w:rsid w:val="00714496"/>
    <w:rsid w:val="00714587"/>
    <w:rsid w:val="007146BD"/>
    <w:rsid w:val="00714FB5"/>
    <w:rsid w:val="007158FC"/>
    <w:rsid w:val="00716061"/>
    <w:rsid w:val="00716582"/>
    <w:rsid w:val="007166B1"/>
    <w:rsid w:val="007168E8"/>
    <w:rsid w:val="00716D09"/>
    <w:rsid w:val="00717D67"/>
    <w:rsid w:val="007201CE"/>
    <w:rsid w:val="007205F8"/>
    <w:rsid w:val="00720809"/>
    <w:rsid w:val="00720E23"/>
    <w:rsid w:val="007212FC"/>
    <w:rsid w:val="00721663"/>
    <w:rsid w:val="0072202B"/>
    <w:rsid w:val="00722260"/>
    <w:rsid w:val="00722C72"/>
    <w:rsid w:val="00723C16"/>
    <w:rsid w:val="007243BB"/>
    <w:rsid w:val="00724FE7"/>
    <w:rsid w:val="007251E8"/>
    <w:rsid w:val="007254D9"/>
    <w:rsid w:val="0072562D"/>
    <w:rsid w:val="00725C8E"/>
    <w:rsid w:val="00725E91"/>
    <w:rsid w:val="00726050"/>
    <w:rsid w:val="007267C3"/>
    <w:rsid w:val="00726C81"/>
    <w:rsid w:val="00727CF0"/>
    <w:rsid w:val="00730314"/>
    <w:rsid w:val="00730BAC"/>
    <w:rsid w:val="00730C0C"/>
    <w:rsid w:val="007311D8"/>
    <w:rsid w:val="00731975"/>
    <w:rsid w:val="007319C4"/>
    <w:rsid w:val="007326C6"/>
    <w:rsid w:val="0073287B"/>
    <w:rsid w:val="00733237"/>
    <w:rsid w:val="00733692"/>
    <w:rsid w:val="00733F91"/>
    <w:rsid w:val="00734ED2"/>
    <w:rsid w:val="00735FD8"/>
    <w:rsid w:val="00736078"/>
    <w:rsid w:val="007362A3"/>
    <w:rsid w:val="007368E5"/>
    <w:rsid w:val="00737313"/>
    <w:rsid w:val="007402EA"/>
    <w:rsid w:val="0074056E"/>
    <w:rsid w:val="007408EC"/>
    <w:rsid w:val="00740923"/>
    <w:rsid w:val="00740BD7"/>
    <w:rsid w:val="00741310"/>
    <w:rsid w:val="00741434"/>
    <w:rsid w:val="00742162"/>
    <w:rsid w:val="007426DE"/>
    <w:rsid w:val="00742BDB"/>
    <w:rsid w:val="00743A65"/>
    <w:rsid w:val="00744678"/>
    <w:rsid w:val="007447C1"/>
    <w:rsid w:val="00744DB6"/>
    <w:rsid w:val="00746AD8"/>
    <w:rsid w:val="00746CCC"/>
    <w:rsid w:val="0074788A"/>
    <w:rsid w:val="00747D61"/>
    <w:rsid w:val="00750550"/>
    <w:rsid w:val="00750809"/>
    <w:rsid w:val="00750F20"/>
    <w:rsid w:val="007513A2"/>
    <w:rsid w:val="007518A3"/>
    <w:rsid w:val="00752508"/>
    <w:rsid w:val="007525A7"/>
    <w:rsid w:val="00752839"/>
    <w:rsid w:val="0075311D"/>
    <w:rsid w:val="007552F5"/>
    <w:rsid w:val="00755ED1"/>
    <w:rsid w:val="007578E8"/>
    <w:rsid w:val="0075796B"/>
    <w:rsid w:val="00757BAB"/>
    <w:rsid w:val="00757BDA"/>
    <w:rsid w:val="00757F1C"/>
    <w:rsid w:val="0076034E"/>
    <w:rsid w:val="00760BB0"/>
    <w:rsid w:val="0076116D"/>
    <w:rsid w:val="00761380"/>
    <w:rsid w:val="00761F29"/>
    <w:rsid w:val="007622AD"/>
    <w:rsid w:val="0076248D"/>
    <w:rsid w:val="00763254"/>
    <w:rsid w:val="00764047"/>
    <w:rsid w:val="007641ED"/>
    <w:rsid w:val="00764249"/>
    <w:rsid w:val="00764B8C"/>
    <w:rsid w:val="00764CDF"/>
    <w:rsid w:val="0076509F"/>
    <w:rsid w:val="00765A3A"/>
    <w:rsid w:val="00765EB1"/>
    <w:rsid w:val="00766025"/>
    <w:rsid w:val="00766846"/>
    <w:rsid w:val="00766DEF"/>
    <w:rsid w:val="00766EDD"/>
    <w:rsid w:val="0076760A"/>
    <w:rsid w:val="00770149"/>
    <w:rsid w:val="007706FB"/>
    <w:rsid w:val="007719BE"/>
    <w:rsid w:val="00773D5E"/>
    <w:rsid w:val="00774087"/>
    <w:rsid w:val="007757C7"/>
    <w:rsid w:val="007759B1"/>
    <w:rsid w:val="00775E2B"/>
    <w:rsid w:val="007762C4"/>
    <w:rsid w:val="00776B20"/>
    <w:rsid w:val="00777707"/>
    <w:rsid w:val="0078432A"/>
    <w:rsid w:val="00785016"/>
    <w:rsid w:val="00785426"/>
    <w:rsid w:val="00785648"/>
    <w:rsid w:val="00785780"/>
    <w:rsid w:val="00785E18"/>
    <w:rsid w:val="0078642E"/>
    <w:rsid w:val="00786482"/>
    <w:rsid w:val="0078681B"/>
    <w:rsid w:val="00786CD3"/>
    <w:rsid w:val="00786EF1"/>
    <w:rsid w:val="0078708F"/>
    <w:rsid w:val="00787271"/>
    <w:rsid w:val="00787773"/>
    <w:rsid w:val="0078796B"/>
    <w:rsid w:val="00787CCC"/>
    <w:rsid w:val="00790092"/>
    <w:rsid w:val="007900B0"/>
    <w:rsid w:val="0079056B"/>
    <w:rsid w:val="007910AA"/>
    <w:rsid w:val="00791406"/>
    <w:rsid w:val="007915A0"/>
    <w:rsid w:val="00791A09"/>
    <w:rsid w:val="007920C6"/>
    <w:rsid w:val="00792A72"/>
    <w:rsid w:val="00792A84"/>
    <w:rsid w:val="00792B4E"/>
    <w:rsid w:val="00792F54"/>
    <w:rsid w:val="007930A5"/>
    <w:rsid w:val="007934CA"/>
    <w:rsid w:val="00793555"/>
    <w:rsid w:val="00793ADC"/>
    <w:rsid w:val="00793B68"/>
    <w:rsid w:val="00794D4B"/>
    <w:rsid w:val="00794E9C"/>
    <w:rsid w:val="00795C9C"/>
    <w:rsid w:val="00796634"/>
    <w:rsid w:val="00796A2F"/>
    <w:rsid w:val="00796D38"/>
    <w:rsid w:val="0079710A"/>
    <w:rsid w:val="007979BF"/>
    <w:rsid w:val="00797E13"/>
    <w:rsid w:val="00797F52"/>
    <w:rsid w:val="00797FA9"/>
    <w:rsid w:val="007A02E1"/>
    <w:rsid w:val="007A2798"/>
    <w:rsid w:val="007A29A3"/>
    <w:rsid w:val="007A2D86"/>
    <w:rsid w:val="007A2EE6"/>
    <w:rsid w:val="007A30E4"/>
    <w:rsid w:val="007A3275"/>
    <w:rsid w:val="007A4006"/>
    <w:rsid w:val="007A47E6"/>
    <w:rsid w:val="007A6CF6"/>
    <w:rsid w:val="007A6F3C"/>
    <w:rsid w:val="007A71FF"/>
    <w:rsid w:val="007A7760"/>
    <w:rsid w:val="007B052F"/>
    <w:rsid w:val="007B0E65"/>
    <w:rsid w:val="007B1926"/>
    <w:rsid w:val="007B1FA2"/>
    <w:rsid w:val="007B22E0"/>
    <w:rsid w:val="007B2BC5"/>
    <w:rsid w:val="007B2E3C"/>
    <w:rsid w:val="007B2ED0"/>
    <w:rsid w:val="007B3796"/>
    <w:rsid w:val="007B4AC5"/>
    <w:rsid w:val="007B57EC"/>
    <w:rsid w:val="007B5D18"/>
    <w:rsid w:val="007B5ED2"/>
    <w:rsid w:val="007B67B3"/>
    <w:rsid w:val="007B6B39"/>
    <w:rsid w:val="007B6C12"/>
    <w:rsid w:val="007B6C87"/>
    <w:rsid w:val="007B6FFD"/>
    <w:rsid w:val="007B7156"/>
    <w:rsid w:val="007B752E"/>
    <w:rsid w:val="007B7F7B"/>
    <w:rsid w:val="007C0473"/>
    <w:rsid w:val="007C0607"/>
    <w:rsid w:val="007C066E"/>
    <w:rsid w:val="007C1AD8"/>
    <w:rsid w:val="007C1B78"/>
    <w:rsid w:val="007C1CDF"/>
    <w:rsid w:val="007C1FD2"/>
    <w:rsid w:val="007C2288"/>
    <w:rsid w:val="007C260B"/>
    <w:rsid w:val="007C289A"/>
    <w:rsid w:val="007C3551"/>
    <w:rsid w:val="007C3575"/>
    <w:rsid w:val="007C35BF"/>
    <w:rsid w:val="007C36EC"/>
    <w:rsid w:val="007C38E0"/>
    <w:rsid w:val="007C4EA2"/>
    <w:rsid w:val="007C57E9"/>
    <w:rsid w:val="007C5CD7"/>
    <w:rsid w:val="007C7075"/>
    <w:rsid w:val="007C7281"/>
    <w:rsid w:val="007C7319"/>
    <w:rsid w:val="007C7530"/>
    <w:rsid w:val="007C7586"/>
    <w:rsid w:val="007D028A"/>
    <w:rsid w:val="007D0B28"/>
    <w:rsid w:val="007D1029"/>
    <w:rsid w:val="007D127A"/>
    <w:rsid w:val="007D129E"/>
    <w:rsid w:val="007D17A0"/>
    <w:rsid w:val="007D1E57"/>
    <w:rsid w:val="007D2249"/>
    <w:rsid w:val="007D2276"/>
    <w:rsid w:val="007D264D"/>
    <w:rsid w:val="007D2886"/>
    <w:rsid w:val="007D3332"/>
    <w:rsid w:val="007D34B3"/>
    <w:rsid w:val="007D3A2E"/>
    <w:rsid w:val="007D3A70"/>
    <w:rsid w:val="007D3E5A"/>
    <w:rsid w:val="007D4332"/>
    <w:rsid w:val="007D458C"/>
    <w:rsid w:val="007D4642"/>
    <w:rsid w:val="007D4E75"/>
    <w:rsid w:val="007D4EEA"/>
    <w:rsid w:val="007D4F29"/>
    <w:rsid w:val="007D54EA"/>
    <w:rsid w:val="007D56B6"/>
    <w:rsid w:val="007D572B"/>
    <w:rsid w:val="007D5FAA"/>
    <w:rsid w:val="007D6196"/>
    <w:rsid w:val="007D6B7F"/>
    <w:rsid w:val="007D78B7"/>
    <w:rsid w:val="007D7E1F"/>
    <w:rsid w:val="007D7EA5"/>
    <w:rsid w:val="007E091D"/>
    <w:rsid w:val="007E0C5E"/>
    <w:rsid w:val="007E0E09"/>
    <w:rsid w:val="007E0FA2"/>
    <w:rsid w:val="007E1018"/>
    <w:rsid w:val="007E1A6E"/>
    <w:rsid w:val="007E1BF6"/>
    <w:rsid w:val="007E2F8B"/>
    <w:rsid w:val="007E38B9"/>
    <w:rsid w:val="007E3C30"/>
    <w:rsid w:val="007E3DF4"/>
    <w:rsid w:val="007E3FFA"/>
    <w:rsid w:val="007E4928"/>
    <w:rsid w:val="007E4E5A"/>
    <w:rsid w:val="007E4E99"/>
    <w:rsid w:val="007E5987"/>
    <w:rsid w:val="007E5AA4"/>
    <w:rsid w:val="007E5BD8"/>
    <w:rsid w:val="007E6280"/>
    <w:rsid w:val="007E705F"/>
    <w:rsid w:val="007E7106"/>
    <w:rsid w:val="007E7292"/>
    <w:rsid w:val="007E7B7B"/>
    <w:rsid w:val="007E7E76"/>
    <w:rsid w:val="007F0329"/>
    <w:rsid w:val="007F04E9"/>
    <w:rsid w:val="007F0ADA"/>
    <w:rsid w:val="007F146C"/>
    <w:rsid w:val="007F15F4"/>
    <w:rsid w:val="007F18F1"/>
    <w:rsid w:val="007F1AF1"/>
    <w:rsid w:val="007F1DF8"/>
    <w:rsid w:val="007F205D"/>
    <w:rsid w:val="007F2465"/>
    <w:rsid w:val="007F24B6"/>
    <w:rsid w:val="007F2A9A"/>
    <w:rsid w:val="007F2D97"/>
    <w:rsid w:val="007F30CA"/>
    <w:rsid w:val="007F3387"/>
    <w:rsid w:val="007F3A93"/>
    <w:rsid w:val="007F412A"/>
    <w:rsid w:val="007F42CE"/>
    <w:rsid w:val="007F4486"/>
    <w:rsid w:val="007F4525"/>
    <w:rsid w:val="007F56DE"/>
    <w:rsid w:val="007F5B98"/>
    <w:rsid w:val="007F5DAD"/>
    <w:rsid w:val="007F5E5E"/>
    <w:rsid w:val="007F6303"/>
    <w:rsid w:val="007F6731"/>
    <w:rsid w:val="007F674D"/>
    <w:rsid w:val="007F6C9A"/>
    <w:rsid w:val="007F6FD8"/>
    <w:rsid w:val="007F743D"/>
    <w:rsid w:val="007F745A"/>
    <w:rsid w:val="007F7D55"/>
    <w:rsid w:val="00800462"/>
    <w:rsid w:val="00800C82"/>
    <w:rsid w:val="008010D9"/>
    <w:rsid w:val="0080152C"/>
    <w:rsid w:val="00801BF5"/>
    <w:rsid w:val="00802610"/>
    <w:rsid w:val="0080283F"/>
    <w:rsid w:val="00802C7A"/>
    <w:rsid w:val="00803430"/>
    <w:rsid w:val="008037B2"/>
    <w:rsid w:val="008037CE"/>
    <w:rsid w:val="0080466E"/>
    <w:rsid w:val="0080503F"/>
    <w:rsid w:val="008050F1"/>
    <w:rsid w:val="00806098"/>
    <w:rsid w:val="00806348"/>
    <w:rsid w:val="00806C9B"/>
    <w:rsid w:val="00807C42"/>
    <w:rsid w:val="00807EA6"/>
    <w:rsid w:val="00807F84"/>
    <w:rsid w:val="008101A2"/>
    <w:rsid w:val="00810279"/>
    <w:rsid w:val="00811590"/>
    <w:rsid w:val="00812196"/>
    <w:rsid w:val="008162F5"/>
    <w:rsid w:val="0081661E"/>
    <w:rsid w:val="00816C8B"/>
    <w:rsid w:val="008200A2"/>
    <w:rsid w:val="008209FA"/>
    <w:rsid w:val="00820B15"/>
    <w:rsid w:val="00821E80"/>
    <w:rsid w:val="00822FA8"/>
    <w:rsid w:val="00823A42"/>
    <w:rsid w:val="008243E1"/>
    <w:rsid w:val="00824CA5"/>
    <w:rsid w:val="008259DF"/>
    <w:rsid w:val="00825A55"/>
    <w:rsid w:val="00825E05"/>
    <w:rsid w:val="0082656A"/>
    <w:rsid w:val="0082661C"/>
    <w:rsid w:val="00826F1B"/>
    <w:rsid w:val="00826FB6"/>
    <w:rsid w:val="00827895"/>
    <w:rsid w:val="00827E8E"/>
    <w:rsid w:val="0083028F"/>
    <w:rsid w:val="00830CAC"/>
    <w:rsid w:val="00830DC8"/>
    <w:rsid w:val="00831619"/>
    <w:rsid w:val="00831F95"/>
    <w:rsid w:val="00832EB7"/>
    <w:rsid w:val="00833BC1"/>
    <w:rsid w:val="00833E2E"/>
    <w:rsid w:val="0083441C"/>
    <w:rsid w:val="00834833"/>
    <w:rsid w:val="0083506A"/>
    <w:rsid w:val="0083601E"/>
    <w:rsid w:val="00836138"/>
    <w:rsid w:val="0083731D"/>
    <w:rsid w:val="008379D0"/>
    <w:rsid w:val="008405CF"/>
    <w:rsid w:val="00840BFA"/>
    <w:rsid w:val="00840E9E"/>
    <w:rsid w:val="008417EA"/>
    <w:rsid w:val="00841D6A"/>
    <w:rsid w:val="0084287C"/>
    <w:rsid w:val="00843801"/>
    <w:rsid w:val="00844C66"/>
    <w:rsid w:val="008451A2"/>
    <w:rsid w:val="00845F39"/>
    <w:rsid w:val="00846059"/>
    <w:rsid w:val="008461E7"/>
    <w:rsid w:val="008476C0"/>
    <w:rsid w:val="00847D19"/>
    <w:rsid w:val="0085014B"/>
    <w:rsid w:val="008502F0"/>
    <w:rsid w:val="00850A0E"/>
    <w:rsid w:val="00850FC9"/>
    <w:rsid w:val="00851192"/>
    <w:rsid w:val="00851397"/>
    <w:rsid w:val="00852B44"/>
    <w:rsid w:val="008530A3"/>
    <w:rsid w:val="008543D7"/>
    <w:rsid w:val="00854C55"/>
    <w:rsid w:val="0085522D"/>
    <w:rsid w:val="00855239"/>
    <w:rsid w:val="00855DB9"/>
    <w:rsid w:val="00856245"/>
    <w:rsid w:val="00856A69"/>
    <w:rsid w:val="00856C69"/>
    <w:rsid w:val="008574B7"/>
    <w:rsid w:val="00857903"/>
    <w:rsid w:val="0085790D"/>
    <w:rsid w:val="00857922"/>
    <w:rsid w:val="00857FB3"/>
    <w:rsid w:val="008607C9"/>
    <w:rsid w:val="0086167B"/>
    <w:rsid w:val="00861C9B"/>
    <w:rsid w:val="008624FD"/>
    <w:rsid w:val="008628BD"/>
    <w:rsid w:val="00862E61"/>
    <w:rsid w:val="00863C01"/>
    <w:rsid w:val="008642E9"/>
    <w:rsid w:val="00865B5B"/>
    <w:rsid w:val="00866140"/>
    <w:rsid w:val="00866A85"/>
    <w:rsid w:val="00866AA5"/>
    <w:rsid w:val="008675D3"/>
    <w:rsid w:val="0086763C"/>
    <w:rsid w:val="00867724"/>
    <w:rsid w:val="0087039B"/>
    <w:rsid w:val="008707F7"/>
    <w:rsid w:val="00870AAE"/>
    <w:rsid w:val="008712A6"/>
    <w:rsid w:val="0087167C"/>
    <w:rsid w:val="00872A2A"/>
    <w:rsid w:val="00872A7B"/>
    <w:rsid w:val="008733C6"/>
    <w:rsid w:val="00873C92"/>
    <w:rsid w:val="008742A2"/>
    <w:rsid w:val="0087474C"/>
    <w:rsid w:val="00874858"/>
    <w:rsid w:val="00874E1B"/>
    <w:rsid w:val="00874F77"/>
    <w:rsid w:val="00875878"/>
    <w:rsid w:val="00875A07"/>
    <w:rsid w:val="00876BFD"/>
    <w:rsid w:val="00876C8D"/>
    <w:rsid w:val="00877AED"/>
    <w:rsid w:val="00880216"/>
    <w:rsid w:val="0088056D"/>
    <w:rsid w:val="00880600"/>
    <w:rsid w:val="008809C8"/>
    <w:rsid w:val="00880C1F"/>
    <w:rsid w:val="00881459"/>
    <w:rsid w:val="00881BCF"/>
    <w:rsid w:val="00881BEF"/>
    <w:rsid w:val="00881BF5"/>
    <w:rsid w:val="00881F81"/>
    <w:rsid w:val="008822FE"/>
    <w:rsid w:val="00882D07"/>
    <w:rsid w:val="00882EB2"/>
    <w:rsid w:val="0088334F"/>
    <w:rsid w:val="0088389A"/>
    <w:rsid w:val="00884107"/>
    <w:rsid w:val="008843CB"/>
    <w:rsid w:val="00884958"/>
    <w:rsid w:val="00884B6D"/>
    <w:rsid w:val="008851B2"/>
    <w:rsid w:val="00885623"/>
    <w:rsid w:val="00885A60"/>
    <w:rsid w:val="00885A61"/>
    <w:rsid w:val="00885FB3"/>
    <w:rsid w:val="00886315"/>
    <w:rsid w:val="008863C3"/>
    <w:rsid w:val="00886435"/>
    <w:rsid w:val="00886909"/>
    <w:rsid w:val="00886C00"/>
    <w:rsid w:val="00886D25"/>
    <w:rsid w:val="00887AB9"/>
    <w:rsid w:val="00887ECE"/>
    <w:rsid w:val="00887F90"/>
    <w:rsid w:val="00887FD8"/>
    <w:rsid w:val="00890C9F"/>
    <w:rsid w:val="00891674"/>
    <w:rsid w:val="00892200"/>
    <w:rsid w:val="00892244"/>
    <w:rsid w:val="00892D51"/>
    <w:rsid w:val="00892F3C"/>
    <w:rsid w:val="008932FB"/>
    <w:rsid w:val="00893705"/>
    <w:rsid w:val="008952FA"/>
    <w:rsid w:val="0089615D"/>
    <w:rsid w:val="00897783"/>
    <w:rsid w:val="008A00CD"/>
    <w:rsid w:val="008A00D4"/>
    <w:rsid w:val="008A02E8"/>
    <w:rsid w:val="008A0F78"/>
    <w:rsid w:val="008A17E4"/>
    <w:rsid w:val="008A1EEE"/>
    <w:rsid w:val="008A20AD"/>
    <w:rsid w:val="008A26B3"/>
    <w:rsid w:val="008A2BC1"/>
    <w:rsid w:val="008A31C5"/>
    <w:rsid w:val="008A31FB"/>
    <w:rsid w:val="008A386D"/>
    <w:rsid w:val="008A3A00"/>
    <w:rsid w:val="008A3D66"/>
    <w:rsid w:val="008A492A"/>
    <w:rsid w:val="008A4BAF"/>
    <w:rsid w:val="008A5006"/>
    <w:rsid w:val="008A5077"/>
    <w:rsid w:val="008A5A79"/>
    <w:rsid w:val="008A5EE3"/>
    <w:rsid w:val="008A629E"/>
    <w:rsid w:val="008A71B1"/>
    <w:rsid w:val="008B064D"/>
    <w:rsid w:val="008B0CE5"/>
    <w:rsid w:val="008B0D2C"/>
    <w:rsid w:val="008B0D64"/>
    <w:rsid w:val="008B11A6"/>
    <w:rsid w:val="008B142A"/>
    <w:rsid w:val="008B1432"/>
    <w:rsid w:val="008B2AC4"/>
    <w:rsid w:val="008B2C19"/>
    <w:rsid w:val="008B31DB"/>
    <w:rsid w:val="008B3764"/>
    <w:rsid w:val="008B4070"/>
    <w:rsid w:val="008B4948"/>
    <w:rsid w:val="008B4C02"/>
    <w:rsid w:val="008B56ED"/>
    <w:rsid w:val="008B61B4"/>
    <w:rsid w:val="008B6342"/>
    <w:rsid w:val="008B658C"/>
    <w:rsid w:val="008B6A48"/>
    <w:rsid w:val="008B713C"/>
    <w:rsid w:val="008B78F0"/>
    <w:rsid w:val="008C1638"/>
    <w:rsid w:val="008C1836"/>
    <w:rsid w:val="008C20CE"/>
    <w:rsid w:val="008C243E"/>
    <w:rsid w:val="008C2483"/>
    <w:rsid w:val="008C2A2A"/>
    <w:rsid w:val="008C2B63"/>
    <w:rsid w:val="008C2C7E"/>
    <w:rsid w:val="008C3598"/>
    <w:rsid w:val="008C469F"/>
    <w:rsid w:val="008C518A"/>
    <w:rsid w:val="008C64F6"/>
    <w:rsid w:val="008C6D5E"/>
    <w:rsid w:val="008C7890"/>
    <w:rsid w:val="008C7B26"/>
    <w:rsid w:val="008C7C1B"/>
    <w:rsid w:val="008D0710"/>
    <w:rsid w:val="008D096D"/>
    <w:rsid w:val="008D1008"/>
    <w:rsid w:val="008D1C26"/>
    <w:rsid w:val="008D26BB"/>
    <w:rsid w:val="008D2AA8"/>
    <w:rsid w:val="008D2C75"/>
    <w:rsid w:val="008D301F"/>
    <w:rsid w:val="008D3291"/>
    <w:rsid w:val="008D3F45"/>
    <w:rsid w:val="008D58E3"/>
    <w:rsid w:val="008D5E3E"/>
    <w:rsid w:val="008D609A"/>
    <w:rsid w:val="008D686D"/>
    <w:rsid w:val="008D69D2"/>
    <w:rsid w:val="008D6DCA"/>
    <w:rsid w:val="008D7C32"/>
    <w:rsid w:val="008D7D1B"/>
    <w:rsid w:val="008D7E65"/>
    <w:rsid w:val="008E0399"/>
    <w:rsid w:val="008E0475"/>
    <w:rsid w:val="008E08BB"/>
    <w:rsid w:val="008E1D8B"/>
    <w:rsid w:val="008E200D"/>
    <w:rsid w:val="008E20CA"/>
    <w:rsid w:val="008E3207"/>
    <w:rsid w:val="008E410C"/>
    <w:rsid w:val="008E49EE"/>
    <w:rsid w:val="008E4A9C"/>
    <w:rsid w:val="008E4CEA"/>
    <w:rsid w:val="008E54C6"/>
    <w:rsid w:val="008E6608"/>
    <w:rsid w:val="008E689C"/>
    <w:rsid w:val="008E6AC8"/>
    <w:rsid w:val="008E6C18"/>
    <w:rsid w:val="008E6CFE"/>
    <w:rsid w:val="008E6E98"/>
    <w:rsid w:val="008E75F3"/>
    <w:rsid w:val="008F029D"/>
    <w:rsid w:val="008F0BF8"/>
    <w:rsid w:val="008F127D"/>
    <w:rsid w:val="008F17B6"/>
    <w:rsid w:val="008F1A61"/>
    <w:rsid w:val="008F1DCE"/>
    <w:rsid w:val="008F248C"/>
    <w:rsid w:val="008F3999"/>
    <w:rsid w:val="008F3CED"/>
    <w:rsid w:val="008F3ED5"/>
    <w:rsid w:val="008F3FC9"/>
    <w:rsid w:val="008F4AC7"/>
    <w:rsid w:val="008F5494"/>
    <w:rsid w:val="008F5B39"/>
    <w:rsid w:val="008F6071"/>
    <w:rsid w:val="008F6790"/>
    <w:rsid w:val="008F6F76"/>
    <w:rsid w:val="008F7000"/>
    <w:rsid w:val="008F71AC"/>
    <w:rsid w:val="008F72C8"/>
    <w:rsid w:val="008F7814"/>
    <w:rsid w:val="008F7925"/>
    <w:rsid w:val="008F7BF1"/>
    <w:rsid w:val="008F7DF5"/>
    <w:rsid w:val="00900765"/>
    <w:rsid w:val="009007D2"/>
    <w:rsid w:val="0090088F"/>
    <w:rsid w:val="00900DB3"/>
    <w:rsid w:val="00901387"/>
    <w:rsid w:val="00901786"/>
    <w:rsid w:val="0090231E"/>
    <w:rsid w:val="00902525"/>
    <w:rsid w:val="00902BF7"/>
    <w:rsid w:val="00903286"/>
    <w:rsid w:val="00903689"/>
    <w:rsid w:val="00903765"/>
    <w:rsid w:val="00903776"/>
    <w:rsid w:val="009037A1"/>
    <w:rsid w:val="00903C59"/>
    <w:rsid w:val="0090405A"/>
    <w:rsid w:val="009050D2"/>
    <w:rsid w:val="00905682"/>
    <w:rsid w:val="00905FCC"/>
    <w:rsid w:val="009061EE"/>
    <w:rsid w:val="00906900"/>
    <w:rsid w:val="00906E2C"/>
    <w:rsid w:val="0091038D"/>
    <w:rsid w:val="00910979"/>
    <w:rsid w:val="00910A0E"/>
    <w:rsid w:val="009113DB"/>
    <w:rsid w:val="00911861"/>
    <w:rsid w:val="00911AB7"/>
    <w:rsid w:val="00914487"/>
    <w:rsid w:val="00914C86"/>
    <w:rsid w:val="00914E11"/>
    <w:rsid w:val="00915505"/>
    <w:rsid w:val="0091552A"/>
    <w:rsid w:val="00915E5B"/>
    <w:rsid w:val="009174DC"/>
    <w:rsid w:val="00917605"/>
    <w:rsid w:val="00917B49"/>
    <w:rsid w:val="00920080"/>
    <w:rsid w:val="009209CD"/>
    <w:rsid w:val="00920F12"/>
    <w:rsid w:val="00920FC1"/>
    <w:rsid w:val="00921F41"/>
    <w:rsid w:val="0092224B"/>
    <w:rsid w:val="00922587"/>
    <w:rsid w:val="0092321B"/>
    <w:rsid w:val="009236E3"/>
    <w:rsid w:val="00924905"/>
    <w:rsid w:val="009251D3"/>
    <w:rsid w:val="00925B0B"/>
    <w:rsid w:val="0092615C"/>
    <w:rsid w:val="009268BC"/>
    <w:rsid w:val="00926A87"/>
    <w:rsid w:val="0092712F"/>
    <w:rsid w:val="00927191"/>
    <w:rsid w:val="00927816"/>
    <w:rsid w:val="00930165"/>
    <w:rsid w:val="00930484"/>
    <w:rsid w:val="0093099B"/>
    <w:rsid w:val="00930D53"/>
    <w:rsid w:val="009316DD"/>
    <w:rsid w:val="009317C1"/>
    <w:rsid w:val="00931BEC"/>
    <w:rsid w:val="00931C7E"/>
    <w:rsid w:val="00931F89"/>
    <w:rsid w:val="00932209"/>
    <w:rsid w:val="00932331"/>
    <w:rsid w:val="0093277A"/>
    <w:rsid w:val="00932793"/>
    <w:rsid w:val="00932F8B"/>
    <w:rsid w:val="0093332B"/>
    <w:rsid w:val="009336E8"/>
    <w:rsid w:val="00934391"/>
    <w:rsid w:val="0093595C"/>
    <w:rsid w:val="00936142"/>
    <w:rsid w:val="00936485"/>
    <w:rsid w:val="009369BC"/>
    <w:rsid w:val="009370A1"/>
    <w:rsid w:val="009373D2"/>
    <w:rsid w:val="0093796C"/>
    <w:rsid w:val="00937C19"/>
    <w:rsid w:val="00937CC0"/>
    <w:rsid w:val="00940129"/>
    <w:rsid w:val="00940274"/>
    <w:rsid w:val="009403E2"/>
    <w:rsid w:val="00941A0D"/>
    <w:rsid w:val="00942477"/>
    <w:rsid w:val="00942479"/>
    <w:rsid w:val="00942AD0"/>
    <w:rsid w:val="00942D9A"/>
    <w:rsid w:val="00942DC1"/>
    <w:rsid w:val="0094390F"/>
    <w:rsid w:val="00943FCE"/>
    <w:rsid w:val="00944661"/>
    <w:rsid w:val="009448F5"/>
    <w:rsid w:val="00945060"/>
    <w:rsid w:val="009450EB"/>
    <w:rsid w:val="009451D5"/>
    <w:rsid w:val="009451E6"/>
    <w:rsid w:val="009455B2"/>
    <w:rsid w:val="0094569D"/>
    <w:rsid w:val="0094642A"/>
    <w:rsid w:val="0094643D"/>
    <w:rsid w:val="00946592"/>
    <w:rsid w:val="00947DD7"/>
    <w:rsid w:val="00947F47"/>
    <w:rsid w:val="00950484"/>
    <w:rsid w:val="009515AA"/>
    <w:rsid w:val="0095224A"/>
    <w:rsid w:val="0095236A"/>
    <w:rsid w:val="009530BD"/>
    <w:rsid w:val="00953F1B"/>
    <w:rsid w:val="00953FCD"/>
    <w:rsid w:val="00954036"/>
    <w:rsid w:val="009549D9"/>
    <w:rsid w:val="00955480"/>
    <w:rsid w:val="0095680F"/>
    <w:rsid w:val="00956D76"/>
    <w:rsid w:val="009574DE"/>
    <w:rsid w:val="0095797D"/>
    <w:rsid w:val="00957D5F"/>
    <w:rsid w:val="00960BB7"/>
    <w:rsid w:val="00960D3B"/>
    <w:rsid w:val="0096172E"/>
    <w:rsid w:val="00961DE0"/>
    <w:rsid w:val="00962F3A"/>
    <w:rsid w:val="00963998"/>
    <w:rsid w:val="00963A05"/>
    <w:rsid w:val="00963F87"/>
    <w:rsid w:val="00964743"/>
    <w:rsid w:val="00964788"/>
    <w:rsid w:val="00965444"/>
    <w:rsid w:val="00965A0E"/>
    <w:rsid w:val="009668DA"/>
    <w:rsid w:val="00966C05"/>
    <w:rsid w:val="009672CF"/>
    <w:rsid w:val="00967A28"/>
    <w:rsid w:val="00967A74"/>
    <w:rsid w:val="00967B3B"/>
    <w:rsid w:val="009705C1"/>
    <w:rsid w:val="009709A7"/>
    <w:rsid w:val="009729CA"/>
    <w:rsid w:val="00972F75"/>
    <w:rsid w:val="00974956"/>
    <w:rsid w:val="00974B66"/>
    <w:rsid w:val="00974D95"/>
    <w:rsid w:val="00975011"/>
    <w:rsid w:val="0097506A"/>
    <w:rsid w:val="0097540E"/>
    <w:rsid w:val="00976EC4"/>
    <w:rsid w:val="009777D3"/>
    <w:rsid w:val="0098017D"/>
    <w:rsid w:val="009807A8"/>
    <w:rsid w:val="00980CD8"/>
    <w:rsid w:val="009816BD"/>
    <w:rsid w:val="009817C2"/>
    <w:rsid w:val="00982C70"/>
    <w:rsid w:val="00982C9B"/>
    <w:rsid w:val="00983336"/>
    <w:rsid w:val="009833BE"/>
    <w:rsid w:val="00983488"/>
    <w:rsid w:val="00983E6F"/>
    <w:rsid w:val="00984A55"/>
    <w:rsid w:val="00984CEE"/>
    <w:rsid w:val="00984EFE"/>
    <w:rsid w:val="009856F4"/>
    <w:rsid w:val="0098581A"/>
    <w:rsid w:val="00985D90"/>
    <w:rsid w:val="0098605E"/>
    <w:rsid w:val="00986D18"/>
    <w:rsid w:val="0098701E"/>
    <w:rsid w:val="0098755C"/>
    <w:rsid w:val="00987854"/>
    <w:rsid w:val="00990168"/>
    <w:rsid w:val="009901C0"/>
    <w:rsid w:val="009902B2"/>
    <w:rsid w:val="0099063A"/>
    <w:rsid w:val="009907B2"/>
    <w:rsid w:val="009916FB"/>
    <w:rsid w:val="00991AF3"/>
    <w:rsid w:val="009920DC"/>
    <w:rsid w:val="00992251"/>
    <w:rsid w:val="00992957"/>
    <w:rsid w:val="009929AC"/>
    <w:rsid w:val="009936DC"/>
    <w:rsid w:val="00993FF2"/>
    <w:rsid w:val="0099482B"/>
    <w:rsid w:val="00994F87"/>
    <w:rsid w:val="0099654B"/>
    <w:rsid w:val="00996A44"/>
    <w:rsid w:val="009970F9"/>
    <w:rsid w:val="009971BB"/>
    <w:rsid w:val="009976DD"/>
    <w:rsid w:val="00997A01"/>
    <w:rsid w:val="00997D87"/>
    <w:rsid w:val="009A02C1"/>
    <w:rsid w:val="009A0A46"/>
    <w:rsid w:val="009A0C36"/>
    <w:rsid w:val="009A12AF"/>
    <w:rsid w:val="009A1497"/>
    <w:rsid w:val="009A21C9"/>
    <w:rsid w:val="009A2381"/>
    <w:rsid w:val="009A2951"/>
    <w:rsid w:val="009A2F56"/>
    <w:rsid w:val="009A5193"/>
    <w:rsid w:val="009A51A1"/>
    <w:rsid w:val="009A51F3"/>
    <w:rsid w:val="009A5871"/>
    <w:rsid w:val="009A6112"/>
    <w:rsid w:val="009A6837"/>
    <w:rsid w:val="009A704A"/>
    <w:rsid w:val="009B0E09"/>
    <w:rsid w:val="009B0F52"/>
    <w:rsid w:val="009B1327"/>
    <w:rsid w:val="009B177D"/>
    <w:rsid w:val="009B1FA7"/>
    <w:rsid w:val="009B21B3"/>
    <w:rsid w:val="009B2816"/>
    <w:rsid w:val="009B2DFD"/>
    <w:rsid w:val="009B4215"/>
    <w:rsid w:val="009B45CB"/>
    <w:rsid w:val="009B5B8B"/>
    <w:rsid w:val="009B6609"/>
    <w:rsid w:val="009B6DFC"/>
    <w:rsid w:val="009B6EC8"/>
    <w:rsid w:val="009B6FDE"/>
    <w:rsid w:val="009C147F"/>
    <w:rsid w:val="009C1667"/>
    <w:rsid w:val="009C1FFF"/>
    <w:rsid w:val="009C2210"/>
    <w:rsid w:val="009C2B15"/>
    <w:rsid w:val="009C2B25"/>
    <w:rsid w:val="009C2B86"/>
    <w:rsid w:val="009C3AD9"/>
    <w:rsid w:val="009C45D5"/>
    <w:rsid w:val="009C4CB2"/>
    <w:rsid w:val="009C5733"/>
    <w:rsid w:val="009C5B3A"/>
    <w:rsid w:val="009C5D44"/>
    <w:rsid w:val="009C64C1"/>
    <w:rsid w:val="009C67A9"/>
    <w:rsid w:val="009C698C"/>
    <w:rsid w:val="009C7A97"/>
    <w:rsid w:val="009C7DBC"/>
    <w:rsid w:val="009C7EE5"/>
    <w:rsid w:val="009D0496"/>
    <w:rsid w:val="009D04EB"/>
    <w:rsid w:val="009D0985"/>
    <w:rsid w:val="009D09FD"/>
    <w:rsid w:val="009D0AE9"/>
    <w:rsid w:val="009D0CA8"/>
    <w:rsid w:val="009D15C7"/>
    <w:rsid w:val="009D17DB"/>
    <w:rsid w:val="009D1D6F"/>
    <w:rsid w:val="009D1EBE"/>
    <w:rsid w:val="009D2042"/>
    <w:rsid w:val="009D3C1D"/>
    <w:rsid w:val="009D442E"/>
    <w:rsid w:val="009D460A"/>
    <w:rsid w:val="009D4977"/>
    <w:rsid w:val="009D4C70"/>
    <w:rsid w:val="009D520D"/>
    <w:rsid w:val="009D5617"/>
    <w:rsid w:val="009D6155"/>
    <w:rsid w:val="009D64E0"/>
    <w:rsid w:val="009D6553"/>
    <w:rsid w:val="009D762A"/>
    <w:rsid w:val="009D7EC4"/>
    <w:rsid w:val="009E0AF9"/>
    <w:rsid w:val="009E1A4C"/>
    <w:rsid w:val="009E1FFB"/>
    <w:rsid w:val="009E2085"/>
    <w:rsid w:val="009E2C08"/>
    <w:rsid w:val="009E3815"/>
    <w:rsid w:val="009E39B0"/>
    <w:rsid w:val="009E3A13"/>
    <w:rsid w:val="009E3A62"/>
    <w:rsid w:val="009E3FD9"/>
    <w:rsid w:val="009E44E1"/>
    <w:rsid w:val="009E4D93"/>
    <w:rsid w:val="009E527E"/>
    <w:rsid w:val="009E5C6D"/>
    <w:rsid w:val="009E646E"/>
    <w:rsid w:val="009E64EB"/>
    <w:rsid w:val="009E669A"/>
    <w:rsid w:val="009E6EE8"/>
    <w:rsid w:val="009E7B42"/>
    <w:rsid w:val="009E7DA9"/>
    <w:rsid w:val="009E7DED"/>
    <w:rsid w:val="009F2180"/>
    <w:rsid w:val="009F2B67"/>
    <w:rsid w:val="009F350A"/>
    <w:rsid w:val="009F3543"/>
    <w:rsid w:val="009F3641"/>
    <w:rsid w:val="009F41DD"/>
    <w:rsid w:val="009F5EE7"/>
    <w:rsid w:val="009F6092"/>
    <w:rsid w:val="009F72AC"/>
    <w:rsid w:val="009F7FE1"/>
    <w:rsid w:val="00A006D0"/>
    <w:rsid w:val="00A00D43"/>
    <w:rsid w:val="00A00D71"/>
    <w:rsid w:val="00A01E22"/>
    <w:rsid w:val="00A01E99"/>
    <w:rsid w:val="00A0213E"/>
    <w:rsid w:val="00A035E4"/>
    <w:rsid w:val="00A03789"/>
    <w:rsid w:val="00A0380E"/>
    <w:rsid w:val="00A03874"/>
    <w:rsid w:val="00A04B6D"/>
    <w:rsid w:val="00A04FF3"/>
    <w:rsid w:val="00A06B86"/>
    <w:rsid w:val="00A0754B"/>
    <w:rsid w:val="00A07905"/>
    <w:rsid w:val="00A102B9"/>
    <w:rsid w:val="00A107FA"/>
    <w:rsid w:val="00A10CB2"/>
    <w:rsid w:val="00A112E5"/>
    <w:rsid w:val="00A1139A"/>
    <w:rsid w:val="00A1160B"/>
    <w:rsid w:val="00A117FC"/>
    <w:rsid w:val="00A11865"/>
    <w:rsid w:val="00A12B88"/>
    <w:rsid w:val="00A12D5D"/>
    <w:rsid w:val="00A1307A"/>
    <w:rsid w:val="00A130DF"/>
    <w:rsid w:val="00A15317"/>
    <w:rsid w:val="00A15621"/>
    <w:rsid w:val="00A15DA0"/>
    <w:rsid w:val="00A16DD0"/>
    <w:rsid w:val="00A17220"/>
    <w:rsid w:val="00A1752A"/>
    <w:rsid w:val="00A175F3"/>
    <w:rsid w:val="00A204B7"/>
    <w:rsid w:val="00A20A50"/>
    <w:rsid w:val="00A216C6"/>
    <w:rsid w:val="00A21808"/>
    <w:rsid w:val="00A22338"/>
    <w:rsid w:val="00A231E0"/>
    <w:rsid w:val="00A23CF3"/>
    <w:rsid w:val="00A23E0F"/>
    <w:rsid w:val="00A23F2C"/>
    <w:rsid w:val="00A2421A"/>
    <w:rsid w:val="00A25320"/>
    <w:rsid w:val="00A2542C"/>
    <w:rsid w:val="00A25BBB"/>
    <w:rsid w:val="00A26092"/>
    <w:rsid w:val="00A260C1"/>
    <w:rsid w:val="00A26427"/>
    <w:rsid w:val="00A26645"/>
    <w:rsid w:val="00A26736"/>
    <w:rsid w:val="00A2673F"/>
    <w:rsid w:val="00A26B83"/>
    <w:rsid w:val="00A27B53"/>
    <w:rsid w:val="00A30015"/>
    <w:rsid w:val="00A30480"/>
    <w:rsid w:val="00A3095E"/>
    <w:rsid w:val="00A310F7"/>
    <w:rsid w:val="00A31322"/>
    <w:rsid w:val="00A316A4"/>
    <w:rsid w:val="00A32125"/>
    <w:rsid w:val="00A32C19"/>
    <w:rsid w:val="00A32F3B"/>
    <w:rsid w:val="00A333F6"/>
    <w:rsid w:val="00A33A0F"/>
    <w:rsid w:val="00A33FCF"/>
    <w:rsid w:val="00A3402B"/>
    <w:rsid w:val="00A341A0"/>
    <w:rsid w:val="00A34248"/>
    <w:rsid w:val="00A345A7"/>
    <w:rsid w:val="00A34B4C"/>
    <w:rsid w:val="00A34E09"/>
    <w:rsid w:val="00A3500E"/>
    <w:rsid w:val="00A3514D"/>
    <w:rsid w:val="00A3534E"/>
    <w:rsid w:val="00A3675B"/>
    <w:rsid w:val="00A36FCB"/>
    <w:rsid w:val="00A3718D"/>
    <w:rsid w:val="00A372A2"/>
    <w:rsid w:val="00A375DB"/>
    <w:rsid w:val="00A37C43"/>
    <w:rsid w:val="00A40052"/>
    <w:rsid w:val="00A40370"/>
    <w:rsid w:val="00A405AC"/>
    <w:rsid w:val="00A40658"/>
    <w:rsid w:val="00A40DA3"/>
    <w:rsid w:val="00A40E73"/>
    <w:rsid w:val="00A40F9E"/>
    <w:rsid w:val="00A413E2"/>
    <w:rsid w:val="00A41415"/>
    <w:rsid w:val="00A414F4"/>
    <w:rsid w:val="00A41655"/>
    <w:rsid w:val="00A41AB9"/>
    <w:rsid w:val="00A420FB"/>
    <w:rsid w:val="00A42269"/>
    <w:rsid w:val="00A424E7"/>
    <w:rsid w:val="00A43400"/>
    <w:rsid w:val="00A437F2"/>
    <w:rsid w:val="00A43E2D"/>
    <w:rsid w:val="00A440BC"/>
    <w:rsid w:val="00A44966"/>
    <w:rsid w:val="00A4584B"/>
    <w:rsid w:val="00A45A95"/>
    <w:rsid w:val="00A45CA8"/>
    <w:rsid w:val="00A45F89"/>
    <w:rsid w:val="00A47310"/>
    <w:rsid w:val="00A47A02"/>
    <w:rsid w:val="00A50833"/>
    <w:rsid w:val="00A51524"/>
    <w:rsid w:val="00A518A3"/>
    <w:rsid w:val="00A5245F"/>
    <w:rsid w:val="00A52A5D"/>
    <w:rsid w:val="00A52A9C"/>
    <w:rsid w:val="00A52E7A"/>
    <w:rsid w:val="00A53378"/>
    <w:rsid w:val="00A5430C"/>
    <w:rsid w:val="00A54949"/>
    <w:rsid w:val="00A54D95"/>
    <w:rsid w:val="00A55540"/>
    <w:rsid w:val="00A5672A"/>
    <w:rsid w:val="00A56AEE"/>
    <w:rsid w:val="00A572E1"/>
    <w:rsid w:val="00A574A3"/>
    <w:rsid w:val="00A574C4"/>
    <w:rsid w:val="00A5790F"/>
    <w:rsid w:val="00A57EB8"/>
    <w:rsid w:val="00A608CE"/>
    <w:rsid w:val="00A60B06"/>
    <w:rsid w:val="00A60E64"/>
    <w:rsid w:val="00A61C00"/>
    <w:rsid w:val="00A61FF0"/>
    <w:rsid w:val="00A621ED"/>
    <w:rsid w:val="00A6224C"/>
    <w:rsid w:val="00A62F64"/>
    <w:rsid w:val="00A636E5"/>
    <w:rsid w:val="00A6398B"/>
    <w:rsid w:val="00A63F54"/>
    <w:rsid w:val="00A63F59"/>
    <w:rsid w:val="00A64265"/>
    <w:rsid w:val="00A65513"/>
    <w:rsid w:val="00A65E66"/>
    <w:rsid w:val="00A66886"/>
    <w:rsid w:val="00A66AF7"/>
    <w:rsid w:val="00A67590"/>
    <w:rsid w:val="00A702C6"/>
    <w:rsid w:val="00A706C2"/>
    <w:rsid w:val="00A712EA"/>
    <w:rsid w:val="00A71796"/>
    <w:rsid w:val="00A72077"/>
    <w:rsid w:val="00A728BD"/>
    <w:rsid w:val="00A72EF8"/>
    <w:rsid w:val="00A74C3F"/>
    <w:rsid w:val="00A751AD"/>
    <w:rsid w:val="00A75C3B"/>
    <w:rsid w:val="00A75F17"/>
    <w:rsid w:val="00A761A5"/>
    <w:rsid w:val="00A76526"/>
    <w:rsid w:val="00A7673C"/>
    <w:rsid w:val="00A76998"/>
    <w:rsid w:val="00A77056"/>
    <w:rsid w:val="00A7705D"/>
    <w:rsid w:val="00A77FE6"/>
    <w:rsid w:val="00A80976"/>
    <w:rsid w:val="00A814FA"/>
    <w:rsid w:val="00A81618"/>
    <w:rsid w:val="00A81F40"/>
    <w:rsid w:val="00A821AB"/>
    <w:rsid w:val="00A82B94"/>
    <w:rsid w:val="00A82D84"/>
    <w:rsid w:val="00A830A4"/>
    <w:rsid w:val="00A84186"/>
    <w:rsid w:val="00A84898"/>
    <w:rsid w:val="00A848D2"/>
    <w:rsid w:val="00A84AA7"/>
    <w:rsid w:val="00A84D01"/>
    <w:rsid w:val="00A853F6"/>
    <w:rsid w:val="00A855D8"/>
    <w:rsid w:val="00A8638E"/>
    <w:rsid w:val="00A865EC"/>
    <w:rsid w:val="00A86A60"/>
    <w:rsid w:val="00A86EA0"/>
    <w:rsid w:val="00A87353"/>
    <w:rsid w:val="00A8768A"/>
    <w:rsid w:val="00A90D8B"/>
    <w:rsid w:val="00A911C3"/>
    <w:rsid w:val="00A92AF9"/>
    <w:rsid w:val="00A92C33"/>
    <w:rsid w:val="00A9314D"/>
    <w:rsid w:val="00A9351E"/>
    <w:rsid w:val="00A93EB9"/>
    <w:rsid w:val="00A9400E"/>
    <w:rsid w:val="00A94E9F"/>
    <w:rsid w:val="00A961F5"/>
    <w:rsid w:val="00A962C6"/>
    <w:rsid w:val="00A96865"/>
    <w:rsid w:val="00A96A60"/>
    <w:rsid w:val="00A96B1F"/>
    <w:rsid w:val="00A96B4A"/>
    <w:rsid w:val="00A96FD5"/>
    <w:rsid w:val="00A97896"/>
    <w:rsid w:val="00A97A73"/>
    <w:rsid w:val="00A97F91"/>
    <w:rsid w:val="00AA0470"/>
    <w:rsid w:val="00AA07A3"/>
    <w:rsid w:val="00AA0F54"/>
    <w:rsid w:val="00AA1190"/>
    <w:rsid w:val="00AA1CF4"/>
    <w:rsid w:val="00AA2E03"/>
    <w:rsid w:val="00AA2EC8"/>
    <w:rsid w:val="00AA3503"/>
    <w:rsid w:val="00AA3B58"/>
    <w:rsid w:val="00AA59F7"/>
    <w:rsid w:val="00AA63DE"/>
    <w:rsid w:val="00AA66AD"/>
    <w:rsid w:val="00AA6CAC"/>
    <w:rsid w:val="00AA7A80"/>
    <w:rsid w:val="00AB0769"/>
    <w:rsid w:val="00AB0978"/>
    <w:rsid w:val="00AB15AC"/>
    <w:rsid w:val="00AB1D9F"/>
    <w:rsid w:val="00AB1ED7"/>
    <w:rsid w:val="00AB20BA"/>
    <w:rsid w:val="00AB2262"/>
    <w:rsid w:val="00AB2B28"/>
    <w:rsid w:val="00AB3020"/>
    <w:rsid w:val="00AB422A"/>
    <w:rsid w:val="00AB454A"/>
    <w:rsid w:val="00AB4EB4"/>
    <w:rsid w:val="00AB57F6"/>
    <w:rsid w:val="00AB5958"/>
    <w:rsid w:val="00AB681F"/>
    <w:rsid w:val="00AB6CA6"/>
    <w:rsid w:val="00AB6E49"/>
    <w:rsid w:val="00AB771C"/>
    <w:rsid w:val="00AB7768"/>
    <w:rsid w:val="00AB790D"/>
    <w:rsid w:val="00AC1056"/>
    <w:rsid w:val="00AC16B0"/>
    <w:rsid w:val="00AC18D5"/>
    <w:rsid w:val="00AC1CBA"/>
    <w:rsid w:val="00AC2137"/>
    <w:rsid w:val="00AC2E74"/>
    <w:rsid w:val="00AC45FC"/>
    <w:rsid w:val="00AC4D8E"/>
    <w:rsid w:val="00AC54C7"/>
    <w:rsid w:val="00AC57B9"/>
    <w:rsid w:val="00AC61CE"/>
    <w:rsid w:val="00AC62AB"/>
    <w:rsid w:val="00AC6FD7"/>
    <w:rsid w:val="00AC766C"/>
    <w:rsid w:val="00AC7C0E"/>
    <w:rsid w:val="00AD0071"/>
    <w:rsid w:val="00AD0C69"/>
    <w:rsid w:val="00AD1E6E"/>
    <w:rsid w:val="00AD2B2B"/>
    <w:rsid w:val="00AD33E6"/>
    <w:rsid w:val="00AD3887"/>
    <w:rsid w:val="00AD3BCA"/>
    <w:rsid w:val="00AD44F6"/>
    <w:rsid w:val="00AD482E"/>
    <w:rsid w:val="00AD4A49"/>
    <w:rsid w:val="00AD6D16"/>
    <w:rsid w:val="00AD6EAB"/>
    <w:rsid w:val="00AD7003"/>
    <w:rsid w:val="00AD7117"/>
    <w:rsid w:val="00AD7190"/>
    <w:rsid w:val="00AD71FF"/>
    <w:rsid w:val="00AD7799"/>
    <w:rsid w:val="00AD7910"/>
    <w:rsid w:val="00AD7AFB"/>
    <w:rsid w:val="00AD7C5E"/>
    <w:rsid w:val="00AD7F3A"/>
    <w:rsid w:val="00AE0A93"/>
    <w:rsid w:val="00AE0B8E"/>
    <w:rsid w:val="00AE1042"/>
    <w:rsid w:val="00AE110F"/>
    <w:rsid w:val="00AE18E8"/>
    <w:rsid w:val="00AE1F6C"/>
    <w:rsid w:val="00AE2131"/>
    <w:rsid w:val="00AE2360"/>
    <w:rsid w:val="00AE2B9B"/>
    <w:rsid w:val="00AE3DB6"/>
    <w:rsid w:val="00AE3E87"/>
    <w:rsid w:val="00AE4867"/>
    <w:rsid w:val="00AE4902"/>
    <w:rsid w:val="00AE50C5"/>
    <w:rsid w:val="00AE5502"/>
    <w:rsid w:val="00AE5541"/>
    <w:rsid w:val="00AE59A0"/>
    <w:rsid w:val="00AE5FCB"/>
    <w:rsid w:val="00AE6099"/>
    <w:rsid w:val="00AE6A9B"/>
    <w:rsid w:val="00AE72DE"/>
    <w:rsid w:val="00AE7D24"/>
    <w:rsid w:val="00AE7F26"/>
    <w:rsid w:val="00AF0245"/>
    <w:rsid w:val="00AF0577"/>
    <w:rsid w:val="00AF199F"/>
    <w:rsid w:val="00AF1AED"/>
    <w:rsid w:val="00AF2FA4"/>
    <w:rsid w:val="00AF330D"/>
    <w:rsid w:val="00AF3B52"/>
    <w:rsid w:val="00AF3F1F"/>
    <w:rsid w:val="00AF4273"/>
    <w:rsid w:val="00AF4708"/>
    <w:rsid w:val="00AF540D"/>
    <w:rsid w:val="00AF55D5"/>
    <w:rsid w:val="00AF58D0"/>
    <w:rsid w:val="00AF6014"/>
    <w:rsid w:val="00AF647C"/>
    <w:rsid w:val="00AF6922"/>
    <w:rsid w:val="00AF6F0F"/>
    <w:rsid w:val="00AF7399"/>
    <w:rsid w:val="00AF7EF3"/>
    <w:rsid w:val="00B009A7"/>
    <w:rsid w:val="00B00B43"/>
    <w:rsid w:val="00B00F8E"/>
    <w:rsid w:val="00B01144"/>
    <w:rsid w:val="00B0176B"/>
    <w:rsid w:val="00B024DF"/>
    <w:rsid w:val="00B02EDA"/>
    <w:rsid w:val="00B03670"/>
    <w:rsid w:val="00B0379D"/>
    <w:rsid w:val="00B038ED"/>
    <w:rsid w:val="00B039C6"/>
    <w:rsid w:val="00B04347"/>
    <w:rsid w:val="00B04375"/>
    <w:rsid w:val="00B0555F"/>
    <w:rsid w:val="00B05AD6"/>
    <w:rsid w:val="00B068FA"/>
    <w:rsid w:val="00B06B67"/>
    <w:rsid w:val="00B07387"/>
    <w:rsid w:val="00B10F1C"/>
    <w:rsid w:val="00B11D8C"/>
    <w:rsid w:val="00B11F18"/>
    <w:rsid w:val="00B14708"/>
    <w:rsid w:val="00B14A38"/>
    <w:rsid w:val="00B15908"/>
    <w:rsid w:val="00B15AAB"/>
    <w:rsid w:val="00B166ED"/>
    <w:rsid w:val="00B169BF"/>
    <w:rsid w:val="00B16E21"/>
    <w:rsid w:val="00B1747F"/>
    <w:rsid w:val="00B17943"/>
    <w:rsid w:val="00B17E68"/>
    <w:rsid w:val="00B2024D"/>
    <w:rsid w:val="00B20B8B"/>
    <w:rsid w:val="00B21820"/>
    <w:rsid w:val="00B21866"/>
    <w:rsid w:val="00B21BBF"/>
    <w:rsid w:val="00B21BF2"/>
    <w:rsid w:val="00B2372F"/>
    <w:rsid w:val="00B24183"/>
    <w:rsid w:val="00B243DD"/>
    <w:rsid w:val="00B24A8D"/>
    <w:rsid w:val="00B2572E"/>
    <w:rsid w:val="00B2609C"/>
    <w:rsid w:val="00B26250"/>
    <w:rsid w:val="00B2656E"/>
    <w:rsid w:val="00B26A4A"/>
    <w:rsid w:val="00B26A60"/>
    <w:rsid w:val="00B2734D"/>
    <w:rsid w:val="00B3131B"/>
    <w:rsid w:val="00B31750"/>
    <w:rsid w:val="00B32482"/>
    <w:rsid w:val="00B32531"/>
    <w:rsid w:val="00B3324F"/>
    <w:rsid w:val="00B3328A"/>
    <w:rsid w:val="00B33A9E"/>
    <w:rsid w:val="00B33B79"/>
    <w:rsid w:val="00B33F7B"/>
    <w:rsid w:val="00B34487"/>
    <w:rsid w:val="00B34609"/>
    <w:rsid w:val="00B34D01"/>
    <w:rsid w:val="00B353F0"/>
    <w:rsid w:val="00B35B96"/>
    <w:rsid w:val="00B36707"/>
    <w:rsid w:val="00B371FD"/>
    <w:rsid w:val="00B42EA2"/>
    <w:rsid w:val="00B4321D"/>
    <w:rsid w:val="00B435E2"/>
    <w:rsid w:val="00B438B7"/>
    <w:rsid w:val="00B43A0F"/>
    <w:rsid w:val="00B43B4B"/>
    <w:rsid w:val="00B43CB1"/>
    <w:rsid w:val="00B44674"/>
    <w:rsid w:val="00B449BB"/>
    <w:rsid w:val="00B451B5"/>
    <w:rsid w:val="00B45287"/>
    <w:rsid w:val="00B4571A"/>
    <w:rsid w:val="00B45E0A"/>
    <w:rsid w:val="00B45F1F"/>
    <w:rsid w:val="00B463C0"/>
    <w:rsid w:val="00B46B45"/>
    <w:rsid w:val="00B475BE"/>
    <w:rsid w:val="00B47FBC"/>
    <w:rsid w:val="00B501E2"/>
    <w:rsid w:val="00B50985"/>
    <w:rsid w:val="00B50DD6"/>
    <w:rsid w:val="00B51413"/>
    <w:rsid w:val="00B518E1"/>
    <w:rsid w:val="00B51935"/>
    <w:rsid w:val="00B51CD2"/>
    <w:rsid w:val="00B5201F"/>
    <w:rsid w:val="00B531E8"/>
    <w:rsid w:val="00B54769"/>
    <w:rsid w:val="00B5498A"/>
    <w:rsid w:val="00B5505A"/>
    <w:rsid w:val="00B550A5"/>
    <w:rsid w:val="00B55424"/>
    <w:rsid w:val="00B5563A"/>
    <w:rsid w:val="00B55658"/>
    <w:rsid w:val="00B55A8C"/>
    <w:rsid w:val="00B55E4E"/>
    <w:rsid w:val="00B56047"/>
    <w:rsid w:val="00B5608E"/>
    <w:rsid w:val="00B560BF"/>
    <w:rsid w:val="00B560C9"/>
    <w:rsid w:val="00B56F91"/>
    <w:rsid w:val="00B572EF"/>
    <w:rsid w:val="00B6135B"/>
    <w:rsid w:val="00B61C77"/>
    <w:rsid w:val="00B61F3B"/>
    <w:rsid w:val="00B6266D"/>
    <w:rsid w:val="00B62AC1"/>
    <w:rsid w:val="00B635D1"/>
    <w:rsid w:val="00B63B38"/>
    <w:rsid w:val="00B63E30"/>
    <w:rsid w:val="00B64250"/>
    <w:rsid w:val="00B64B23"/>
    <w:rsid w:val="00B64B39"/>
    <w:rsid w:val="00B652BC"/>
    <w:rsid w:val="00B655EC"/>
    <w:rsid w:val="00B65952"/>
    <w:rsid w:val="00B66AFD"/>
    <w:rsid w:val="00B66FBD"/>
    <w:rsid w:val="00B67DDF"/>
    <w:rsid w:val="00B705C6"/>
    <w:rsid w:val="00B70859"/>
    <w:rsid w:val="00B716F4"/>
    <w:rsid w:val="00B71E8A"/>
    <w:rsid w:val="00B71F1D"/>
    <w:rsid w:val="00B72236"/>
    <w:rsid w:val="00B730D5"/>
    <w:rsid w:val="00B736CE"/>
    <w:rsid w:val="00B73C89"/>
    <w:rsid w:val="00B75029"/>
    <w:rsid w:val="00B755F3"/>
    <w:rsid w:val="00B757DC"/>
    <w:rsid w:val="00B75FD3"/>
    <w:rsid w:val="00B764F4"/>
    <w:rsid w:val="00B768F6"/>
    <w:rsid w:val="00B76A8A"/>
    <w:rsid w:val="00B76CFE"/>
    <w:rsid w:val="00B76D00"/>
    <w:rsid w:val="00B7705E"/>
    <w:rsid w:val="00B77476"/>
    <w:rsid w:val="00B77633"/>
    <w:rsid w:val="00B77636"/>
    <w:rsid w:val="00B779C8"/>
    <w:rsid w:val="00B80BBC"/>
    <w:rsid w:val="00B81434"/>
    <w:rsid w:val="00B81C6B"/>
    <w:rsid w:val="00B81E4D"/>
    <w:rsid w:val="00B828EB"/>
    <w:rsid w:val="00B82B14"/>
    <w:rsid w:val="00B82B62"/>
    <w:rsid w:val="00B82E38"/>
    <w:rsid w:val="00B83B8C"/>
    <w:rsid w:val="00B83F54"/>
    <w:rsid w:val="00B83FC1"/>
    <w:rsid w:val="00B84AF2"/>
    <w:rsid w:val="00B861CD"/>
    <w:rsid w:val="00B86527"/>
    <w:rsid w:val="00B86821"/>
    <w:rsid w:val="00B869DC"/>
    <w:rsid w:val="00B87CF0"/>
    <w:rsid w:val="00B91501"/>
    <w:rsid w:val="00B9183B"/>
    <w:rsid w:val="00B91E30"/>
    <w:rsid w:val="00B92ACB"/>
    <w:rsid w:val="00B92B2F"/>
    <w:rsid w:val="00B93087"/>
    <w:rsid w:val="00B934F5"/>
    <w:rsid w:val="00B93CDB"/>
    <w:rsid w:val="00B94739"/>
    <w:rsid w:val="00B95D30"/>
    <w:rsid w:val="00B9610F"/>
    <w:rsid w:val="00B964A9"/>
    <w:rsid w:val="00B9751A"/>
    <w:rsid w:val="00B97A63"/>
    <w:rsid w:val="00B97B85"/>
    <w:rsid w:val="00B97D62"/>
    <w:rsid w:val="00BA0166"/>
    <w:rsid w:val="00BA06B0"/>
    <w:rsid w:val="00BA0ACB"/>
    <w:rsid w:val="00BA125B"/>
    <w:rsid w:val="00BA13B3"/>
    <w:rsid w:val="00BA1557"/>
    <w:rsid w:val="00BA1EA3"/>
    <w:rsid w:val="00BA1F38"/>
    <w:rsid w:val="00BA2051"/>
    <w:rsid w:val="00BA3E31"/>
    <w:rsid w:val="00BA44FA"/>
    <w:rsid w:val="00BA45AA"/>
    <w:rsid w:val="00BA463E"/>
    <w:rsid w:val="00BA496B"/>
    <w:rsid w:val="00BA4B5C"/>
    <w:rsid w:val="00BA4B81"/>
    <w:rsid w:val="00BA534F"/>
    <w:rsid w:val="00BA5B5D"/>
    <w:rsid w:val="00BA5E79"/>
    <w:rsid w:val="00BA634D"/>
    <w:rsid w:val="00BA664F"/>
    <w:rsid w:val="00BA6BA7"/>
    <w:rsid w:val="00BA7561"/>
    <w:rsid w:val="00BB0380"/>
    <w:rsid w:val="00BB099B"/>
    <w:rsid w:val="00BB0C64"/>
    <w:rsid w:val="00BB0D44"/>
    <w:rsid w:val="00BB2084"/>
    <w:rsid w:val="00BB285D"/>
    <w:rsid w:val="00BB465A"/>
    <w:rsid w:val="00BB4F6C"/>
    <w:rsid w:val="00BB5DE7"/>
    <w:rsid w:val="00BB666B"/>
    <w:rsid w:val="00BB6CA7"/>
    <w:rsid w:val="00BB6E62"/>
    <w:rsid w:val="00BC06CE"/>
    <w:rsid w:val="00BC0CC8"/>
    <w:rsid w:val="00BC0E58"/>
    <w:rsid w:val="00BC18DF"/>
    <w:rsid w:val="00BC218C"/>
    <w:rsid w:val="00BC356C"/>
    <w:rsid w:val="00BC3615"/>
    <w:rsid w:val="00BC3680"/>
    <w:rsid w:val="00BC381A"/>
    <w:rsid w:val="00BC3928"/>
    <w:rsid w:val="00BC39AD"/>
    <w:rsid w:val="00BC3C3E"/>
    <w:rsid w:val="00BC47B2"/>
    <w:rsid w:val="00BC47B8"/>
    <w:rsid w:val="00BC48DE"/>
    <w:rsid w:val="00BC4C7C"/>
    <w:rsid w:val="00BC4E31"/>
    <w:rsid w:val="00BC503B"/>
    <w:rsid w:val="00BC6540"/>
    <w:rsid w:val="00BC6BFF"/>
    <w:rsid w:val="00BC7049"/>
    <w:rsid w:val="00BC759A"/>
    <w:rsid w:val="00BC7B86"/>
    <w:rsid w:val="00BC7C2D"/>
    <w:rsid w:val="00BC7C64"/>
    <w:rsid w:val="00BD0178"/>
    <w:rsid w:val="00BD020C"/>
    <w:rsid w:val="00BD0475"/>
    <w:rsid w:val="00BD0987"/>
    <w:rsid w:val="00BD09B2"/>
    <w:rsid w:val="00BD0E31"/>
    <w:rsid w:val="00BD136A"/>
    <w:rsid w:val="00BD1782"/>
    <w:rsid w:val="00BD241F"/>
    <w:rsid w:val="00BD2D50"/>
    <w:rsid w:val="00BD30A0"/>
    <w:rsid w:val="00BD417F"/>
    <w:rsid w:val="00BD4A82"/>
    <w:rsid w:val="00BD5621"/>
    <w:rsid w:val="00BD6587"/>
    <w:rsid w:val="00BD78DB"/>
    <w:rsid w:val="00BD7FD3"/>
    <w:rsid w:val="00BE07D9"/>
    <w:rsid w:val="00BE0A4A"/>
    <w:rsid w:val="00BE0EF4"/>
    <w:rsid w:val="00BE12EC"/>
    <w:rsid w:val="00BE1809"/>
    <w:rsid w:val="00BE19AA"/>
    <w:rsid w:val="00BE1AF6"/>
    <w:rsid w:val="00BE2357"/>
    <w:rsid w:val="00BE26FA"/>
    <w:rsid w:val="00BE2AFF"/>
    <w:rsid w:val="00BE2BF4"/>
    <w:rsid w:val="00BE2D08"/>
    <w:rsid w:val="00BE2F6B"/>
    <w:rsid w:val="00BE32C9"/>
    <w:rsid w:val="00BE3D38"/>
    <w:rsid w:val="00BE504B"/>
    <w:rsid w:val="00BE5AB4"/>
    <w:rsid w:val="00BE5B6C"/>
    <w:rsid w:val="00BE6130"/>
    <w:rsid w:val="00BE682D"/>
    <w:rsid w:val="00BE6875"/>
    <w:rsid w:val="00BE6AB2"/>
    <w:rsid w:val="00BE6D1B"/>
    <w:rsid w:val="00BE72FD"/>
    <w:rsid w:val="00BE7855"/>
    <w:rsid w:val="00BF02A5"/>
    <w:rsid w:val="00BF0ABB"/>
    <w:rsid w:val="00BF0FBB"/>
    <w:rsid w:val="00BF1522"/>
    <w:rsid w:val="00BF17EF"/>
    <w:rsid w:val="00BF1E3C"/>
    <w:rsid w:val="00BF22A0"/>
    <w:rsid w:val="00BF2393"/>
    <w:rsid w:val="00BF2957"/>
    <w:rsid w:val="00BF34FA"/>
    <w:rsid w:val="00BF45AF"/>
    <w:rsid w:val="00BF45E6"/>
    <w:rsid w:val="00BF4801"/>
    <w:rsid w:val="00BF4896"/>
    <w:rsid w:val="00BF58D8"/>
    <w:rsid w:val="00BF58E5"/>
    <w:rsid w:val="00BF5C12"/>
    <w:rsid w:val="00BF6175"/>
    <w:rsid w:val="00BF64A7"/>
    <w:rsid w:val="00BF6D36"/>
    <w:rsid w:val="00BF7154"/>
    <w:rsid w:val="00BF71C7"/>
    <w:rsid w:val="00BF7AB3"/>
    <w:rsid w:val="00BF7B82"/>
    <w:rsid w:val="00C00634"/>
    <w:rsid w:val="00C0063D"/>
    <w:rsid w:val="00C00DA1"/>
    <w:rsid w:val="00C01022"/>
    <w:rsid w:val="00C0133D"/>
    <w:rsid w:val="00C01681"/>
    <w:rsid w:val="00C0266F"/>
    <w:rsid w:val="00C026B7"/>
    <w:rsid w:val="00C02C6D"/>
    <w:rsid w:val="00C02FA1"/>
    <w:rsid w:val="00C03413"/>
    <w:rsid w:val="00C03E11"/>
    <w:rsid w:val="00C03EEE"/>
    <w:rsid w:val="00C04060"/>
    <w:rsid w:val="00C04203"/>
    <w:rsid w:val="00C04710"/>
    <w:rsid w:val="00C047F1"/>
    <w:rsid w:val="00C05533"/>
    <w:rsid w:val="00C0596F"/>
    <w:rsid w:val="00C05EC1"/>
    <w:rsid w:val="00C065C0"/>
    <w:rsid w:val="00C06AFE"/>
    <w:rsid w:val="00C079F4"/>
    <w:rsid w:val="00C07BDA"/>
    <w:rsid w:val="00C10345"/>
    <w:rsid w:val="00C10365"/>
    <w:rsid w:val="00C10632"/>
    <w:rsid w:val="00C10FDE"/>
    <w:rsid w:val="00C11424"/>
    <w:rsid w:val="00C11745"/>
    <w:rsid w:val="00C127FC"/>
    <w:rsid w:val="00C12873"/>
    <w:rsid w:val="00C12A36"/>
    <w:rsid w:val="00C1315A"/>
    <w:rsid w:val="00C13BD9"/>
    <w:rsid w:val="00C1460F"/>
    <w:rsid w:val="00C15039"/>
    <w:rsid w:val="00C1626D"/>
    <w:rsid w:val="00C163BF"/>
    <w:rsid w:val="00C1662B"/>
    <w:rsid w:val="00C17253"/>
    <w:rsid w:val="00C17CE4"/>
    <w:rsid w:val="00C20691"/>
    <w:rsid w:val="00C20A83"/>
    <w:rsid w:val="00C20E13"/>
    <w:rsid w:val="00C20F08"/>
    <w:rsid w:val="00C21708"/>
    <w:rsid w:val="00C21F33"/>
    <w:rsid w:val="00C22195"/>
    <w:rsid w:val="00C223FC"/>
    <w:rsid w:val="00C224FE"/>
    <w:rsid w:val="00C2263B"/>
    <w:rsid w:val="00C23688"/>
    <w:rsid w:val="00C23860"/>
    <w:rsid w:val="00C24273"/>
    <w:rsid w:val="00C243B9"/>
    <w:rsid w:val="00C244AC"/>
    <w:rsid w:val="00C24821"/>
    <w:rsid w:val="00C248E2"/>
    <w:rsid w:val="00C248E7"/>
    <w:rsid w:val="00C250CF"/>
    <w:rsid w:val="00C25156"/>
    <w:rsid w:val="00C253B9"/>
    <w:rsid w:val="00C255D4"/>
    <w:rsid w:val="00C25EDA"/>
    <w:rsid w:val="00C26718"/>
    <w:rsid w:val="00C27D24"/>
    <w:rsid w:val="00C30369"/>
    <w:rsid w:val="00C3093E"/>
    <w:rsid w:val="00C30E3A"/>
    <w:rsid w:val="00C31853"/>
    <w:rsid w:val="00C32B45"/>
    <w:rsid w:val="00C32BDF"/>
    <w:rsid w:val="00C3323F"/>
    <w:rsid w:val="00C33694"/>
    <w:rsid w:val="00C338D6"/>
    <w:rsid w:val="00C3399A"/>
    <w:rsid w:val="00C33A56"/>
    <w:rsid w:val="00C3462D"/>
    <w:rsid w:val="00C350D4"/>
    <w:rsid w:val="00C35C28"/>
    <w:rsid w:val="00C35C2C"/>
    <w:rsid w:val="00C35CFF"/>
    <w:rsid w:val="00C3604B"/>
    <w:rsid w:val="00C36856"/>
    <w:rsid w:val="00C36A3C"/>
    <w:rsid w:val="00C36B68"/>
    <w:rsid w:val="00C374CF"/>
    <w:rsid w:val="00C40115"/>
    <w:rsid w:val="00C4044F"/>
    <w:rsid w:val="00C404A7"/>
    <w:rsid w:val="00C40A51"/>
    <w:rsid w:val="00C411D8"/>
    <w:rsid w:val="00C42124"/>
    <w:rsid w:val="00C42129"/>
    <w:rsid w:val="00C4230C"/>
    <w:rsid w:val="00C428BE"/>
    <w:rsid w:val="00C42B3A"/>
    <w:rsid w:val="00C435DF"/>
    <w:rsid w:val="00C43882"/>
    <w:rsid w:val="00C446AE"/>
    <w:rsid w:val="00C44CE4"/>
    <w:rsid w:val="00C456C5"/>
    <w:rsid w:val="00C45A35"/>
    <w:rsid w:val="00C46198"/>
    <w:rsid w:val="00C46547"/>
    <w:rsid w:val="00C4678A"/>
    <w:rsid w:val="00C473D3"/>
    <w:rsid w:val="00C47A62"/>
    <w:rsid w:val="00C47B8B"/>
    <w:rsid w:val="00C47D81"/>
    <w:rsid w:val="00C50F4C"/>
    <w:rsid w:val="00C51C51"/>
    <w:rsid w:val="00C52A1D"/>
    <w:rsid w:val="00C53E44"/>
    <w:rsid w:val="00C55388"/>
    <w:rsid w:val="00C56184"/>
    <w:rsid w:val="00C5654C"/>
    <w:rsid w:val="00C57338"/>
    <w:rsid w:val="00C60687"/>
    <w:rsid w:val="00C6094A"/>
    <w:rsid w:val="00C64347"/>
    <w:rsid w:val="00C643E0"/>
    <w:rsid w:val="00C64F16"/>
    <w:rsid w:val="00C650A9"/>
    <w:rsid w:val="00C65A3E"/>
    <w:rsid w:val="00C65A7F"/>
    <w:rsid w:val="00C65E30"/>
    <w:rsid w:val="00C6652C"/>
    <w:rsid w:val="00C6690B"/>
    <w:rsid w:val="00C669BE"/>
    <w:rsid w:val="00C66ED2"/>
    <w:rsid w:val="00C67198"/>
    <w:rsid w:val="00C67374"/>
    <w:rsid w:val="00C676B9"/>
    <w:rsid w:val="00C6790E"/>
    <w:rsid w:val="00C67C84"/>
    <w:rsid w:val="00C7000F"/>
    <w:rsid w:val="00C707FA"/>
    <w:rsid w:val="00C70E61"/>
    <w:rsid w:val="00C71E8B"/>
    <w:rsid w:val="00C71E90"/>
    <w:rsid w:val="00C72184"/>
    <w:rsid w:val="00C72190"/>
    <w:rsid w:val="00C723F6"/>
    <w:rsid w:val="00C726ED"/>
    <w:rsid w:val="00C738C1"/>
    <w:rsid w:val="00C73EA2"/>
    <w:rsid w:val="00C73F17"/>
    <w:rsid w:val="00C74096"/>
    <w:rsid w:val="00C7426A"/>
    <w:rsid w:val="00C748ED"/>
    <w:rsid w:val="00C74A5A"/>
    <w:rsid w:val="00C74F4A"/>
    <w:rsid w:val="00C75507"/>
    <w:rsid w:val="00C7580D"/>
    <w:rsid w:val="00C759E2"/>
    <w:rsid w:val="00C769CB"/>
    <w:rsid w:val="00C77305"/>
    <w:rsid w:val="00C7763E"/>
    <w:rsid w:val="00C80A41"/>
    <w:rsid w:val="00C80C82"/>
    <w:rsid w:val="00C826D2"/>
    <w:rsid w:val="00C82EE8"/>
    <w:rsid w:val="00C8392D"/>
    <w:rsid w:val="00C83EE4"/>
    <w:rsid w:val="00C85870"/>
    <w:rsid w:val="00C86332"/>
    <w:rsid w:val="00C87350"/>
    <w:rsid w:val="00C87A8A"/>
    <w:rsid w:val="00C9070F"/>
    <w:rsid w:val="00C90931"/>
    <w:rsid w:val="00C91289"/>
    <w:rsid w:val="00C9155A"/>
    <w:rsid w:val="00C92909"/>
    <w:rsid w:val="00C92DA1"/>
    <w:rsid w:val="00C93425"/>
    <w:rsid w:val="00C93568"/>
    <w:rsid w:val="00C94528"/>
    <w:rsid w:val="00C94C17"/>
    <w:rsid w:val="00C9564A"/>
    <w:rsid w:val="00C965DD"/>
    <w:rsid w:val="00C96665"/>
    <w:rsid w:val="00C97495"/>
    <w:rsid w:val="00C97A61"/>
    <w:rsid w:val="00CA0C1D"/>
    <w:rsid w:val="00CA0D47"/>
    <w:rsid w:val="00CA22EF"/>
    <w:rsid w:val="00CA23D8"/>
    <w:rsid w:val="00CA2950"/>
    <w:rsid w:val="00CA2D89"/>
    <w:rsid w:val="00CA3ED7"/>
    <w:rsid w:val="00CA44F0"/>
    <w:rsid w:val="00CA4A6E"/>
    <w:rsid w:val="00CA4E42"/>
    <w:rsid w:val="00CA61B2"/>
    <w:rsid w:val="00CA6A3D"/>
    <w:rsid w:val="00CA75C8"/>
    <w:rsid w:val="00CA7652"/>
    <w:rsid w:val="00CA7907"/>
    <w:rsid w:val="00CA792F"/>
    <w:rsid w:val="00CA7AED"/>
    <w:rsid w:val="00CA7F8E"/>
    <w:rsid w:val="00CB0206"/>
    <w:rsid w:val="00CB03B4"/>
    <w:rsid w:val="00CB04C9"/>
    <w:rsid w:val="00CB0869"/>
    <w:rsid w:val="00CB0A1E"/>
    <w:rsid w:val="00CB0C8F"/>
    <w:rsid w:val="00CB0EFB"/>
    <w:rsid w:val="00CB11A3"/>
    <w:rsid w:val="00CB123F"/>
    <w:rsid w:val="00CB16A8"/>
    <w:rsid w:val="00CB2836"/>
    <w:rsid w:val="00CB2BAA"/>
    <w:rsid w:val="00CB4145"/>
    <w:rsid w:val="00CB4846"/>
    <w:rsid w:val="00CB5174"/>
    <w:rsid w:val="00CB52F2"/>
    <w:rsid w:val="00CB5407"/>
    <w:rsid w:val="00CB57D0"/>
    <w:rsid w:val="00CB5931"/>
    <w:rsid w:val="00CB6363"/>
    <w:rsid w:val="00CB63F1"/>
    <w:rsid w:val="00CB67C9"/>
    <w:rsid w:val="00CB67F4"/>
    <w:rsid w:val="00CB6CDF"/>
    <w:rsid w:val="00CB6EA7"/>
    <w:rsid w:val="00CB7481"/>
    <w:rsid w:val="00CB7B48"/>
    <w:rsid w:val="00CB7E2D"/>
    <w:rsid w:val="00CB7FCE"/>
    <w:rsid w:val="00CC00E8"/>
    <w:rsid w:val="00CC1276"/>
    <w:rsid w:val="00CC2ACD"/>
    <w:rsid w:val="00CC42B5"/>
    <w:rsid w:val="00CC4C4E"/>
    <w:rsid w:val="00CC5288"/>
    <w:rsid w:val="00CC5E6E"/>
    <w:rsid w:val="00CC628F"/>
    <w:rsid w:val="00CC6959"/>
    <w:rsid w:val="00CC6EE3"/>
    <w:rsid w:val="00CC703F"/>
    <w:rsid w:val="00CD103E"/>
    <w:rsid w:val="00CD1078"/>
    <w:rsid w:val="00CD156A"/>
    <w:rsid w:val="00CD2172"/>
    <w:rsid w:val="00CD2213"/>
    <w:rsid w:val="00CD2215"/>
    <w:rsid w:val="00CD238E"/>
    <w:rsid w:val="00CD261A"/>
    <w:rsid w:val="00CD2635"/>
    <w:rsid w:val="00CD2658"/>
    <w:rsid w:val="00CD2EDE"/>
    <w:rsid w:val="00CD30D7"/>
    <w:rsid w:val="00CD3E0B"/>
    <w:rsid w:val="00CD3E8E"/>
    <w:rsid w:val="00CD4098"/>
    <w:rsid w:val="00CD40ED"/>
    <w:rsid w:val="00CD413F"/>
    <w:rsid w:val="00CD415B"/>
    <w:rsid w:val="00CD42B5"/>
    <w:rsid w:val="00CD46A5"/>
    <w:rsid w:val="00CD50F3"/>
    <w:rsid w:val="00CD52CA"/>
    <w:rsid w:val="00CD58A1"/>
    <w:rsid w:val="00CD692D"/>
    <w:rsid w:val="00CD6ABD"/>
    <w:rsid w:val="00CD6BA2"/>
    <w:rsid w:val="00CD6C14"/>
    <w:rsid w:val="00CD732A"/>
    <w:rsid w:val="00CD7F0C"/>
    <w:rsid w:val="00CE1640"/>
    <w:rsid w:val="00CE1B71"/>
    <w:rsid w:val="00CE25D2"/>
    <w:rsid w:val="00CE31F9"/>
    <w:rsid w:val="00CE32A8"/>
    <w:rsid w:val="00CE33EA"/>
    <w:rsid w:val="00CE354A"/>
    <w:rsid w:val="00CE377C"/>
    <w:rsid w:val="00CE3A06"/>
    <w:rsid w:val="00CE3E9F"/>
    <w:rsid w:val="00CE4544"/>
    <w:rsid w:val="00CE4879"/>
    <w:rsid w:val="00CE5B54"/>
    <w:rsid w:val="00CE5D63"/>
    <w:rsid w:val="00CE64CF"/>
    <w:rsid w:val="00CE6935"/>
    <w:rsid w:val="00CE71DD"/>
    <w:rsid w:val="00CE72B3"/>
    <w:rsid w:val="00CE7A32"/>
    <w:rsid w:val="00CE7AE5"/>
    <w:rsid w:val="00CE7BD5"/>
    <w:rsid w:val="00CF0043"/>
    <w:rsid w:val="00CF1802"/>
    <w:rsid w:val="00CF1A73"/>
    <w:rsid w:val="00CF24C8"/>
    <w:rsid w:val="00CF29E5"/>
    <w:rsid w:val="00CF314C"/>
    <w:rsid w:val="00CF3FE4"/>
    <w:rsid w:val="00CF40D6"/>
    <w:rsid w:val="00CF493B"/>
    <w:rsid w:val="00CF51BF"/>
    <w:rsid w:val="00CF5A9E"/>
    <w:rsid w:val="00CF632B"/>
    <w:rsid w:val="00CF6631"/>
    <w:rsid w:val="00CF74B9"/>
    <w:rsid w:val="00CF79ED"/>
    <w:rsid w:val="00CF7D96"/>
    <w:rsid w:val="00D001A5"/>
    <w:rsid w:val="00D0034A"/>
    <w:rsid w:val="00D00AC1"/>
    <w:rsid w:val="00D01010"/>
    <w:rsid w:val="00D01541"/>
    <w:rsid w:val="00D02B76"/>
    <w:rsid w:val="00D02F7F"/>
    <w:rsid w:val="00D03BD4"/>
    <w:rsid w:val="00D03C85"/>
    <w:rsid w:val="00D03C95"/>
    <w:rsid w:val="00D062E7"/>
    <w:rsid w:val="00D06D85"/>
    <w:rsid w:val="00D076A7"/>
    <w:rsid w:val="00D0795D"/>
    <w:rsid w:val="00D07AFE"/>
    <w:rsid w:val="00D10469"/>
    <w:rsid w:val="00D104AB"/>
    <w:rsid w:val="00D11C5D"/>
    <w:rsid w:val="00D11CD4"/>
    <w:rsid w:val="00D11F41"/>
    <w:rsid w:val="00D12D21"/>
    <w:rsid w:val="00D13428"/>
    <w:rsid w:val="00D136BF"/>
    <w:rsid w:val="00D13E33"/>
    <w:rsid w:val="00D14679"/>
    <w:rsid w:val="00D14857"/>
    <w:rsid w:val="00D14A71"/>
    <w:rsid w:val="00D14A72"/>
    <w:rsid w:val="00D14F3E"/>
    <w:rsid w:val="00D14F6D"/>
    <w:rsid w:val="00D15324"/>
    <w:rsid w:val="00D15B43"/>
    <w:rsid w:val="00D162E2"/>
    <w:rsid w:val="00D165FA"/>
    <w:rsid w:val="00D16BDF"/>
    <w:rsid w:val="00D17318"/>
    <w:rsid w:val="00D2006E"/>
    <w:rsid w:val="00D20150"/>
    <w:rsid w:val="00D2058B"/>
    <w:rsid w:val="00D2068D"/>
    <w:rsid w:val="00D2078B"/>
    <w:rsid w:val="00D2088E"/>
    <w:rsid w:val="00D20BFF"/>
    <w:rsid w:val="00D20C0A"/>
    <w:rsid w:val="00D20CCF"/>
    <w:rsid w:val="00D20EFE"/>
    <w:rsid w:val="00D21039"/>
    <w:rsid w:val="00D2131C"/>
    <w:rsid w:val="00D217F8"/>
    <w:rsid w:val="00D21F9B"/>
    <w:rsid w:val="00D2238E"/>
    <w:rsid w:val="00D22440"/>
    <w:rsid w:val="00D2269E"/>
    <w:rsid w:val="00D229CE"/>
    <w:rsid w:val="00D2397C"/>
    <w:rsid w:val="00D264A7"/>
    <w:rsid w:val="00D269E1"/>
    <w:rsid w:val="00D26D0B"/>
    <w:rsid w:val="00D270A0"/>
    <w:rsid w:val="00D2731F"/>
    <w:rsid w:val="00D30387"/>
    <w:rsid w:val="00D30DA1"/>
    <w:rsid w:val="00D3244A"/>
    <w:rsid w:val="00D32A88"/>
    <w:rsid w:val="00D340B1"/>
    <w:rsid w:val="00D34748"/>
    <w:rsid w:val="00D34760"/>
    <w:rsid w:val="00D34E34"/>
    <w:rsid w:val="00D34E5A"/>
    <w:rsid w:val="00D34FC9"/>
    <w:rsid w:val="00D35A89"/>
    <w:rsid w:val="00D35B02"/>
    <w:rsid w:val="00D35CEC"/>
    <w:rsid w:val="00D363E3"/>
    <w:rsid w:val="00D3648C"/>
    <w:rsid w:val="00D37205"/>
    <w:rsid w:val="00D377BD"/>
    <w:rsid w:val="00D40152"/>
    <w:rsid w:val="00D402FF"/>
    <w:rsid w:val="00D40678"/>
    <w:rsid w:val="00D40819"/>
    <w:rsid w:val="00D40B08"/>
    <w:rsid w:val="00D40D3D"/>
    <w:rsid w:val="00D42801"/>
    <w:rsid w:val="00D4294E"/>
    <w:rsid w:val="00D42D58"/>
    <w:rsid w:val="00D43828"/>
    <w:rsid w:val="00D456E3"/>
    <w:rsid w:val="00D4572E"/>
    <w:rsid w:val="00D45EC3"/>
    <w:rsid w:val="00D46134"/>
    <w:rsid w:val="00D462D6"/>
    <w:rsid w:val="00D46BC4"/>
    <w:rsid w:val="00D46CE0"/>
    <w:rsid w:val="00D46E2B"/>
    <w:rsid w:val="00D50226"/>
    <w:rsid w:val="00D509D2"/>
    <w:rsid w:val="00D50B76"/>
    <w:rsid w:val="00D50CFC"/>
    <w:rsid w:val="00D50FD0"/>
    <w:rsid w:val="00D51ADD"/>
    <w:rsid w:val="00D51F8C"/>
    <w:rsid w:val="00D52540"/>
    <w:rsid w:val="00D525CB"/>
    <w:rsid w:val="00D52866"/>
    <w:rsid w:val="00D52958"/>
    <w:rsid w:val="00D52F4A"/>
    <w:rsid w:val="00D53420"/>
    <w:rsid w:val="00D53927"/>
    <w:rsid w:val="00D53D3C"/>
    <w:rsid w:val="00D546D7"/>
    <w:rsid w:val="00D5477B"/>
    <w:rsid w:val="00D54D0F"/>
    <w:rsid w:val="00D54DF4"/>
    <w:rsid w:val="00D55500"/>
    <w:rsid w:val="00D5555C"/>
    <w:rsid w:val="00D55BE6"/>
    <w:rsid w:val="00D57AA8"/>
    <w:rsid w:val="00D57B32"/>
    <w:rsid w:val="00D61034"/>
    <w:rsid w:val="00D619FF"/>
    <w:rsid w:val="00D6222A"/>
    <w:rsid w:val="00D62719"/>
    <w:rsid w:val="00D62761"/>
    <w:rsid w:val="00D62E59"/>
    <w:rsid w:val="00D62EF8"/>
    <w:rsid w:val="00D6358F"/>
    <w:rsid w:val="00D63E4D"/>
    <w:rsid w:val="00D64980"/>
    <w:rsid w:val="00D64BA7"/>
    <w:rsid w:val="00D65072"/>
    <w:rsid w:val="00D6536A"/>
    <w:rsid w:val="00D657B0"/>
    <w:rsid w:val="00D66097"/>
    <w:rsid w:val="00D6723A"/>
    <w:rsid w:val="00D674A8"/>
    <w:rsid w:val="00D67824"/>
    <w:rsid w:val="00D70CEE"/>
    <w:rsid w:val="00D710B9"/>
    <w:rsid w:val="00D71E9E"/>
    <w:rsid w:val="00D720F6"/>
    <w:rsid w:val="00D72933"/>
    <w:rsid w:val="00D72FE8"/>
    <w:rsid w:val="00D731BD"/>
    <w:rsid w:val="00D73471"/>
    <w:rsid w:val="00D7350F"/>
    <w:rsid w:val="00D73C33"/>
    <w:rsid w:val="00D73C4E"/>
    <w:rsid w:val="00D744B3"/>
    <w:rsid w:val="00D747CE"/>
    <w:rsid w:val="00D751D1"/>
    <w:rsid w:val="00D759B1"/>
    <w:rsid w:val="00D75AED"/>
    <w:rsid w:val="00D76458"/>
    <w:rsid w:val="00D76F13"/>
    <w:rsid w:val="00D77037"/>
    <w:rsid w:val="00D771AC"/>
    <w:rsid w:val="00D77F5F"/>
    <w:rsid w:val="00D8007D"/>
    <w:rsid w:val="00D800ED"/>
    <w:rsid w:val="00D805EF"/>
    <w:rsid w:val="00D830B5"/>
    <w:rsid w:val="00D8384D"/>
    <w:rsid w:val="00D83C9F"/>
    <w:rsid w:val="00D8415A"/>
    <w:rsid w:val="00D84194"/>
    <w:rsid w:val="00D84532"/>
    <w:rsid w:val="00D8457F"/>
    <w:rsid w:val="00D84F79"/>
    <w:rsid w:val="00D8692D"/>
    <w:rsid w:val="00D86C1B"/>
    <w:rsid w:val="00D87055"/>
    <w:rsid w:val="00D87447"/>
    <w:rsid w:val="00D876ED"/>
    <w:rsid w:val="00D90076"/>
    <w:rsid w:val="00D9042A"/>
    <w:rsid w:val="00D9055E"/>
    <w:rsid w:val="00D905AD"/>
    <w:rsid w:val="00D909A3"/>
    <w:rsid w:val="00D909ED"/>
    <w:rsid w:val="00D90ED2"/>
    <w:rsid w:val="00D911DC"/>
    <w:rsid w:val="00D9193E"/>
    <w:rsid w:val="00D91957"/>
    <w:rsid w:val="00D9350C"/>
    <w:rsid w:val="00D939DD"/>
    <w:rsid w:val="00D93A40"/>
    <w:rsid w:val="00D93A4D"/>
    <w:rsid w:val="00D93B25"/>
    <w:rsid w:val="00D941E6"/>
    <w:rsid w:val="00D943E2"/>
    <w:rsid w:val="00D9452C"/>
    <w:rsid w:val="00D94660"/>
    <w:rsid w:val="00D96681"/>
    <w:rsid w:val="00D96921"/>
    <w:rsid w:val="00D96C24"/>
    <w:rsid w:val="00D97736"/>
    <w:rsid w:val="00DA05DC"/>
    <w:rsid w:val="00DA0B77"/>
    <w:rsid w:val="00DA0DB0"/>
    <w:rsid w:val="00DA11C4"/>
    <w:rsid w:val="00DA193A"/>
    <w:rsid w:val="00DA3578"/>
    <w:rsid w:val="00DA365A"/>
    <w:rsid w:val="00DA384A"/>
    <w:rsid w:val="00DA4630"/>
    <w:rsid w:val="00DA514B"/>
    <w:rsid w:val="00DA6068"/>
    <w:rsid w:val="00DA6E0E"/>
    <w:rsid w:val="00DA746F"/>
    <w:rsid w:val="00DA74AE"/>
    <w:rsid w:val="00DA7CD7"/>
    <w:rsid w:val="00DB1F27"/>
    <w:rsid w:val="00DB23FB"/>
    <w:rsid w:val="00DB2699"/>
    <w:rsid w:val="00DB2CEA"/>
    <w:rsid w:val="00DB3023"/>
    <w:rsid w:val="00DB30BE"/>
    <w:rsid w:val="00DB36F4"/>
    <w:rsid w:val="00DB3B4B"/>
    <w:rsid w:val="00DB3D3C"/>
    <w:rsid w:val="00DB4394"/>
    <w:rsid w:val="00DB4D54"/>
    <w:rsid w:val="00DB4F07"/>
    <w:rsid w:val="00DB526C"/>
    <w:rsid w:val="00DB53FC"/>
    <w:rsid w:val="00DB5FBB"/>
    <w:rsid w:val="00DB667B"/>
    <w:rsid w:val="00DB726D"/>
    <w:rsid w:val="00DB729C"/>
    <w:rsid w:val="00DB74DB"/>
    <w:rsid w:val="00DC0487"/>
    <w:rsid w:val="00DC2730"/>
    <w:rsid w:val="00DC2B4A"/>
    <w:rsid w:val="00DC2F2C"/>
    <w:rsid w:val="00DC3829"/>
    <w:rsid w:val="00DC3A2C"/>
    <w:rsid w:val="00DC4769"/>
    <w:rsid w:val="00DC5693"/>
    <w:rsid w:val="00DC5CAF"/>
    <w:rsid w:val="00DC6231"/>
    <w:rsid w:val="00DC6591"/>
    <w:rsid w:val="00DC6BFF"/>
    <w:rsid w:val="00DC7D4D"/>
    <w:rsid w:val="00DD0772"/>
    <w:rsid w:val="00DD12BA"/>
    <w:rsid w:val="00DD1723"/>
    <w:rsid w:val="00DD19EF"/>
    <w:rsid w:val="00DD1A84"/>
    <w:rsid w:val="00DD1ACB"/>
    <w:rsid w:val="00DD1EAC"/>
    <w:rsid w:val="00DD22CF"/>
    <w:rsid w:val="00DD346B"/>
    <w:rsid w:val="00DD3C9E"/>
    <w:rsid w:val="00DD3CF8"/>
    <w:rsid w:val="00DD3F6B"/>
    <w:rsid w:val="00DD5A53"/>
    <w:rsid w:val="00DD5DE5"/>
    <w:rsid w:val="00DD6453"/>
    <w:rsid w:val="00DD6C2F"/>
    <w:rsid w:val="00DD71A8"/>
    <w:rsid w:val="00DD7836"/>
    <w:rsid w:val="00DD7AD4"/>
    <w:rsid w:val="00DD7F8E"/>
    <w:rsid w:val="00DE00B9"/>
    <w:rsid w:val="00DE0A86"/>
    <w:rsid w:val="00DE0C69"/>
    <w:rsid w:val="00DE1C26"/>
    <w:rsid w:val="00DE1D91"/>
    <w:rsid w:val="00DE1F3B"/>
    <w:rsid w:val="00DE240E"/>
    <w:rsid w:val="00DE2563"/>
    <w:rsid w:val="00DE2662"/>
    <w:rsid w:val="00DE2718"/>
    <w:rsid w:val="00DE27BC"/>
    <w:rsid w:val="00DE2C2D"/>
    <w:rsid w:val="00DE2CAD"/>
    <w:rsid w:val="00DE3751"/>
    <w:rsid w:val="00DE3A08"/>
    <w:rsid w:val="00DE4385"/>
    <w:rsid w:val="00DE4A88"/>
    <w:rsid w:val="00DE50B4"/>
    <w:rsid w:val="00DE533B"/>
    <w:rsid w:val="00DE60F3"/>
    <w:rsid w:val="00DE62C2"/>
    <w:rsid w:val="00DE6CF9"/>
    <w:rsid w:val="00DE7D02"/>
    <w:rsid w:val="00DE7FE9"/>
    <w:rsid w:val="00DF0725"/>
    <w:rsid w:val="00DF0FAB"/>
    <w:rsid w:val="00DF1626"/>
    <w:rsid w:val="00DF1D40"/>
    <w:rsid w:val="00DF425A"/>
    <w:rsid w:val="00DF4516"/>
    <w:rsid w:val="00DF55F0"/>
    <w:rsid w:val="00DF5991"/>
    <w:rsid w:val="00DF5A3B"/>
    <w:rsid w:val="00DF5B69"/>
    <w:rsid w:val="00DF5DE4"/>
    <w:rsid w:val="00DF5F07"/>
    <w:rsid w:val="00DF69D3"/>
    <w:rsid w:val="00DF6FBA"/>
    <w:rsid w:val="00DF727D"/>
    <w:rsid w:val="00DF79C4"/>
    <w:rsid w:val="00E00892"/>
    <w:rsid w:val="00E01A13"/>
    <w:rsid w:val="00E01AB6"/>
    <w:rsid w:val="00E01B87"/>
    <w:rsid w:val="00E01BA4"/>
    <w:rsid w:val="00E02019"/>
    <w:rsid w:val="00E0288A"/>
    <w:rsid w:val="00E02B72"/>
    <w:rsid w:val="00E0317F"/>
    <w:rsid w:val="00E03681"/>
    <w:rsid w:val="00E03BA5"/>
    <w:rsid w:val="00E03C2E"/>
    <w:rsid w:val="00E03CF8"/>
    <w:rsid w:val="00E03F45"/>
    <w:rsid w:val="00E040FD"/>
    <w:rsid w:val="00E04760"/>
    <w:rsid w:val="00E04AFF"/>
    <w:rsid w:val="00E04E52"/>
    <w:rsid w:val="00E05197"/>
    <w:rsid w:val="00E0522B"/>
    <w:rsid w:val="00E05CCF"/>
    <w:rsid w:val="00E05D25"/>
    <w:rsid w:val="00E05DD8"/>
    <w:rsid w:val="00E063E6"/>
    <w:rsid w:val="00E06C64"/>
    <w:rsid w:val="00E06DA0"/>
    <w:rsid w:val="00E07473"/>
    <w:rsid w:val="00E079B8"/>
    <w:rsid w:val="00E07C4E"/>
    <w:rsid w:val="00E10688"/>
    <w:rsid w:val="00E10B24"/>
    <w:rsid w:val="00E10F1C"/>
    <w:rsid w:val="00E11221"/>
    <w:rsid w:val="00E113AF"/>
    <w:rsid w:val="00E115BF"/>
    <w:rsid w:val="00E11FB8"/>
    <w:rsid w:val="00E121A2"/>
    <w:rsid w:val="00E122F7"/>
    <w:rsid w:val="00E12DD4"/>
    <w:rsid w:val="00E130BA"/>
    <w:rsid w:val="00E135E6"/>
    <w:rsid w:val="00E1423C"/>
    <w:rsid w:val="00E14320"/>
    <w:rsid w:val="00E146BC"/>
    <w:rsid w:val="00E1470A"/>
    <w:rsid w:val="00E1476A"/>
    <w:rsid w:val="00E14B51"/>
    <w:rsid w:val="00E14FF8"/>
    <w:rsid w:val="00E15801"/>
    <w:rsid w:val="00E15E37"/>
    <w:rsid w:val="00E15EBD"/>
    <w:rsid w:val="00E16043"/>
    <w:rsid w:val="00E16A72"/>
    <w:rsid w:val="00E16B0D"/>
    <w:rsid w:val="00E16FDB"/>
    <w:rsid w:val="00E173E9"/>
    <w:rsid w:val="00E17499"/>
    <w:rsid w:val="00E17602"/>
    <w:rsid w:val="00E17F47"/>
    <w:rsid w:val="00E20194"/>
    <w:rsid w:val="00E201B9"/>
    <w:rsid w:val="00E21265"/>
    <w:rsid w:val="00E21B09"/>
    <w:rsid w:val="00E2256E"/>
    <w:rsid w:val="00E22FC5"/>
    <w:rsid w:val="00E24FC8"/>
    <w:rsid w:val="00E25248"/>
    <w:rsid w:val="00E2532E"/>
    <w:rsid w:val="00E25330"/>
    <w:rsid w:val="00E2592D"/>
    <w:rsid w:val="00E25E27"/>
    <w:rsid w:val="00E26164"/>
    <w:rsid w:val="00E26283"/>
    <w:rsid w:val="00E26319"/>
    <w:rsid w:val="00E268F6"/>
    <w:rsid w:val="00E300A5"/>
    <w:rsid w:val="00E315DE"/>
    <w:rsid w:val="00E319C5"/>
    <w:rsid w:val="00E31E26"/>
    <w:rsid w:val="00E3289C"/>
    <w:rsid w:val="00E32EB2"/>
    <w:rsid w:val="00E331B9"/>
    <w:rsid w:val="00E340A0"/>
    <w:rsid w:val="00E34214"/>
    <w:rsid w:val="00E34B69"/>
    <w:rsid w:val="00E36087"/>
    <w:rsid w:val="00E36D00"/>
    <w:rsid w:val="00E37B61"/>
    <w:rsid w:val="00E37C99"/>
    <w:rsid w:val="00E37D32"/>
    <w:rsid w:val="00E37FF5"/>
    <w:rsid w:val="00E4004F"/>
    <w:rsid w:val="00E401BC"/>
    <w:rsid w:val="00E405FE"/>
    <w:rsid w:val="00E40651"/>
    <w:rsid w:val="00E40870"/>
    <w:rsid w:val="00E42DFA"/>
    <w:rsid w:val="00E42E29"/>
    <w:rsid w:val="00E430BC"/>
    <w:rsid w:val="00E4320F"/>
    <w:rsid w:val="00E435E7"/>
    <w:rsid w:val="00E440E6"/>
    <w:rsid w:val="00E44317"/>
    <w:rsid w:val="00E44865"/>
    <w:rsid w:val="00E4654B"/>
    <w:rsid w:val="00E46864"/>
    <w:rsid w:val="00E479B0"/>
    <w:rsid w:val="00E479D0"/>
    <w:rsid w:val="00E47A0C"/>
    <w:rsid w:val="00E47BC1"/>
    <w:rsid w:val="00E50650"/>
    <w:rsid w:val="00E50B05"/>
    <w:rsid w:val="00E50E33"/>
    <w:rsid w:val="00E51627"/>
    <w:rsid w:val="00E51A45"/>
    <w:rsid w:val="00E53017"/>
    <w:rsid w:val="00E5333F"/>
    <w:rsid w:val="00E539F2"/>
    <w:rsid w:val="00E53C2C"/>
    <w:rsid w:val="00E54201"/>
    <w:rsid w:val="00E5435F"/>
    <w:rsid w:val="00E54880"/>
    <w:rsid w:val="00E549A9"/>
    <w:rsid w:val="00E54C62"/>
    <w:rsid w:val="00E55383"/>
    <w:rsid w:val="00E55549"/>
    <w:rsid w:val="00E55676"/>
    <w:rsid w:val="00E55AE3"/>
    <w:rsid w:val="00E5611F"/>
    <w:rsid w:val="00E56F9C"/>
    <w:rsid w:val="00E57368"/>
    <w:rsid w:val="00E575B4"/>
    <w:rsid w:val="00E57C57"/>
    <w:rsid w:val="00E60CA7"/>
    <w:rsid w:val="00E60D68"/>
    <w:rsid w:val="00E623D9"/>
    <w:rsid w:val="00E62596"/>
    <w:rsid w:val="00E62F57"/>
    <w:rsid w:val="00E6367C"/>
    <w:rsid w:val="00E6408C"/>
    <w:rsid w:val="00E641DE"/>
    <w:rsid w:val="00E645DE"/>
    <w:rsid w:val="00E65E07"/>
    <w:rsid w:val="00E65EFC"/>
    <w:rsid w:val="00E6609B"/>
    <w:rsid w:val="00E66931"/>
    <w:rsid w:val="00E66C0A"/>
    <w:rsid w:val="00E66D11"/>
    <w:rsid w:val="00E66FB8"/>
    <w:rsid w:val="00E67BA2"/>
    <w:rsid w:val="00E70899"/>
    <w:rsid w:val="00E70BC8"/>
    <w:rsid w:val="00E70C85"/>
    <w:rsid w:val="00E70D40"/>
    <w:rsid w:val="00E7119E"/>
    <w:rsid w:val="00E718E2"/>
    <w:rsid w:val="00E71B36"/>
    <w:rsid w:val="00E71DC3"/>
    <w:rsid w:val="00E721A5"/>
    <w:rsid w:val="00E72722"/>
    <w:rsid w:val="00E72A4C"/>
    <w:rsid w:val="00E731A4"/>
    <w:rsid w:val="00E734C8"/>
    <w:rsid w:val="00E7362C"/>
    <w:rsid w:val="00E73B87"/>
    <w:rsid w:val="00E75406"/>
    <w:rsid w:val="00E76467"/>
    <w:rsid w:val="00E7788C"/>
    <w:rsid w:val="00E8097D"/>
    <w:rsid w:val="00E8105E"/>
    <w:rsid w:val="00E811B4"/>
    <w:rsid w:val="00E8175B"/>
    <w:rsid w:val="00E81D3B"/>
    <w:rsid w:val="00E81FEE"/>
    <w:rsid w:val="00E82120"/>
    <w:rsid w:val="00E822DD"/>
    <w:rsid w:val="00E82336"/>
    <w:rsid w:val="00E825B1"/>
    <w:rsid w:val="00E82DA6"/>
    <w:rsid w:val="00E83174"/>
    <w:rsid w:val="00E83271"/>
    <w:rsid w:val="00E83D73"/>
    <w:rsid w:val="00E84802"/>
    <w:rsid w:val="00E8492F"/>
    <w:rsid w:val="00E85146"/>
    <w:rsid w:val="00E858C2"/>
    <w:rsid w:val="00E85B88"/>
    <w:rsid w:val="00E85D1D"/>
    <w:rsid w:val="00E864A5"/>
    <w:rsid w:val="00E86A97"/>
    <w:rsid w:val="00E9020C"/>
    <w:rsid w:val="00E90E59"/>
    <w:rsid w:val="00E9167F"/>
    <w:rsid w:val="00E92462"/>
    <w:rsid w:val="00E92F25"/>
    <w:rsid w:val="00E9397B"/>
    <w:rsid w:val="00E93D15"/>
    <w:rsid w:val="00E9400F"/>
    <w:rsid w:val="00E9546B"/>
    <w:rsid w:val="00EA068C"/>
    <w:rsid w:val="00EA07F0"/>
    <w:rsid w:val="00EA0C9E"/>
    <w:rsid w:val="00EA12AC"/>
    <w:rsid w:val="00EA12EA"/>
    <w:rsid w:val="00EA2586"/>
    <w:rsid w:val="00EA2AC8"/>
    <w:rsid w:val="00EA45B7"/>
    <w:rsid w:val="00EA5604"/>
    <w:rsid w:val="00EA5F6F"/>
    <w:rsid w:val="00EA6508"/>
    <w:rsid w:val="00EA6D35"/>
    <w:rsid w:val="00EA71EF"/>
    <w:rsid w:val="00EA7B67"/>
    <w:rsid w:val="00EA7C9A"/>
    <w:rsid w:val="00EB0183"/>
    <w:rsid w:val="00EB0D38"/>
    <w:rsid w:val="00EB0DD0"/>
    <w:rsid w:val="00EB176D"/>
    <w:rsid w:val="00EB2E17"/>
    <w:rsid w:val="00EB53A4"/>
    <w:rsid w:val="00EB5971"/>
    <w:rsid w:val="00EB5DA8"/>
    <w:rsid w:val="00EB7125"/>
    <w:rsid w:val="00EB7234"/>
    <w:rsid w:val="00EB772F"/>
    <w:rsid w:val="00EB7DF5"/>
    <w:rsid w:val="00EC0A70"/>
    <w:rsid w:val="00EC112F"/>
    <w:rsid w:val="00EC1A41"/>
    <w:rsid w:val="00EC1BED"/>
    <w:rsid w:val="00EC2278"/>
    <w:rsid w:val="00EC2378"/>
    <w:rsid w:val="00EC2BA3"/>
    <w:rsid w:val="00EC4316"/>
    <w:rsid w:val="00EC4736"/>
    <w:rsid w:val="00EC5DE5"/>
    <w:rsid w:val="00EC60E1"/>
    <w:rsid w:val="00EC62B5"/>
    <w:rsid w:val="00EC6BA5"/>
    <w:rsid w:val="00EC6FB5"/>
    <w:rsid w:val="00EC7778"/>
    <w:rsid w:val="00EC7E60"/>
    <w:rsid w:val="00ED1226"/>
    <w:rsid w:val="00ED1504"/>
    <w:rsid w:val="00ED1E91"/>
    <w:rsid w:val="00ED1FF9"/>
    <w:rsid w:val="00ED2087"/>
    <w:rsid w:val="00ED3278"/>
    <w:rsid w:val="00ED467D"/>
    <w:rsid w:val="00ED49A4"/>
    <w:rsid w:val="00ED4A3A"/>
    <w:rsid w:val="00ED4D4E"/>
    <w:rsid w:val="00ED4F11"/>
    <w:rsid w:val="00ED524F"/>
    <w:rsid w:val="00ED5B6A"/>
    <w:rsid w:val="00ED5F24"/>
    <w:rsid w:val="00ED5F58"/>
    <w:rsid w:val="00ED6259"/>
    <w:rsid w:val="00ED7308"/>
    <w:rsid w:val="00ED7462"/>
    <w:rsid w:val="00ED77B5"/>
    <w:rsid w:val="00ED791D"/>
    <w:rsid w:val="00ED7E03"/>
    <w:rsid w:val="00ED7E66"/>
    <w:rsid w:val="00EE0105"/>
    <w:rsid w:val="00EE0E53"/>
    <w:rsid w:val="00EE13D1"/>
    <w:rsid w:val="00EE1F88"/>
    <w:rsid w:val="00EE324F"/>
    <w:rsid w:val="00EE3F10"/>
    <w:rsid w:val="00EE403E"/>
    <w:rsid w:val="00EE483E"/>
    <w:rsid w:val="00EE48C4"/>
    <w:rsid w:val="00EE53DB"/>
    <w:rsid w:val="00EE5BDA"/>
    <w:rsid w:val="00EE6826"/>
    <w:rsid w:val="00EE7688"/>
    <w:rsid w:val="00EF000A"/>
    <w:rsid w:val="00EF0146"/>
    <w:rsid w:val="00EF1A54"/>
    <w:rsid w:val="00EF1FEB"/>
    <w:rsid w:val="00EF2854"/>
    <w:rsid w:val="00EF3495"/>
    <w:rsid w:val="00EF3715"/>
    <w:rsid w:val="00EF3999"/>
    <w:rsid w:val="00EF39FA"/>
    <w:rsid w:val="00EF3AB5"/>
    <w:rsid w:val="00EF4697"/>
    <w:rsid w:val="00EF54C4"/>
    <w:rsid w:val="00EF5E9D"/>
    <w:rsid w:val="00EF6D55"/>
    <w:rsid w:val="00EF72CC"/>
    <w:rsid w:val="00F0001B"/>
    <w:rsid w:val="00F0037E"/>
    <w:rsid w:val="00F004CB"/>
    <w:rsid w:val="00F014DB"/>
    <w:rsid w:val="00F0176C"/>
    <w:rsid w:val="00F01E10"/>
    <w:rsid w:val="00F01F21"/>
    <w:rsid w:val="00F02DB5"/>
    <w:rsid w:val="00F03166"/>
    <w:rsid w:val="00F03C5C"/>
    <w:rsid w:val="00F03D24"/>
    <w:rsid w:val="00F042C9"/>
    <w:rsid w:val="00F04313"/>
    <w:rsid w:val="00F04AEB"/>
    <w:rsid w:val="00F05235"/>
    <w:rsid w:val="00F0559A"/>
    <w:rsid w:val="00F056FF"/>
    <w:rsid w:val="00F066BD"/>
    <w:rsid w:val="00F06743"/>
    <w:rsid w:val="00F06940"/>
    <w:rsid w:val="00F07268"/>
    <w:rsid w:val="00F100B6"/>
    <w:rsid w:val="00F10832"/>
    <w:rsid w:val="00F113F0"/>
    <w:rsid w:val="00F117EF"/>
    <w:rsid w:val="00F11CA4"/>
    <w:rsid w:val="00F12033"/>
    <w:rsid w:val="00F131CF"/>
    <w:rsid w:val="00F136A0"/>
    <w:rsid w:val="00F14614"/>
    <w:rsid w:val="00F1463B"/>
    <w:rsid w:val="00F14D82"/>
    <w:rsid w:val="00F14F0C"/>
    <w:rsid w:val="00F153D0"/>
    <w:rsid w:val="00F15A34"/>
    <w:rsid w:val="00F166C0"/>
    <w:rsid w:val="00F168ED"/>
    <w:rsid w:val="00F17435"/>
    <w:rsid w:val="00F17BC4"/>
    <w:rsid w:val="00F17FF9"/>
    <w:rsid w:val="00F2092C"/>
    <w:rsid w:val="00F20B05"/>
    <w:rsid w:val="00F213A7"/>
    <w:rsid w:val="00F2191E"/>
    <w:rsid w:val="00F21C57"/>
    <w:rsid w:val="00F22A2F"/>
    <w:rsid w:val="00F235F2"/>
    <w:rsid w:val="00F23701"/>
    <w:rsid w:val="00F23A84"/>
    <w:rsid w:val="00F24183"/>
    <w:rsid w:val="00F245A3"/>
    <w:rsid w:val="00F24799"/>
    <w:rsid w:val="00F256E6"/>
    <w:rsid w:val="00F25B8F"/>
    <w:rsid w:val="00F2620E"/>
    <w:rsid w:val="00F265B1"/>
    <w:rsid w:val="00F266E6"/>
    <w:rsid w:val="00F2722C"/>
    <w:rsid w:val="00F2763C"/>
    <w:rsid w:val="00F276EA"/>
    <w:rsid w:val="00F27CC5"/>
    <w:rsid w:val="00F27E8D"/>
    <w:rsid w:val="00F30D17"/>
    <w:rsid w:val="00F311B6"/>
    <w:rsid w:val="00F311DD"/>
    <w:rsid w:val="00F31555"/>
    <w:rsid w:val="00F3163F"/>
    <w:rsid w:val="00F31CA9"/>
    <w:rsid w:val="00F32394"/>
    <w:rsid w:val="00F328A8"/>
    <w:rsid w:val="00F33257"/>
    <w:rsid w:val="00F33ED6"/>
    <w:rsid w:val="00F34287"/>
    <w:rsid w:val="00F34341"/>
    <w:rsid w:val="00F34CBD"/>
    <w:rsid w:val="00F353CA"/>
    <w:rsid w:val="00F360D3"/>
    <w:rsid w:val="00F36C0C"/>
    <w:rsid w:val="00F3721F"/>
    <w:rsid w:val="00F37A6E"/>
    <w:rsid w:val="00F4009B"/>
    <w:rsid w:val="00F4022C"/>
    <w:rsid w:val="00F41535"/>
    <w:rsid w:val="00F419D5"/>
    <w:rsid w:val="00F41F2E"/>
    <w:rsid w:val="00F427C5"/>
    <w:rsid w:val="00F429D7"/>
    <w:rsid w:val="00F42A1D"/>
    <w:rsid w:val="00F42C46"/>
    <w:rsid w:val="00F42FA6"/>
    <w:rsid w:val="00F43420"/>
    <w:rsid w:val="00F43F94"/>
    <w:rsid w:val="00F441C8"/>
    <w:rsid w:val="00F441E3"/>
    <w:rsid w:val="00F44210"/>
    <w:rsid w:val="00F44F9A"/>
    <w:rsid w:val="00F454F1"/>
    <w:rsid w:val="00F45CCF"/>
    <w:rsid w:val="00F45E34"/>
    <w:rsid w:val="00F46F86"/>
    <w:rsid w:val="00F472E2"/>
    <w:rsid w:val="00F475C6"/>
    <w:rsid w:val="00F50418"/>
    <w:rsid w:val="00F508B5"/>
    <w:rsid w:val="00F51111"/>
    <w:rsid w:val="00F512B4"/>
    <w:rsid w:val="00F515E9"/>
    <w:rsid w:val="00F5169F"/>
    <w:rsid w:val="00F5234C"/>
    <w:rsid w:val="00F52B5F"/>
    <w:rsid w:val="00F52E43"/>
    <w:rsid w:val="00F5426B"/>
    <w:rsid w:val="00F542E6"/>
    <w:rsid w:val="00F5455A"/>
    <w:rsid w:val="00F546B4"/>
    <w:rsid w:val="00F54756"/>
    <w:rsid w:val="00F549BC"/>
    <w:rsid w:val="00F54D14"/>
    <w:rsid w:val="00F54E83"/>
    <w:rsid w:val="00F55B9E"/>
    <w:rsid w:val="00F56B83"/>
    <w:rsid w:val="00F56E5B"/>
    <w:rsid w:val="00F60382"/>
    <w:rsid w:val="00F60B9A"/>
    <w:rsid w:val="00F610FF"/>
    <w:rsid w:val="00F6114E"/>
    <w:rsid w:val="00F61176"/>
    <w:rsid w:val="00F612FB"/>
    <w:rsid w:val="00F61384"/>
    <w:rsid w:val="00F61D27"/>
    <w:rsid w:val="00F61ECF"/>
    <w:rsid w:val="00F61FB9"/>
    <w:rsid w:val="00F636B5"/>
    <w:rsid w:val="00F63C1F"/>
    <w:rsid w:val="00F64D9F"/>
    <w:rsid w:val="00F66251"/>
    <w:rsid w:val="00F66790"/>
    <w:rsid w:val="00F66F99"/>
    <w:rsid w:val="00F671E8"/>
    <w:rsid w:val="00F6798A"/>
    <w:rsid w:val="00F702A2"/>
    <w:rsid w:val="00F70530"/>
    <w:rsid w:val="00F7065F"/>
    <w:rsid w:val="00F70C98"/>
    <w:rsid w:val="00F70E38"/>
    <w:rsid w:val="00F7102A"/>
    <w:rsid w:val="00F7162D"/>
    <w:rsid w:val="00F72781"/>
    <w:rsid w:val="00F728A3"/>
    <w:rsid w:val="00F73AED"/>
    <w:rsid w:val="00F740E2"/>
    <w:rsid w:val="00F7485D"/>
    <w:rsid w:val="00F7490C"/>
    <w:rsid w:val="00F74989"/>
    <w:rsid w:val="00F74F39"/>
    <w:rsid w:val="00F752CE"/>
    <w:rsid w:val="00F75618"/>
    <w:rsid w:val="00F75BDA"/>
    <w:rsid w:val="00F75D6E"/>
    <w:rsid w:val="00F7636F"/>
    <w:rsid w:val="00F76AEE"/>
    <w:rsid w:val="00F77003"/>
    <w:rsid w:val="00F80EEA"/>
    <w:rsid w:val="00F81005"/>
    <w:rsid w:val="00F8107C"/>
    <w:rsid w:val="00F81539"/>
    <w:rsid w:val="00F8167A"/>
    <w:rsid w:val="00F81792"/>
    <w:rsid w:val="00F8196F"/>
    <w:rsid w:val="00F81F23"/>
    <w:rsid w:val="00F81F75"/>
    <w:rsid w:val="00F82B3A"/>
    <w:rsid w:val="00F82E1D"/>
    <w:rsid w:val="00F83B80"/>
    <w:rsid w:val="00F845A0"/>
    <w:rsid w:val="00F85044"/>
    <w:rsid w:val="00F851F9"/>
    <w:rsid w:val="00F8567C"/>
    <w:rsid w:val="00F85C1B"/>
    <w:rsid w:val="00F86055"/>
    <w:rsid w:val="00F860FA"/>
    <w:rsid w:val="00F86406"/>
    <w:rsid w:val="00F86911"/>
    <w:rsid w:val="00F86E3F"/>
    <w:rsid w:val="00F87808"/>
    <w:rsid w:val="00F87C60"/>
    <w:rsid w:val="00F90426"/>
    <w:rsid w:val="00F9083E"/>
    <w:rsid w:val="00F909B0"/>
    <w:rsid w:val="00F909CB"/>
    <w:rsid w:val="00F91039"/>
    <w:rsid w:val="00F91254"/>
    <w:rsid w:val="00F91D78"/>
    <w:rsid w:val="00F920BC"/>
    <w:rsid w:val="00F9228E"/>
    <w:rsid w:val="00F92343"/>
    <w:rsid w:val="00F928C4"/>
    <w:rsid w:val="00F92A72"/>
    <w:rsid w:val="00F93E0B"/>
    <w:rsid w:val="00F94A59"/>
    <w:rsid w:val="00F94F25"/>
    <w:rsid w:val="00F95DCA"/>
    <w:rsid w:val="00FA0107"/>
    <w:rsid w:val="00FA05DE"/>
    <w:rsid w:val="00FA10E3"/>
    <w:rsid w:val="00FA1323"/>
    <w:rsid w:val="00FA1AF7"/>
    <w:rsid w:val="00FA1F5C"/>
    <w:rsid w:val="00FA2476"/>
    <w:rsid w:val="00FA2A0A"/>
    <w:rsid w:val="00FA2E2A"/>
    <w:rsid w:val="00FA3373"/>
    <w:rsid w:val="00FA3B1D"/>
    <w:rsid w:val="00FA4445"/>
    <w:rsid w:val="00FA478B"/>
    <w:rsid w:val="00FA4CCC"/>
    <w:rsid w:val="00FA4D04"/>
    <w:rsid w:val="00FA4E02"/>
    <w:rsid w:val="00FA4EF5"/>
    <w:rsid w:val="00FA56AC"/>
    <w:rsid w:val="00FA6DC2"/>
    <w:rsid w:val="00FA7936"/>
    <w:rsid w:val="00FB0460"/>
    <w:rsid w:val="00FB0527"/>
    <w:rsid w:val="00FB07FB"/>
    <w:rsid w:val="00FB0A5D"/>
    <w:rsid w:val="00FB0E26"/>
    <w:rsid w:val="00FB0E2D"/>
    <w:rsid w:val="00FB1278"/>
    <w:rsid w:val="00FB2200"/>
    <w:rsid w:val="00FB2722"/>
    <w:rsid w:val="00FB2FDA"/>
    <w:rsid w:val="00FB32BB"/>
    <w:rsid w:val="00FB56F4"/>
    <w:rsid w:val="00FB591D"/>
    <w:rsid w:val="00FB591E"/>
    <w:rsid w:val="00FB5C93"/>
    <w:rsid w:val="00FB651D"/>
    <w:rsid w:val="00FB686A"/>
    <w:rsid w:val="00FB6945"/>
    <w:rsid w:val="00FB6F92"/>
    <w:rsid w:val="00FB7CDA"/>
    <w:rsid w:val="00FB7EEA"/>
    <w:rsid w:val="00FC0273"/>
    <w:rsid w:val="00FC0D1A"/>
    <w:rsid w:val="00FC1408"/>
    <w:rsid w:val="00FC1942"/>
    <w:rsid w:val="00FC1D65"/>
    <w:rsid w:val="00FC2248"/>
    <w:rsid w:val="00FC2258"/>
    <w:rsid w:val="00FC3506"/>
    <w:rsid w:val="00FC3552"/>
    <w:rsid w:val="00FC3DF2"/>
    <w:rsid w:val="00FC42DA"/>
    <w:rsid w:val="00FC4724"/>
    <w:rsid w:val="00FC52D9"/>
    <w:rsid w:val="00FC5F32"/>
    <w:rsid w:val="00FC604A"/>
    <w:rsid w:val="00FC6E02"/>
    <w:rsid w:val="00FC6E80"/>
    <w:rsid w:val="00FC7D39"/>
    <w:rsid w:val="00FD00C5"/>
    <w:rsid w:val="00FD091C"/>
    <w:rsid w:val="00FD1A87"/>
    <w:rsid w:val="00FD23B9"/>
    <w:rsid w:val="00FD439C"/>
    <w:rsid w:val="00FD4443"/>
    <w:rsid w:val="00FD44E8"/>
    <w:rsid w:val="00FD4CAB"/>
    <w:rsid w:val="00FD5AA8"/>
    <w:rsid w:val="00FD5CF0"/>
    <w:rsid w:val="00FD5DD3"/>
    <w:rsid w:val="00FD6246"/>
    <w:rsid w:val="00FD669A"/>
    <w:rsid w:val="00FE090E"/>
    <w:rsid w:val="00FE0D2B"/>
    <w:rsid w:val="00FE1F94"/>
    <w:rsid w:val="00FE2099"/>
    <w:rsid w:val="00FE20C5"/>
    <w:rsid w:val="00FE2F13"/>
    <w:rsid w:val="00FE52A5"/>
    <w:rsid w:val="00FE5D83"/>
    <w:rsid w:val="00FE5F17"/>
    <w:rsid w:val="00FE622F"/>
    <w:rsid w:val="00FE6A5A"/>
    <w:rsid w:val="00FE704F"/>
    <w:rsid w:val="00FE78F4"/>
    <w:rsid w:val="00FE7BB0"/>
    <w:rsid w:val="00FF059C"/>
    <w:rsid w:val="00FF07C7"/>
    <w:rsid w:val="00FF1029"/>
    <w:rsid w:val="00FF106D"/>
    <w:rsid w:val="00FF1149"/>
    <w:rsid w:val="00FF115F"/>
    <w:rsid w:val="00FF1783"/>
    <w:rsid w:val="00FF1ACF"/>
    <w:rsid w:val="00FF2365"/>
    <w:rsid w:val="00FF2E26"/>
    <w:rsid w:val="00FF2E42"/>
    <w:rsid w:val="00FF3644"/>
    <w:rsid w:val="00FF382D"/>
    <w:rsid w:val="00FF3BD4"/>
    <w:rsid w:val="00FF3CF1"/>
    <w:rsid w:val="00FF3DF7"/>
    <w:rsid w:val="00FF5A8B"/>
    <w:rsid w:val="00FF5B05"/>
    <w:rsid w:val="00FF6704"/>
    <w:rsid w:val="00FF6BC9"/>
    <w:rsid w:val="00FF7BB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4FF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924"/>
    <w:pPr>
      <w:spacing w:line="240" w:lineRule="atLeast"/>
      <w:jc w:val="both"/>
    </w:pPr>
    <w:rPr>
      <w:lang w:val="en-US" w:eastAsia="en-US"/>
    </w:rPr>
  </w:style>
  <w:style w:type="paragraph" w:styleId="Heading1">
    <w:name w:val="heading 1"/>
    <w:aliases w:val="Section Heading"/>
    <w:basedOn w:val="Normal"/>
    <w:next w:val="Normal"/>
    <w:link w:val="Heading1Char"/>
    <w:autoRedefine/>
    <w:qFormat/>
    <w:rsid w:val="00BB0380"/>
    <w:pPr>
      <w:keepNext/>
      <w:tabs>
        <w:tab w:val="left" w:pos="6663"/>
        <w:tab w:val="left" w:pos="7088"/>
      </w:tabs>
      <w:spacing w:after="120"/>
      <w:jc w:val="left"/>
      <w:outlineLvl w:val="0"/>
    </w:pPr>
    <w:rPr>
      <w:rFonts w:ascii="Arial" w:hAnsi="Arial" w:cs="Arial"/>
      <w:b/>
      <w:lang w:val="bg-BG"/>
    </w:rPr>
  </w:style>
  <w:style w:type="paragraph" w:styleId="Heading2">
    <w:name w:val="heading 2"/>
    <w:aliases w:val="2"/>
    <w:basedOn w:val="Normal"/>
    <w:next w:val="Normal"/>
    <w:qFormat/>
    <w:rsid w:val="00E72A4C"/>
    <w:pPr>
      <w:keepNext/>
      <w:spacing w:before="240" w:after="60"/>
      <w:outlineLvl w:val="1"/>
    </w:pPr>
    <w:rPr>
      <w:b/>
      <w:sz w:val="24"/>
    </w:rPr>
  </w:style>
  <w:style w:type="paragraph" w:styleId="Heading3">
    <w:name w:val="heading 3"/>
    <w:aliases w:val="3"/>
    <w:basedOn w:val="Normal"/>
    <w:next w:val="Normal"/>
    <w:qFormat/>
    <w:rsid w:val="00E72A4C"/>
    <w:pPr>
      <w:keepNext/>
      <w:spacing w:before="240" w:after="60"/>
      <w:outlineLvl w:val="2"/>
    </w:pPr>
    <w:rPr>
      <w:b/>
      <w:sz w:val="22"/>
    </w:rPr>
  </w:style>
  <w:style w:type="paragraph" w:styleId="Heading4">
    <w:name w:val="heading 4"/>
    <w:basedOn w:val="Normal"/>
    <w:next w:val="Normal"/>
    <w:link w:val="Heading4Char"/>
    <w:qFormat/>
    <w:rsid w:val="00E72A4C"/>
    <w:pPr>
      <w:keepNext/>
      <w:jc w:val="center"/>
      <w:outlineLvl w:val="3"/>
    </w:pPr>
    <w:rPr>
      <w:sz w:val="24"/>
    </w:rPr>
  </w:style>
  <w:style w:type="paragraph" w:styleId="Heading5">
    <w:name w:val="heading 5"/>
    <w:basedOn w:val="Normal"/>
    <w:next w:val="Normal"/>
    <w:qFormat/>
    <w:rsid w:val="00E72A4C"/>
    <w:pPr>
      <w:keepNext/>
      <w:outlineLvl w:val="4"/>
    </w:pPr>
    <w:rPr>
      <w:b/>
    </w:rPr>
  </w:style>
  <w:style w:type="paragraph" w:styleId="Heading6">
    <w:name w:val="heading 6"/>
    <w:basedOn w:val="Normal"/>
    <w:next w:val="Normal"/>
    <w:qFormat/>
    <w:rsid w:val="00E72A4C"/>
    <w:pPr>
      <w:keepNext/>
      <w:outlineLvl w:val="5"/>
    </w:pPr>
    <w:rPr>
      <w:u w:val="single"/>
    </w:rPr>
  </w:style>
  <w:style w:type="paragraph" w:styleId="Heading7">
    <w:name w:val="heading 7"/>
    <w:basedOn w:val="Normal"/>
    <w:next w:val="Normal"/>
    <w:qFormat/>
    <w:rsid w:val="00E72A4C"/>
    <w:pPr>
      <w:keepNext/>
      <w:ind w:right="10"/>
      <w:outlineLvl w:val="6"/>
    </w:pPr>
    <w:rPr>
      <w:sz w:val="24"/>
    </w:rPr>
  </w:style>
  <w:style w:type="paragraph" w:styleId="Heading8">
    <w:name w:val="heading 8"/>
    <w:basedOn w:val="Normal"/>
    <w:next w:val="Normal"/>
    <w:qFormat/>
    <w:rsid w:val="00E72A4C"/>
    <w:pPr>
      <w:keepNext/>
      <w:widowControl w:val="0"/>
      <w:jc w:val="center"/>
      <w:outlineLvl w:val="7"/>
    </w:pPr>
    <w:rPr>
      <w:b/>
      <w:sz w:val="24"/>
    </w:rPr>
  </w:style>
  <w:style w:type="paragraph" w:styleId="Heading9">
    <w:name w:val="heading 9"/>
    <w:basedOn w:val="Normal"/>
    <w:next w:val="Normal"/>
    <w:qFormat/>
    <w:rsid w:val="00E72A4C"/>
    <w:pPr>
      <w:keepNext/>
      <w:widowControl w:val="0"/>
      <w:tabs>
        <w:tab w:val="left" w:pos="1338"/>
      </w:tabs>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72A4C"/>
    <w:pPr>
      <w:tabs>
        <w:tab w:val="center" w:pos="4320"/>
        <w:tab w:val="right" w:pos="8640"/>
      </w:tabs>
    </w:pPr>
    <w:rPr>
      <w:rFonts w:ascii="Times" w:hAnsi="Times"/>
      <w:sz w:val="24"/>
    </w:rPr>
  </w:style>
  <w:style w:type="paragraph" w:styleId="Header">
    <w:name w:val="header"/>
    <w:aliases w:val="even,hd"/>
    <w:basedOn w:val="Normal"/>
    <w:link w:val="HeaderChar"/>
    <w:rsid w:val="00E72A4C"/>
    <w:pPr>
      <w:tabs>
        <w:tab w:val="center" w:pos="4320"/>
        <w:tab w:val="right" w:pos="8640"/>
      </w:tabs>
    </w:pPr>
    <w:rPr>
      <w:rFonts w:ascii="Times" w:hAnsi="Times"/>
      <w:sz w:val="24"/>
    </w:rPr>
  </w:style>
  <w:style w:type="paragraph" w:customStyle="1" w:styleId="head">
    <w:name w:val="head"/>
    <w:basedOn w:val="Normal"/>
    <w:next w:val="BodyText"/>
    <w:rsid w:val="00E72A4C"/>
    <w:rPr>
      <w:rFonts w:ascii="Arial" w:hAnsi="Arial"/>
      <w:b/>
      <w:lang w:val="en-GB"/>
    </w:rPr>
  </w:style>
  <w:style w:type="paragraph" w:styleId="BodyText">
    <w:name w:val="Body Text"/>
    <w:basedOn w:val="Normal"/>
    <w:link w:val="BodyTextChar"/>
    <w:rsid w:val="00E72A4C"/>
    <w:pPr>
      <w:spacing w:after="120"/>
    </w:pPr>
  </w:style>
  <w:style w:type="paragraph" w:customStyle="1" w:styleId="wfxRecipient">
    <w:name w:val="wfxRecipient"/>
    <w:basedOn w:val="Normal"/>
    <w:rsid w:val="00E72A4C"/>
  </w:style>
  <w:style w:type="paragraph" w:customStyle="1" w:styleId="wfxFaxNum">
    <w:name w:val="wfxFaxNum"/>
    <w:basedOn w:val="Normal"/>
    <w:rsid w:val="00E72A4C"/>
  </w:style>
  <w:style w:type="character" w:styleId="PageNumber">
    <w:name w:val="page number"/>
    <w:basedOn w:val="DefaultParagraphFont"/>
    <w:rsid w:val="00E72A4C"/>
  </w:style>
  <w:style w:type="character" w:styleId="FootnoteReference">
    <w:name w:val="footnote reference"/>
    <w:basedOn w:val="DefaultParagraphFont"/>
    <w:semiHidden/>
    <w:rsid w:val="00E72A4C"/>
    <w:rPr>
      <w:vertAlign w:val="superscript"/>
    </w:rPr>
  </w:style>
  <w:style w:type="paragraph" w:styleId="FootnoteText">
    <w:name w:val="footnote text"/>
    <w:basedOn w:val="Normal"/>
    <w:semiHidden/>
    <w:rsid w:val="00E72A4C"/>
  </w:style>
  <w:style w:type="paragraph" w:styleId="BodyText2">
    <w:name w:val="Body Text 2"/>
    <w:basedOn w:val="Normal"/>
    <w:link w:val="BodyText2Char"/>
    <w:rsid w:val="00E72A4C"/>
    <w:pPr>
      <w:tabs>
        <w:tab w:val="left" w:pos="360"/>
      </w:tabs>
      <w:ind w:left="357"/>
    </w:pPr>
  </w:style>
  <w:style w:type="paragraph" w:customStyle="1" w:styleId="BodyText21">
    <w:name w:val="Body Text 21"/>
    <w:basedOn w:val="Normal"/>
    <w:rsid w:val="00E72A4C"/>
  </w:style>
  <w:style w:type="paragraph" w:styleId="BodyText3">
    <w:name w:val="Body Text 3"/>
    <w:basedOn w:val="Normal"/>
    <w:rsid w:val="00E72A4C"/>
    <w:pPr>
      <w:jc w:val="center"/>
    </w:pPr>
    <w:rPr>
      <w:b/>
      <w:sz w:val="22"/>
    </w:rPr>
  </w:style>
  <w:style w:type="paragraph" w:customStyle="1" w:styleId="EYLogo">
    <w:name w:val="E &amp; Y Logo"/>
    <w:basedOn w:val="Normal"/>
    <w:rsid w:val="00E72A4C"/>
    <w:pPr>
      <w:tabs>
        <w:tab w:val="left" w:pos="4860"/>
        <w:tab w:val="left" w:pos="5040"/>
        <w:tab w:val="left" w:pos="7740"/>
        <w:tab w:val="left" w:pos="7920"/>
      </w:tabs>
      <w:spacing w:line="280" w:lineRule="exact"/>
      <w:ind w:left="-360"/>
    </w:pPr>
    <w:rPr>
      <w:rFonts w:ascii="MS Sans Serif" w:hAnsi="MS Sans Serif"/>
      <w:sz w:val="12"/>
    </w:rPr>
  </w:style>
  <w:style w:type="paragraph" w:customStyle="1" w:styleId="SingleSpacing">
    <w:name w:val="Single Spacing"/>
    <w:aliases w:val="ss,Single spacing"/>
    <w:basedOn w:val="Normal"/>
    <w:rsid w:val="00E72A4C"/>
    <w:pPr>
      <w:spacing w:line="280" w:lineRule="atLeast"/>
    </w:pPr>
    <w:rPr>
      <w:rFonts w:ascii="Times" w:hAnsi="Times"/>
      <w:sz w:val="24"/>
    </w:rPr>
  </w:style>
  <w:style w:type="paragraph" w:customStyle="1" w:styleId="BodyText22">
    <w:name w:val="Body Text 22"/>
    <w:basedOn w:val="Normal"/>
    <w:rsid w:val="00E72A4C"/>
    <w:pPr>
      <w:widowControl w:val="0"/>
    </w:pPr>
  </w:style>
  <w:style w:type="paragraph" w:styleId="DocumentMap">
    <w:name w:val="Document Map"/>
    <w:basedOn w:val="Normal"/>
    <w:semiHidden/>
    <w:rsid w:val="00E72A4C"/>
    <w:pPr>
      <w:widowControl w:val="0"/>
      <w:shd w:val="clear" w:color="auto" w:fill="000080"/>
    </w:pPr>
    <w:rPr>
      <w:rFonts w:ascii="Tahoma" w:hAnsi="Tahoma"/>
    </w:rPr>
  </w:style>
  <w:style w:type="paragraph" w:styleId="BodyTextIndent2">
    <w:name w:val="Body Text Indent 2"/>
    <w:basedOn w:val="Normal"/>
    <w:rsid w:val="00E72A4C"/>
    <w:pPr>
      <w:widowControl w:val="0"/>
      <w:ind w:hanging="14"/>
    </w:pPr>
  </w:style>
  <w:style w:type="paragraph" w:customStyle="1" w:styleId="000standaarduitvullen">
    <w:name w:val="000.standaard uitvullen"/>
    <w:basedOn w:val="Normal"/>
    <w:rsid w:val="00E72A4C"/>
    <w:pPr>
      <w:spacing w:line="280" w:lineRule="atLeast"/>
    </w:pPr>
    <w:rPr>
      <w:rFonts w:ascii="Times" w:hAnsi="Times"/>
      <w:sz w:val="24"/>
      <w:lang w:val="en-GB"/>
    </w:rPr>
  </w:style>
  <w:style w:type="paragraph" w:customStyle="1" w:styleId="singlespacing0">
    <w:name w:val="single spacing"/>
    <w:aliases w:val="s"/>
    <w:basedOn w:val="Normal"/>
    <w:rsid w:val="00E72A4C"/>
    <w:pPr>
      <w:spacing w:line="280" w:lineRule="atLeast"/>
    </w:pPr>
    <w:rPr>
      <w:rFonts w:ascii="Times" w:hAnsi="Times"/>
      <w:sz w:val="24"/>
    </w:rPr>
  </w:style>
  <w:style w:type="paragraph" w:customStyle="1" w:styleId="a">
    <w:name w:val="Îáû÷íûé"/>
    <w:uiPriority w:val="99"/>
    <w:rsid w:val="00E72A4C"/>
    <w:pPr>
      <w:widowControl w:val="0"/>
    </w:pPr>
    <w:rPr>
      <w:rFonts w:ascii="Times" w:hAnsi="Times"/>
      <w:sz w:val="24"/>
      <w:lang w:val="en-US" w:eastAsia="en-US"/>
    </w:rPr>
  </w:style>
  <w:style w:type="paragraph" w:customStyle="1" w:styleId="normaltext">
    <w:name w:val="normal text"/>
    <w:basedOn w:val="Normal"/>
    <w:rsid w:val="00E72A4C"/>
    <w:rPr>
      <w:color w:val="000000"/>
      <w:sz w:val="18"/>
    </w:rPr>
  </w:style>
  <w:style w:type="paragraph" w:styleId="Caption">
    <w:name w:val="caption"/>
    <w:basedOn w:val="Normal"/>
    <w:next w:val="Normal"/>
    <w:qFormat/>
    <w:rsid w:val="00E72A4C"/>
    <w:pPr>
      <w:framePr w:hSpace="187" w:wrap="auto" w:vAnchor="text" w:hAnchor="page" w:x="2017" w:y="3961"/>
      <w:ind w:left="2880" w:right="10"/>
      <w:jc w:val="center"/>
    </w:pPr>
    <w:rPr>
      <w:color w:val="000000"/>
      <w:sz w:val="24"/>
    </w:rPr>
  </w:style>
  <w:style w:type="paragraph" w:styleId="BodyTextIndent3">
    <w:name w:val="Body Text Indent 3"/>
    <w:basedOn w:val="Normal"/>
    <w:rsid w:val="00E72A4C"/>
    <w:pPr>
      <w:ind w:left="360"/>
    </w:pPr>
    <w:rPr>
      <w:rFonts w:ascii="Arial" w:hAnsi="Arial" w:cs="Arial"/>
      <w:sz w:val="24"/>
      <w:szCs w:val="24"/>
      <w:lang w:val="en-GB" w:eastAsia="fr-FR"/>
    </w:rPr>
  </w:style>
  <w:style w:type="paragraph" w:styleId="BodyTextIndent">
    <w:name w:val="Body Text Indent"/>
    <w:basedOn w:val="Normal"/>
    <w:rsid w:val="00E72A4C"/>
    <w:pPr>
      <w:keepNext/>
      <w:keepLines/>
      <w:ind w:left="426"/>
    </w:pPr>
  </w:style>
  <w:style w:type="paragraph" w:customStyle="1" w:styleId="xl28">
    <w:name w:val="xl28"/>
    <w:basedOn w:val="Normal"/>
    <w:rsid w:val="00E72A4C"/>
    <w:pPr>
      <w:spacing w:before="100" w:beforeAutospacing="1" w:after="100" w:afterAutospacing="1"/>
      <w:jc w:val="right"/>
      <w:textAlignment w:val="top"/>
    </w:pPr>
    <w:rPr>
      <w:rFonts w:eastAsia="Arial Unicode MS" w:cs="Arial Unicode MS"/>
      <w:sz w:val="24"/>
      <w:szCs w:val="24"/>
      <w:lang w:val="fr-FR" w:eastAsia="fr-FR"/>
    </w:rPr>
  </w:style>
  <w:style w:type="paragraph" w:customStyle="1" w:styleId="xl29">
    <w:name w:val="xl29"/>
    <w:basedOn w:val="Normal"/>
    <w:rsid w:val="00E72A4C"/>
    <w:pPr>
      <w:spacing w:before="100" w:beforeAutospacing="1" w:after="100" w:afterAutospacing="1"/>
      <w:textAlignment w:val="top"/>
    </w:pPr>
    <w:rPr>
      <w:rFonts w:eastAsia="Arial Unicode MS"/>
      <w:b/>
      <w:bCs/>
      <w:sz w:val="24"/>
      <w:szCs w:val="24"/>
      <w:lang w:val="fr-FR" w:eastAsia="fr-FR"/>
    </w:rPr>
  </w:style>
  <w:style w:type="paragraph" w:customStyle="1" w:styleId="xl30">
    <w:name w:val="xl30"/>
    <w:basedOn w:val="Normal"/>
    <w:rsid w:val="00E72A4C"/>
    <w:pPr>
      <w:spacing w:before="100" w:beforeAutospacing="1" w:after="100" w:afterAutospacing="1"/>
      <w:ind w:firstLineChars="200" w:firstLine="200"/>
      <w:textAlignment w:val="top"/>
    </w:pPr>
    <w:rPr>
      <w:rFonts w:eastAsia="Arial Unicode MS"/>
      <w:sz w:val="24"/>
      <w:szCs w:val="24"/>
      <w:lang w:val="fr-FR" w:eastAsia="fr-FR"/>
    </w:rPr>
  </w:style>
  <w:style w:type="paragraph" w:customStyle="1" w:styleId="xl31">
    <w:name w:val="xl31"/>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32">
    <w:name w:val="xl32"/>
    <w:basedOn w:val="Normal"/>
    <w:rsid w:val="00E72A4C"/>
    <w:pPr>
      <w:spacing w:before="100" w:beforeAutospacing="1" w:after="100" w:afterAutospacing="1"/>
      <w:ind w:firstLineChars="100" w:firstLine="100"/>
      <w:textAlignment w:val="top"/>
    </w:pPr>
    <w:rPr>
      <w:rFonts w:eastAsia="Arial Unicode MS" w:cs="Arial Unicode MS"/>
      <w:sz w:val="24"/>
      <w:szCs w:val="24"/>
      <w:lang w:val="fr-FR" w:eastAsia="fr-FR"/>
    </w:rPr>
  </w:style>
  <w:style w:type="paragraph" w:customStyle="1" w:styleId="xl33">
    <w:name w:val="xl33"/>
    <w:basedOn w:val="Normal"/>
    <w:rsid w:val="00E72A4C"/>
    <w:pPr>
      <w:spacing w:before="100" w:beforeAutospacing="1" w:after="100" w:afterAutospacing="1"/>
      <w:textAlignment w:val="top"/>
    </w:pPr>
    <w:rPr>
      <w:rFonts w:eastAsia="Arial Unicode MS"/>
      <w:b/>
      <w:bCs/>
      <w:sz w:val="24"/>
      <w:szCs w:val="24"/>
      <w:lang w:val="fr-FR" w:eastAsia="fr-FR"/>
    </w:rPr>
  </w:style>
  <w:style w:type="paragraph" w:customStyle="1" w:styleId="xl34">
    <w:name w:val="xl34"/>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35">
    <w:name w:val="xl35"/>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36">
    <w:name w:val="xl36"/>
    <w:basedOn w:val="Normal"/>
    <w:rsid w:val="00E72A4C"/>
    <w:pPr>
      <w:spacing w:before="100" w:beforeAutospacing="1" w:after="100" w:afterAutospacing="1"/>
      <w:textAlignment w:val="top"/>
    </w:pPr>
    <w:rPr>
      <w:rFonts w:eastAsia="Arial Unicode MS" w:cs="Arial Unicode MS"/>
      <w:sz w:val="24"/>
      <w:szCs w:val="24"/>
      <w:lang w:val="fr-FR" w:eastAsia="fr-FR"/>
    </w:rPr>
  </w:style>
  <w:style w:type="paragraph" w:customStyle="1" w:styleId="xl37">
    <w:name w:val="xl37"/>
    <w:basedOn w:val="Normal"/>
    <w:rsid w:val="00E72A4C"/>
    <w:pPr>
      <w:pBdr>
        <w:bottom w:val="single" w:sz="4" w:space="0" w:color="auto"/>
      </w:pBdr>
      <w:spacing w:before="100" w:beforeAutospacing="1" w:after="100" w:afterAutospacing="1"/>
      <w:textAlignment w:val="top"/>
    </w:pPr>
    <w:rPr>
      <w:rFonts w:eastAsia="Arial Unicode MS"/>
      <w:sz w:val="24"/>
      <w:szCs w:val="24"/>
      <w:lang w:val="fr-FR" w:eastAsia="fr-FR"/>
    </w:rPr>
  </w:style>
  <w:style w:type="paragraph" w:customStyle="1" w:styleId="xl38">
    <w:name w:val="xl38"/>
    <w:basedOn w:val="Normal"/>
    <w:rsid w:val="00E72A4C"/>
    <w:pPr>
      <w:pBdr>
        <w:top w:val="single" w:sz="4" w:space="0" w:color="auto"/>
      </w:pBdr>
      <w:spacing w:before="100" w:beforeAutospacing="1" w:after="100" w:afterAutospacing="1"/>
      <w:textAlignment w:val="top"/>
    </w:pPr>
    <w:rPr>
      <w:rFonts w:eastAsia="Arial Unicode MS"/>
      <w:b/>
      <w:bCs/>
      <w:sz w:val="24"/>
      <w:szCs w:val="24"/>
      <w:lang w:val="fr-FR" w:eastAsia="fr-FR"/>
    </w:rPr>
  </w:style>
  <w:style w:type="paragraph" w:customStyle="1" w:styleId="xl39">
    <w:name w:val="xl39"/>
    <w:basedOn w:val="Normal"/>
    <w:rsid w:val="00E72A4C"/>
    <w:pPr>
      <w:pBdr>
        <w:bottom w:val="double" w:sz="6" w:space="0" w:color="auto"/>
      </w:pBdr>
      <w:spacing w:before="100" w:beforeAutospacing="1" w:after="100" w:afterAutospacing="1"/>
      <w:textAlignment w:val="top"/>
    </w:pPr>
    <w:rPr>
      <w:rFonts w:eastAsia="Arial Unicode MS"/>
      <w:b/>
      <w:bCs/>
      <w:sz w:val="24"/>
      <w:szCs w:val="24"/>
      <w:lang w:val="fr-FR" w:eastAsia="fr-FR"/>
    </w:rPr>
  </w:style>
  <w:style w:type="paragraph" w:customStyle="1" w:styleId="xl40">
    <w:name w:val="xl40"/>
    <w:basedOn w:val="Normal"/>
    <w:rsid w:val="00E72A4C"/>
    <w:pPr>
      <w:spacing w:before="100" w:beforeAutospacing="1" w:after="100" w:afterAutospacing="1"/>
      <w:textAlignment w:val="top"/>
    </w:pPr>
    <w:rPr>
      <w:rFonts w:eastAsia="Arial Unicode MS"/>
      <w:b/>
      <w:bCs/>
      <w:sz w:val="24"/>
      <w:szCs w:val="24"/>
      <w:lang w:val="fr-FR" w:eastAsia="fr-FR"/>
    </w:rPr>
  </w:style>
  <w:style w:type="paragraph" w:customStyle="1" w:styleId="xl41">
    <w:name w:val="xl41"/>
    <w:basedOn w:val="Normal"/>
    <w:rsid w:val="00E72A4C"/>
    <w:pPr>
      <w:pBdr>
        <w:top w:val="single" w:sz="4" w:space="0" w:color="auto"/>
        <w:bottom w:val="single" w:sz="4" w:space="0" w:color="auto"/>
      </w:pBdr>
      <w:spacing w:before="100" w:beforeAutospacing="1" w:after="100" w:afterAutospacing="1"/>
      <w:textAlignment w:val="top"/>
    </w:pPr>
    <w:rPr>
      <w:rFonts w:eastAsia="Arial Unicode MS"/>
      <w:b/>
      <w:bCs/>
      <w:sz w:val="24"/>
      <w:szCs w:val="24"/>
      <w:lang w:val="fr-FR" w:eastAsia="fr-FR"/>
    </w:rPr>
  </w:style>
  <w:style w:type="paragraph" w:customStyle="1" w:styleId="xl42">
    <w:name w:val="xl42"/>
    <w:basedOn w:val="Normal"/>
    <w:rsid w:val="00E72A4C"/>
    <w:pPr>
      <w:pBdr>
        <w:bottom w:val="single" w:sz="4" w:space="0" w:color="auto"/>
      </w:pBdr>
      <w:spacing w:before="100" w:beforeAutospacing="1" w:after="100" w:afterAutospacing="1"/>
      <w:jc w:val="center"/>
      <w:textAlignment w:val="top"/>
    </w:pPr>
    <w:rPr>
      <w:rFonts w:eastAsia="Arial Unicode MS"/>
      <w:b/>
      <w:bCs/>
      <w:sz w:val="24"/>
      <w:szCs w:val="24"/>
      <w:lang w:val="fr-FR" w:eastAsia="fr-FR"/>
    </w:rPr>
  </w:style>
  <w:style w:type="paragraph" w:customStyle="1" w:styleId="xl43">
    <w:name w:val="xl43"/>
    <w:basedOn w:val="Normal"/>
    <w:rsid w:val="00E72A4C"/>
    <w:pPr>
      <w:pBdr>
        <w:bottom w:val="single" w:sz="4" w:space="0" w:color="auto"/>
      </w:pBdr>
      <w:spacing w:before="100" w:beforeAutospacing="1" w:after="100" w:afterAutospacing="1"/>
      <w:textAlignment w:val="top"/>
    </w:pPr>
    <w:rPr>
      <w:rFonts w:eastAsia="Arial Unicode MS"/>
      <w:sz w:val="24"/>
      <w:szCs w:val="24"/>
      <w:lang w:val="fr-FR" w:eastAsia="fr-FR"/>
    </w:rPr>
  </w:style>
  <w:style w:type="paragraph" w:customStyle="1" w:styleId="xl44">
    <w:name w:val="xl44"/>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45">
    <w:name w:val="xl45"/>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46">
    <w:name w:val="xl46"/>
    <w:basedOn w:val="Normal"/>
    <w:rsid w:val="00E72A4C"/>
    <w:pPr>
      <w:pBdr>
        <w:top w:val="single" w:sz="4" w:space="0" w:color="auto"/>
        <w:bottom w:val="double" w:sz="6" w:space="0" w:color="auto"/>
      </w:pBdr>
      <w:spacing w:before="100" w:beforeAutospacing="1" w:after="100" w:afterAutospacing="1"/>
      <w:textAlignment w:val="top"/>
    </w:pPr>
    <w:rPr>
      <w:rFonts w:eastAsia="Arial Unicode MS"/>
      <w:b/>
      <w:bCs/>
      <w:sz w:val="24"/>
      <w:szCs w:val="24"/>
      <w:lang w:val="fr-FR" w:eastAsia="fr-FR"/>
    </w:rPr>
  </w:style>
  <w:style w:type="paragraph" w:styleId="BlockText">
    <w:name w:val="Block Text"/>
    <w:basedOn w:val="Normal"/>
    <w:rsid w:val="00E72A4C"/>
    <w:pPr>
      <w:widowControl w:val="0"/>
      <w:tabs>
        <w:tab w:val="left" w:pos="2977"/>
      </w:tabs>
      <w:ind w:left="426" w:right="-119"/>
    </w:pPr>
    <w:rPr>
      <w:lang w:val="en-GB"/>
    </w:rPr>
  </w:style>
  <w:style w:type="character" w:styleId="Hyperlink">
    <w:name w:val="Hyperlink"/>
    <w:basedOn w:val="DefaultParagraphFont"/>
    <w:uiPriority w:val="99"/>
    <w:rsid w:val="00E72A4C"/>
    <w:rPr>
      <w:color w:val="0000FF"/>
      <w:u w:val="single"/>
    </w:rPr>
  </w:style>
  <w:style w:type="character" w:styleId="FollowedHyperlink">
    <w:name w:val="FollowedHyperlink"/>
    <w:basedOn w:val="DefaultParagraphFont"/>
    <w:rsid w:val="00E72A4C"/>
    <w:rPr>
      <w:color w:val="800080"/>
      <w:u w:val="single"/>
    </w:rPr>
  </w:style>
  <w:style w:type="paragraph" w:customStyle="1" w:styleId="font5">
    <w:name w:val="font5"/>
    <w:basedOn w:val="Normal"/>
    <w:rsid w:val="00E72A4C"/>
    <w:pPr>
      <w:spacing w:before="100" w:beforeAutospacing="1" w:after="100" w:afterAutospacing="1"/>
    </w:pPr>
    <w:rPr>
      <w:rFonts w:eastAsia="Arial Unicode MS"/>
      <w:b/>
      <w:bCs/>
      <w:lang w:val="fr-FR" w:eastAsia="fr-FR"/>
    </w:rPr>
  </w:style>
  <w:style w:type="paragraph" w:customStyle="1" w:styleId="font6">
    <w:name w:val="font6"/>
    <w:basedOn w:val="Normal"/>
    <w:rsid w:val="00E72A4C"/>
    <w:pPr>
      <w:spacing w:before="100" w:beforeAutospacing="1" w:after="100" w:afterAutospacing="1"/>
    </w:pPr>
    <w:rPr>
      <w:rFonts w:eastAsia="Arial Unicode MS"/>
      <w:b/>
      <w:bCs/>
      <w:lang w:val="fr-FR" w:eastAsia="fr-FR"/>
    </w:rPr>
  </w:style>
  <w:style w:type="paragraph" w:customStyle="1" w:styleId="xl47">
    <w:name w:val="xl47"/>
    <w:basedOn w:val="Normal"/>
    <w:rsid w:val="00E72A4C"/>
    <w:pPr>
      <w:spacing w:before="100" w:beforeAutospacing="1" w:after="100" w:afterAutospacing="1"/>
    </w:pPr>
    <w:rPr>
      <w:rFonts w:eastAsia="Arial Unicode MS"/>
      <w:b/>
      <w:bCs/>
      <w:sz w:val="24"/>
      <w:szCs w:val="24"/>
      <w:lang w:val="fr-FR" w:eastAsia="fr-FR"/>
    </w:rPr>
  </w:style>
  <w:style w:type="paragraph" w:customStyle="1" w:styleId="font7">
    <w:name w:val="font7"/>
    <w:basedOn w:val="Normal"/>
    <w:rsid w:val="00E72A4C"/>
    <w:pPr>
      <w:spacing w:before="100" w:beforeAutospacing="1" w:after="100" w:afterAutospacing="1"/>
    </w:pPr>
    <w:rPr>
      <w:rFonts w:eastAsia="Arial Unicode MS"/>
      <w:b/>
      <w:bCs/>
      <w:sz w:val="16"/>
      <w:szCs w:val="16"/>
      <w:lang w:val="fr-FR" w:eastAsia="fr-FR"/>
    </w:rPr>
  </w:style>
  <w:style w:type="paragraph" w:customStyle="1" w:styleId="font8">
    <w:name w:val="font8"/>
    <w:basedOn w:val="Normal"/>
    <w:rsid w:val="00E72A4C"/>
    <w:pPr>
      <w:spacing w:before="100" w:beforeAutospacing="1" w:after="100" w:afterAutospacing="1"/>
    </w:pPr>
    <w:rPr>
      <w:rFonts w:eastAsia="Arial Unicode MS"/>
      <w:b/>
      <w:bCs/>
      <w:sz w:val="16"/>
      <w:szCs w:val="16"/>
      <w:lang w:val="fr-FR" w:eastAsia="fr-FR"/>
    </w:rPr>
  </w:style>
  <w:style w:type="paragraph" w:customStyle="1" w:styleId="xl48">
    <w:name w:val="xl48"/>
    <w:basedOn w:val="Normal"/>
    <w:rsid w:val="00E72A4C"/>
    <w:pPr>
      <w:spacing w:before="100" w:beforeAutospacing="1" w:after="100" w:afterAutospacing="1"/>
    </w:pPr>
    <w:rPr>
      <w:rFonts w:eastAsia="Arial Unicode MS"/>
      <w:b/>
      <w:bCs/>
      <w:sz w:val="24"/>
      <w:szCs w:val="24"/>
      <w:lang w:val="fr-FR" w:eastAsia="fr-FR"/>
    </w:rPr>
  </w:style>
  <w:style w:type="paragraph" w:customStyle="1" w:styleId="000standaard">
    <w:name w:val="000.standaard"/>
    <w:basedOn w:val="Normal"/>
    <w:rsid w:val="00E72A4C"/>
    <w:pPr>
      <w:overflowPunct w:val="0"/>
      <w:autoSpaceDE w:val="0"/>
      <w:autoSpaceDN w:val="0"/>
      <w:adjustRightInd w:val="0"/>
      <w:spacing w:line="280" w:lineRule="atLeast"/>
      <w:textAlignment w:val="baseline"/>
    </w:pPr>
    <w:rPr>
      <w:sz w:val="24"/>
      <w:lang w:val="nl-NL"/>
    </w:rPr>
  </w:style>
  <w:style w:type="paragraph" w:styleId="ListNumber">
    <w:name w:val="List Number"/>
    <w:basedOn w:val="Normal"/>
    <w:rsid w:val="00E72A4C"/>
    <w:pPr>
      <w:numPr>
        <w:numId w:val="1"/>
      </w:numPr>
      <w:overflowPunct w:val="0"/>
      <w:autoSpaceDE w:val="0"/>
      <w:autoSpaceDN w:val="0"/>
      <w:adjustRightInd w:val="0"/>
      <w:spacing w:after="240" w:line="280" w:lineRule="atLeast"/>
      <w:textAlignment w:val="baseline"/>
    </w:pPr>
    <w:rPr>
      <w:sz w:val="24"/>
    </w:rPr>
  </w:style>
  <w:style w:type="character" w:customStyle="1" w:styleId="txtblue1">
    <w:name w:val="txt_blue1"/>
    <w:basedOn w:val="DefaultParagraphFont"/>
    <w:rsid w:val="00E72A4C"/>
    <w:rPr>
      <w:rFonts w:ascii="Arial" w:hAnsi="Arial" w:cs="Arial" w:hint="default"/>
      <w:color w:val="006699"/>
      <w:sz w:val="20"/>
      <w:szCs w:val="20"/>
    </w:rPr>
  </w:style>
  <w:style w:type="paragraph" w:customStyle="1" w:styleId="xl24">
    <w:name w:val="xl24"/>
    <w:basedOn w:val="Normal"/>
    <w:rsid w:val="00E72A4C"/>
    <w:pPr>
      <w:pBdr>
        <w:bottom w:val="single" w:sz="4" w:space="0" w:color="auto"/>
      </w:pBdr>
      <w:spacing w:before="100" w:beforeAutospacing="1" w:after="100" w:afterAutospacing="1"/>
      <w:jc w:val="center"/>
      <w:textAlignment w:val="top"/>
    </w:pPr>
    <w:rPr>
      <w:rFonts w:eastAsia="Arial Unicode MS"/>
      <w:b/>
      <w:bCs/>
      <w:color w:val="000000"/>
      <w:sz w:val="22"/>
      <w:szCs w:val="22"/>
    </w:rPr>
  </w:style>
  <w:style w:type="paragraph" w:customStyle="1" w:styleId="xl25">
    <w:name w:val="xl25"/>
    <w:basedOn w:val="Normal"/>
    <w:rsid w:val="00E72A4C"/>
    <w:pPr>
      <w:spacing w:before="100" w:beforeAutospacing="1" w:after="100" w:afterAutospacing="1"/>
    </w:pPr>
    <w:rPr>
      <w:rFonts w:eastAsia="Arial Unicode MS"/>
      <w:sz w:val="22"/>
      <w:szCs w:val="22"/>
    </w:rPr>
  </w:style>
  <w:style w:type="paragraph" w:customStyle="1" w:styleId="xl26">
    <w:name w:val="xl26"/>
    <w:basedOn w:val="Normal"/>
    <w:rsid w:val="00E72A4C"/>
    <w:pPr>
      <w:spacing w:before="100" w:beforeAutospacing="1" w:after="100" w:afterAutospacing="1"/>
      <w:textAlignment w:val="top"/>
    </w:pPr>
    <w:rPr>
      <w:rFonts w:eastAsia="Arial Unicode MS"/>
      <w:b/>
      <w:bCs/>
      <w:color w:val="000000"/>
      <w:sz w:val="22"/>
      <w:szCs w:val="22"/>
    </w:rPr>
  </w:style>
  <w:style w:type="paragraph" w:customStyle="1" w:styleId="xl27">
    <w:name w:val="xl27"/>
    <w:basedOn w:val="Normal"/>
    <w:rsid w:val="00E72A4C"/>
    <w:pPr>
      <w:spacing w:before="100" w:beforeAutospacing="1" w:after="100" w:afterAutospacing="1"/>
      <w:jc w:val="right"/>
      <w:textAlignment w:val="top"/>
    </w:pPr>
    <w:rPr>
      <w:rFonts w:eastAsia="Arial Unicode MS"/>
      <w:sz w:val="22"/>
      <w:szCs w:val="22"/>
    </w:rPr>
  </w:style>
  <w:style w:type="paragraph" w:customStyle="1" w:styleId="xl49">
    <w:name w:val="xl49"/>
    <w:basedOn w:val="Normal"/>
    <w:rsid w:val="00E72A4C"/>
    <w:pPr>
      <w:spacing w:before="100" w:beforeAutospacing="1" w:after="100" w:afterAutospacing="1"/>
      <w:jc w:val="center"/>
    </w:pPr>
    <w:rPr>
      <w:rFonts w:eastAsia="Arial Unicode MS"/>
      <w:sz w:val="22"/>
      <w:szCs w:val="22"/>
    </w:rPr>
  </w:style>
  <w:style w:type="paragraph" w:customStyle="1" w:styleId="xl50">
    <w:name w:val="xl50"/>
    <w:basedOn w:val="Normal"/>
    <w:rsid w:val="00E72A4C"/>
    <w:pPr>
      <w:spacing w:before="100" w:beforeAutospacing="1" w:after="100" w:afterAutospacing="1"/>
      <w:jc w:val="right"/>
    </w:pPr>
    <w:rPr>
      <w:rFonts w:eastAsia="Arial Unicode MS"/>
      <w:b/>
      <w:bCs/>
      <w:color w:val="000000"/>
      <w:sz w:val="22"/>
      <w:szCs w:val="22"/>
    </w:rPr>
  </w:style>
  <w:style w:type="paragraph" w:customStyle="1" w:styleId="xl51">
    <w:name w:val="xl51"/>
    <w:basedOn w:val="Normal"/>
    <w:rsid w:val="00E72A4C"/>
    <w:pPr>
      <w:pBdr>
        <w:bottom w:val="single" w:sz="4" w:space="0" w:color="auto"/>
      </w:pBdr>
      <w:spacing w:before="100" w:beforeAutospacing="1" w:after="100" w:afterAutospacing="1"/>
      <w:jc w:val="right"/>
    </w:pPr>
    <w:rPr>
      <w:rFonts w:eastAsia="Arial Unicode MS"/>
      <w:color w:val="000000"/>
      <w:sz w:val="22"/>
      <w:szCs w:val="22"/>
    </w:rPr>
  </w:style>
  <w:style w:type="paragraph" w:customStyle="1" w:styleId="xl52">
    <w:name w:val="xl52"/>
    <w:basedOn w:val="Normal"/>
    <w:rsid w:val="00E72A4C"/>
    <w:pPr>
      <w:spacing w:before="100" w:beforeAutospacing="1" w:after="100" w:afterAutospacing="1"/>
      <w:jc w:val="right"/>
    </w:pPr>
    <w:rPr>
      <w:rFonts w:eastAsia="Arial Unicode MS"/>
      <w:b/>
      <w:bCs/>
      <w:sz w:val="22"/>
      <w:szCs w:val="22"/>
    </w:rPr>
  </w:style>
  <w:style w:type="paragraph" w:customStyle="1" w:styleId="xl53">
    <w:name w:val="xl53"/>
    <w:basedOn w:val="Normal"/>
    <w:rsid w:val="00E72A4C"/>
    <w:pPr>
      <w:pBdr>
        <w:bottom w:val="single" w:sz="4" w:space="0" w:color="auto"/>
      </w:pBdr>
      <w:spacing w:before="100" w:beforeAutospacing="1" w:after="100" w:afterAutospacing="1"/>
      <w:jc w:val="right"/>
    </w:pPr>
    <w:rPr>
      <w:rFonts w:eastAsia="Arial Unicode MS"/>
      <w:b/>
      <w:bCs/>
      <w:color w:val="000000"/>
      <w:sz w:val="22"/>
      <w:szCs w:val="22"/>
    </w:rPr>
  </w:style>
  <w:style w:type="paragraph" w:customStyle="1" w:styleId="xl54">
    <w:name w:val="xl54"/>
    <w:basedOn w:val="Normal"/>
    <w:rsid w:val="00E72A4C"/>
    <w:pPr>
      <w:pBdr>
        <w:bottom w:val="single" w:sz="4" w:space="0" w:color="auto"/>
      </w:pBdr>
      <w:spacing w:before="100" w:beforeAutospacing="1" w:after="100" w:afterAutospacing="1"/>
      <w:jc w:val="right"/>
    </w:pPr>
    <w:rPr>
      <w:rFonts w:eastAsia="Arial Unicode MS"/>
      <w:b/>
      <w:bCs/>
      <w:color w:val="000000"/>
      <w:sz w:val="22"/>
      <w:szCs w:val="22"/>
    </w:rPr>
  </w:style>
  <w:style w:type="paragraph" w:customStyle="1" w:styleId="xl55">
    <w:name w:val="xl55"/>
    <w:basedOn w:val="Normal"/>
    <w:rsid w:val="00E72A4C"/>
    <w:pPr>
      <w:spacing w:before="100" w:beforeAutospacing="1" w:after="100" w:afterAutospacing="1"/>
      <w:jc w:val="right"/>
      <w:textAlignment w:val="top"/>
    </w:pPr>
    <w:rPr>
      <w:rFonts w:eastAsia="Arial Unicode MS"/>
      <w:color w:val="000000"/>
      <w:sz w:val="22"/>
      <w:szCs w:val="22"/>
    </w:rPr>
  </w:style>
  <w:style w:type="paragraph" w:customStyle="1" w:styleId="xl56">
    <w:name w:val="xl56"/>
    <w:basedOn w:val="Normal"/>
    <w:rsid w:val="00E72A4C"/>
    <w:pPr>
      <w:pBdr>
        <w:bottom w:val="single" w:sz="4" w:space="0" w:color="auto"/>
      </w:pBdr>
      <w:spacing w:before="100" w:beforeAutospacing="1" w:after="100" w:afterAutospacing="1"/>
      <w:jc w:val="right"/>
    </w:pPr>
    <w:rPr>
      <w:rFonts w:eastAsia="Arial Unicode MS"/>
      <w:b/>
      <w:bCs/>
      <w:color w:val="000000"/>
      <w:sz w:val="22"/>
      <w:szCs w:val="22"/>
    </w:rPr>
  </w:style>
  <w:style w:type="paragraph" w:customStyle="1" w:styleId="xl57">
    <w:name w:val="xl57"/>
    <w:basedOn w:val="Normal"/>
    <w:rsid w:val="00E72A4C"/>
    <w:pPr>
      <w:pBdr>
        <w:bottom w:val="double" w:sz="6" w:space="0" w:color="auto"/>
      </w:pBdr>
      <w:spacing w:before="100" w:beforeAutospacing="1" w:after="100" w:afterAutospacing="1"/>
      <w:jc w:val="right"/>
    </w:pPr>
    <w:rPr>
      <w:rFonts w:eastAsia="Arial Unicode MS"/>
      <w:b/>
      <w:bCs/>
      <w:color w:val="000000"/>
      <w:sz w:val="22"/>
      <w:szCs w:val="22"/>
    </w:rPr>
  </w:style>
  <w:style w:type="paragraph" w:customStyle="1" w:styleId="xl58">
    <w:name w:val="xl58"/>
    <w:basedOn w:val="Normal"/>
    <w:rsid w:val="00E72A4C"/>
    <w:pPr>
      <w:pBdr>
        <w:bottom w:val="single" w:sz="4" w:space="0" w:color="auto"/>
      </w:pBdr>
      <w:spacing w:before="100" w:beforeAutospacing="1" w:after="100" w:afterAutospacing="1"/>
      <w:jc w:val="center"/>
      <w:textAlignment w:val="top"/>
    </w:pPr>
    <w:rPr>
      <w:rFonts w:eastAsia="Arial Unicode MS"/>
      <w:b/>
      <w:bCs/>
      <w:color w:val="000000"/>
      <w:sz w:val="22"/>
      <w:szCs w:val="22"/>
    </w:rPr>
  </w:style>
  <w:style w:type="paragraph" w:customStyle="1" w:styleId="xl59">
    <w:name w:val="xl59"/>
    <w:basedOn w:val="Normal"/>
    <w:rsid w:val="00E72A4C"/>
    <w:pPr>
      <w:spacing w:before="100" w:beforeAutospacing="1" w:after="100" w:afterAutospacing="1"/>
      <w:jc w:val="center"/>
      <w:textAlignment w:val="top"/>
    </w:pPr>
    <w:rPr>
      <w:rFonts w:eastAsia="Arial Unicode MS"/>
      <w:b/>
      <w:bCs/>
      <w:sz w:val="22"/>
      <w:szCs w:val="22"/>
    </w:rPr>
  </w:style>
  <w:style w:type="paragraph" w:customStyle="1" w:styleId="ReportHeading1">
    <w:name w:val="ReportHeading1"/>
    <w:basedOn w:val="Normal"/>
    <w:rsid w:val="00E72A4C"/>
    <w:pPr>
      <w:framePr w:w="6521" w:h="1055" w:hSpace="142" w:wrap="around" w:vAnchor="page" w:hAnchor="page" w:x="1441" w:y="4452"/>
      <w:spacing w:line="300" w:lineRule="atLeast"/>
    </w:pPr>
    <w:rPr>
      <w:b/>
      <w:sz w:val="24"/>
    </w:rPr>
  </w:style>
  <w:style w:type="paragraph" w:customStyle="1" w:styleId="AANumbering">
    <w:name w:val="AA Numbering"/>
    <w:basedOn w:val="Normal"/>
    <w:rsid w:val="00E72A4C"/>
    <w:pPr>
      <w:numPr>
        <w:numId w:val="2"/>
      </w:numPr>
    </w:pPr>
  </w:style>
  <w:style w:type="paragraph" w:customStyle="1" w:styleId="AAheadingwocontents">
    <w:name w:val="AA heading wo contents"/>
    <w:basedOn w:val="Normal"/>
    <w:rsid w:val="00E72A4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b/>
      <w:sz w:val="22"/>
    </w:rPr>
  </w:style>
  <w:style w:type="paragraph" w:customStyle="1" w:styleId="StandaardOpinion">
    <w:name w:val="StandaardOpinion"/>
    <w:basedOn w:val="Normal"/>
    <w:rsid w:val="00E72A4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sz w:val="22"/>
    </w:rPr>
  </w:style>
  <w:style w:type="paragraph" w:styleId="TOC1">
    <w:name w:val="toc 1"/>
    <w:basedOn w:val="Normal"/>
    <w:next w:val="Normal"/>
    <w:autoRedefine/>
    <w:uiPriority w:val="39"/>
    <w:rsid w:val="006F0CAE"/>
    <w:pPr>
      <w:tabs>
        <w:tab w:val="left" w:pos="0"/>
        <w:tab w:val="left" w:pos="284"/>
        <w:tab w:val="left" w:pos="567"/>
        <w:tab w:val="right" w:leader="dot" w:pos="8505"/>
      </w:tabs>
      <w:spacing w:after="120"/>
    </w:pPr>
    <w:rPr>
      <w:rFonts w:ascii="Arial" w:hAnsi="Arial"/>
      <w:b/>
      <w:bCs/>
      <w:noProof/>
      <w:sz w:val="18"/>
      <w:szCs w:val="18"/>
    </w:rPr>
  </w:style>
  <w:style w:type="paragraph" w:styleId="TOC2">
    <w:name w:val="toc 2"/>
    <w:basedOn w:val="Normal"/>
    <w:next w:val="Normal"/>
    <w:autoRedefine/>
    <w:uiPriority w:val="39"/>
    <w:rsid w:val="00E72A4C"/>
    <w:pPr>
      <w:ind w:right="-74"/>
    </w:pPr>
  </w:style>
  <w:style w:type="paragraph" w:styleId="TOC3">
    <w:name w:val="toc 3"/>
    <w:basedOn w:val="Normal"/>
    <w:next w:val="Normal"/>
    <w:autoRedefine/>
    <w:uiPriority w:val="39"/>
    <w:rsid w:val="00E72A4C"/>
    <w:pPr>
      <w:ind w:left="200"/>
    </w:pPr>
    <w:rPr>
      <w:szCs w:val="24"/>
    </w:rPr>
  </w:style>
  <w:style w:type="paragraph" w:styleId="TOC4">
    <w:name w:val="toc 4"/>
    <w:basedOn w:val="Normal"/>
    <w:next w:val="Normal"/>
    <w:autoRedefine/>
    <w:semiHidden/>
    <w:rsid w:val="00E72A4C"/>
    <w:pPr>
      <w:ind w:left="400"/>
    </w:pPr>
    <w:rPr>
      <w:szCs w:val="24"/>
    </w:rPr>
  </w:style>
  <w:style w:type="paragraph" w:styleId="TOC5">
    <w:name w:val="toc 5"/>
    <w:basedOn w:val="Normal"/>
    <w:next w:val="Normal"/>
    <w:autoRedefine/>
    <w:semiHidden/>
    <w:rsid w:val="00E72A4C"/>
    <w:pPr>
      <w:ind w:left="600"/>
    </w:pPr>
    <w:rPr>
      <w:szCs w:val="24"/>
    </w:rPr>
  </w:style>
  <w:style w:type="paragraph" w:styleId="TOC6">
    <w:name w:val="toc 6"/>
    <w:basedOn w:val="Normal"/>
    <w:next w:val="Normal"/>
    <w:autoRedefine/>
    <w:semiHidden/>
    <w:rsid w:val="00E72A4C"/>
    <w:pPr>
      <w:ind w:left="800"/>
    </w:pPr>
    <w:rPr>
      <w:szCs w:val="24"/>
    </w:rPr>
  </w:style>
  <w:style w:type="paragraph" w:styleId="TOC7">
    <w:name w:val="toc 7"/>
    <w:basedOn w:val="Normal"/>
    <w:next w:val="Normal"/>
    <w:autoRedefine/>
    <w:semiHidden/>
    <w:rsid w:val="00E72A4C"/>
    <w:pPr>
      <w:ind w:left="1000"/>
    </w:pPr>
    <w:rPr>
      <w:szCs w:val="24"/>
    </w:rPr>
  </w:style>
  <w:style w:type="paragraph" w:styleId="TOC8">
    <w:name w:val="toc 8"/>
    <w:basedOn w:val="Normal"/>
    <w:next w:val="Normal"/>
    <w:autoRedefine/>
    <w:semiHidden/>
    <w:rsid w:val="00E72A4C"/>
    <w:pPr>
      <w:ind w:left="1200"/>
    </w:pPr>
    <w:rPr>
      <w:szCs w:val="24"/>
    </w:rPr>
  </w:style>
  <w:style w:type="paragraph" w:styleId="TOC9">
    <w:name w:val="toc 9"/>
    <w:basedOn w:val="Normal"/>
    <w:next w:val="Normal"/>
    <w:autoRedefine/>
    <w:semiHidden/>
    <w:rsid w:val="00E72A4C"/>
    <w:pPr>
      <w:ind w:left="1400"/>
    </w:pPr>
    <w:rPr>
      <w:szCs w:val="24"/>
    </w:rPr>
  </w:style>
  <w:style w:type="paragraph" w:customStyle="1" w:styleId="a0">
    <w:name w:val="хдипьв"/>
    <w:basedOn w:val="Heading2"/>
    <w:rsid w:val="00E72A4C"/>
    <w:pPr>
      <w:tabs>
        <w:tab w:val="left" w:pos="227"/>
        <w:tab w:val="left" w:pos="454"/>
        <w:tab w:val="left" w:pos="680"/>
        <w:tab w:val="left" w:pos="907"/>
      </w:tabs>
      <w:spacing w:before="0" w:after="0"/>
    </w:pPr>
    <w:rPr>
      <w:sz w:val="20"/>
    </w:rPr>
  </w:style>
  <w:style w:type="paragraph" w:styleId="ListBullet">
    <w:name w:val="List Bullet"/>
    <w:basedOn w:val="Normal"/>
    <w:rsid w:val="00E72A4C"/>
    <w:pPr>
      <w:numPr>
        <w:numId w:val="3"/>
      </w:numPr>
      <w:tabs>
        <w:tab w:val="clear" w:pos="360"/>
        <w:tab w:val="left" w:pos="227"/>
        <w:tab w:val="left" w:pos="284"/>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284" w:hanging="284"/>
    </w:pPr>
  </w:style>
  <w:style w:type="paragraph" w:styleId="ListBullet2">
    <w:name w:val="List Bullet 2"/>
    <w:basedOn w:val="Normal"/>
    <w:rsid w:val="00E72A4C"/>
    <w:pPr>
      <w:numPr>
        <w:numId w:val="4"/>
      </w:numPr>
      <w:tabs>
        <w:tab w:val="clear" w:pos="720"/>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851" w:hanging="284"/>
    </w:pPr>
  </w:style>
  <w:style w:type="paragraph" w:styleId="ListBullet3">
    <w:name w:val="List Bullet 3"/>
    <w:basedOn w:val="Normal"/>
    <w:rsid w:val="00E72A4C"/>
    <w:pPr>
      <w:numPr>
        <w:numId w:val="5"/>
      </w:numPr>
      <w:tabs>
        <w:tab w:val="clear" w:pos="1080"/>
        <w:tab w:val="left" w:pos="227"/>
        <w:tab w:val="left" w:pos="454"/>
        <w:tab w:val="left" w:pos="680"/>
        <w:tab w:val="left" w:pos="851"/>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135" w:hanging="284"/>
    </w:pPr>
  </w:style>
  <w:style w:type="paragraph" w:styleId="ListBullet4">
    <w:name w:val="List Bullet 4"/>
    <w:basedOn w:val="Normal"/>
    <w:rsid w:val="00E72A4C"/>
    <w:pPr>
      <w:numPr>
        <w:numId w:val="6"/>
      </w:numPr>
      <w:tabs>
        <w:tab w:val="clear" w:pos="1440"/>
        <w:tab w:val="left" w:pos="227"/>
        <w:tab w:val="left" w:pos="454"/>
        <w:tab w:val="left" w:pos="680"/>
        <w:tab w:val="left" w:pos="907"/>
        <w:tab w:val="left" w:pos="1134"/>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418" w:hanging="284"/>
    </w:pPr>
  </w:style>
  <w:style w:type="paragraph" w:styleId="ListNumber2">
    <w:name w:val="List Number 2"/>
    <w:basedOn w:val="Normal"/>
    <w:rsid w:val="00E72A4C"/>
    <w:pPr>
      <w:numPr>
        <w:numId w:val="7"/>
      </w:numPr>
      <w:tabs>
        <w:tab w:val="clear" w:pos="720"/>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851" w:hanging="284"/>
    </w:pPr>
  </w:style>
  <w:style w:type="paragraph" w:styleId="ListNumber3">
    <w:name w:val="List Number 3"/>
    <w:basedOn w:val="Normal"/>
    <w:rsid w:val="00E72A4C"/>
    <w:pPr>
      <w:numPr>
        <w:numId w:val="8"/>
      </w:numPr>
      <w:tabs>
        <w:tab w:val="clear" w:pos="1080"/>
        <w:tab w:val="left" w:pos="227"/>
        <w:tab w:val="left" w:pos="454"/>
        <w:tab w:val="left" w:pos="680"/>
        <w:tab w:val="left" w:pos="851"/>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135" w:hanging="284"/>
    </w:pPr>
  </w:style>
  <w:style w:type="paragraph" w:styleId="ListNumber5">
    <w:name w:val="List Number 5"/>
    <w:basedOn w:val="Normal"/>
    <w:rsid w:val="00E72A4C"/>
    <w:pPr>
      <w:numPr>
        <w:numId w:val="9"/>
      </w:numPr>
      <w:tabs>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418" w:hanging="284"/>
    </w:pPr>
  </w:style>
  <w:style w:type="paragraph" w:styleId="ListNumber4">
    <w:name w:val="List Number 4"/>
    <w:basedOn w:val="Normal"/>
    <w:rsid w:val="00E72A4C"/>
    <w:pPr>
      <w:numPr>
        <w:numId w:val="10"/>
      </w:numPr>
      <w:tabs>
        <w:tab w:val="clear" w:pos="1440"/>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209"/>
    </w:pPr>
  </w:style>
  <w:style w:type="paragraph" w:styleId="ListBullet5">
    <w:name w:val="List Bullet 5"/>
    <w:basedOn w:val="Normal"/>
    <w:rsid w:val="00E72A4C"/>
    <w:pPr>
      <w:numPr>
        <w:numId w:val="11"/>
      </w:numPr>
      <w:tabs>
        <w:tab w:val="clear" w:pos="1800"/>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702" w:hanging="284"/>
    </w:pPr>
  </w:style>
  <w:style w:type="paragraph" w:customStyle="1" w:styleId="AA1stlevelbullet">
    <w:name w:val="AA 1st level bullet"/>
    <w:basedOn w:val="Normal"/>
    <w:rsid w:val="00E72A4C"/>
    <w:pPr>
      <w:numPr>
        <w:numId w:val="14"/>
      </w:numPr>
      <w:tabs>
        <w:tab w:val="left" w:pos="227"/>
      </w:tabs>
    </w:pPr>
  </w:style>
  <w:style w:type="paragraph" w:customStyle="1" w:styleId="AA2ndlevelbullet">
    <w:name w:val="AA 2nd level bullet"/>
    <w:basedOn w:val="AA1stlevelbullet"/>
    <w:rsid w:val="00E72A4C"/>
    <w:pPr>
      <w:numPr>
        <w:numId w:val="12"/>
      </w:numPr>
      <w:tabs>
        <w:tab w:val="clear" w:pos="227"/>
        <w:tab w:val="left" w:pos="454"/>
        <w:tab w:val="left" w:pos="680"/>
        <w:tab w:val="left" w:pos="907"/>
      </w:tabs>
      <w:ind w:left="454" w:hanging="227"/>
    </w:pPr>
  </w:style>
  <w:style w:type="paragraph" w:customStyle="1" w:styleId="ParagraphNumbering">
    <w:name w:val="Paragraph Numbering"/>
    <w:basedOn w:val="Header"/>
    <w:rsid w:val="00E72A4C"/>
    <w:pPr>
      <w:numPr>
        <w:numId w:val="13"/>
      </w:numPr>
      <w:tabs>
        <w:tab w:val="clear" w:pos="705"/>
        <w:tab w:val="clear" w:pos="4320"/>
        <w:tab w:val="clear" w:pos="8640"/>
        <w:tab w:val="left" w:pos="284"/>
      </w:tabs>
      <w:ind w:left="0" w:firstLine="0"/>
    </w:pPr>
    <w:rPr>
      <w:rFonts w:ascii="Times New Roman" w:hAnsi="Times New Roman"/>
      <w:sz w:val="20"/>
    </w:rPr>
  </w:style>
  <w:style w:type="paragraph" w:styleId="CommentText">
    <w:name w:val="annotation text"/>
    <w:basedOn w:val="Normal"/>
    <w:link w:val="CommentTextChar"/>
    <w:rsid w:val="00E72A4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pPr>
  </w:style>
  <w:style w:type="paragraph" w:customStyle="1" w:styleId="NormalText0">
    <w:name w:val="Normal Text"/>
    <w:basedOn w:val="Normal"/>
    <w:rsid w:val="00E72A4C"/>
    <w:pPr>
      <w:spacing w:after="240"/>
    </w:pPr>
  </w:style>
  <w:style w:type="paragraph" w:styleId="PlainText">
    <w:name w:val="Plain Text"/>
    <w:basedOn w:val="Normal"/>
    <w:rsid w:val="00E72A4C"/>
    <w:pPr>
      <w:spacing w:line="240" w:lineRule="auto"/>
      <w:jc w:val="left"/>
    </w:pPr>
    <w:rPr>
      <w:rFonts w:ascii="Courier New" w:hAnsi="Courier New"/>
    </w:rPr>
  </w:style>
  <w:style w:type="paragraph" w:styleId="Index1">
    <w:name w:val="index 1"/>
    <w:basedOn w:val="Normal"/>
    <w:next w:val="Normal"/>
    <w:autoRedefine/>
    <w:semiHidden/>
    <w:rsid w:val="00E72A4C"/>
    <w:pPr>
      <w:ind w:left="200" w:hanging="200"/>
    </w:pPr>
  </w:style>
  <w:style w:type="paragraph" w:styleId="Index2">
    <w:name w:val="index 2"/>
    <w:basedOn w:val="Normal"/>
    <w:next w:val="Normal"/>
    <w:autoRedefine/>
    <w:semiHidden/>
    <w:rsid w:val="00E72A4C"/>
    <w:pPr>
      <w:ind w:left="400" w:hanging="200"/>
    </w:pPr>
  </w:style>
  <w:style w:type="paragraph" w:styleId="Index3">
    <w:name w:val="index 3"/>
    <w:basedOn w:val="Normal"/>
    <w:next w:val="Normal"/>
    <w:autoRedefine/>
    <w:semiHidden/>
    <w:rsid w:val="00E72A4C"/>
    <w:pPr>
      <w:ind w:left="600" w:hanging="200"/>
    </w:pPr>
  </w:style>
  <w:style w:type="paragraph" w:styleId="Index4">
    <w:name w:val="index 4"/>
    <w:basedOn w:val="Normal"/>
    <w:next w:val="Normal"/>
    <w:autoRedefine/>
    <w:semiHidden/>
    <w:rsid w:val="00E72A4C"/>
    <w:pPr>
      <w:ind w:left="800" w:hanging="200"/>
    </w:pPr>
  </w:style>
  <w:style w:type="paragraph" w:styleId="Index5">
    <w:name w:val="index 5"/>
    <w:basedOn w:val="Normal"/>
    <w:next w:val="Normal"/>
    <w:autoRedefine/>
    <w:semiHidden/>
    <w:rsid w:val="00E72A4C"/>
    <w:pPr>
      <w:ind w:left="1000" w:hanging="200"/>
    </w:pPr>
  </w:style>
  <w:style w:type="paragraph" w:styleId="Index6">
    <w:name w:val="index 6"/>
    <w:basedOn w:val="Normal"/>
    <w:next w:val="Normal"/>
    <w:autoRedefine/>
    <w:semiHidden/>
    <w:rsid w:val="00E72A4C"/>
    <w:pPr>
      <w:ind w:left="1200" w:hanging="200"/>
    </w:pPr>
  </w:style>
  <w:style w:type="paragraph" w:styleId="Index7">
    <w:name w:val="index 7"/>
    <w:basedOn w:val="Normal"/>
    <w:next w:val="Normal"/>
    <w:autoRedefine/>
    <w:semiHidden/>
    <w:rsid w:val="00E72A4C"/>
    <w:pPr>
      <w:ind w:left="1400" w:hanging="200"/>
    </w:pPr>
  </w:style>
  <w:style w:type="paragraph" w:styleId="Index8">
    <w:name w:val="index 8"/>
    <w:basedOn w:val="Normal"/>
    <w:next w:val="Normal"/>
    <w:autoRedefine/>
    <w:semiHidden/>
    <w:rsid w:val="00E72A4C"/>
    <w:pPr>
      <w:ind w:left="1600" w:hanging="200"/>
    </w:pPr>
  </w:style>
  <w:style w:type="paragraph" w:styleId="Index9">
    <w:name w:val="index 9"/>
    <w:basedOn w:val="Normal"/>
    <w:next w:val="Normal"/>
    <w:autoRedefine/>
    <w:semiHidden/>
    <w:rsid w:val="00E72A4C"/>
    <w:pPr>
      <w:ind w:left="1800" w:hanging="200"/>
    </w:pPr>
  </w:style>
  <w:style w:type="paragraph" w:styleId="IndexHeading">
    <w:name w:val="index heading"/>
    <w:basedOn w:val="Normal"/>
    <w:next w:val="Index1"/>
    <w:semiHidden/>
    <w:rsid w:val="00E72A4C"/>
  </w:style>
  <w:style w:type="paragraph" w:styleId="List">
    <w:name w:val="List"/>
    <w:basedOn w:val="Normal"/>
    <w:rsid w:val="00E72A4C"/>
    <w:pPr>
      <w:spacing w:line="240" w:lineRule="auto"/>
      <w:ind w:left="283" w:hanging="283"/>
      <w:jc w:val="left"/>
    </w:pPr>
    <w:rPr>
      <w:lang w:val="en-AU"/>
    </w:rPr>
  </w:style>
  <w:style w:type="paragraph" w:styleId="ListContinue">
    <w:name w:val="List Continue"/>
    <w:basedOn w:val="Normal"/>
    <w:rsid w:val="00E72A4C"/>
    <w:pPr>
      <w:spacing w:after="120" w:line="240" w:lineRule="auto"/>
      <w:ind w:left="283"/>
      <w:jc w:val="left"/>
    </w:pPr>
    <w:rPr>
      <w:lang w:val="en-AU"/>
    </w:rPr>
  </w:style>
  <w:style w:type="character" w:customStyle="1" w:styleId="siyahminitext1">
    <w:name w:val="siyahminitext1"/>
    <w:basedOn w:val="DefaultParagraphFont"/>
    <w:rsid w:val="00E72A4C"/>
    <w:rPr>
      <w:rFonts w:ascii="Tahoma" w:hAnsi="Tahoma" w:cs="Tahoma" w:hint="default"/>
      <w:b/>
      <w:bCs/>
      <w:i w:val="0"/>
      <w:iCs w:val="0"/>
      <w:color w:val="000000"/>
      <w:spacing w:val="240"/>
      <w:sz w:val="18"/>
      <w:szCs w:val="18"/>
    </w:rPr>
  </w:style>
  <w:style w:type="character" w:styleId="CommentReference">
    <w:name w:val="annotation reference"/>
    <w:basedOn w:val="DefaultParagraphFont"/>
    <w:rsid w:val="00E72A4C"/>
    <w:rPr>
      <w:sz w:val="16"/>
      <w:szCs w:val="16"/>
    </w:rPr>
  </w:style>
  <w:style w:type="paragraph" w:styleId="BalloonText">
    <w:name w:val="Balloon Text"/>
    <w:basedOn w:val="Normal"/>
    <w:semiHidden/>
    <w:rsid w:val="00E72A4C"/>
    <w:rPr>
      <w:rFonts w:ascii="Tahoma" w:hAnsi="Tahoma" w:cs="Tahoma"/>
      <w:sz w:val="16"/>
      <w:szCs w:val="16"/>
    </w:rPr>
  </w:style>
  <w:style w:type="paragraph" w:styleId="CommentSubject">
    <w:name w:val="annotation subject"/>
    <w:basedOn w:val="CommentText"/>
    <w:next w:val="CommentText"/>
    <w:semiHidden/>
    <w:rsid w:val="00E72A4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pPr>
    <w:rPr>
      <w:b/>
      <w:bCs/>
    </w:rPr>
  </w:style>
  <w:style w:type="paragraph" w:customStyle="1" w:styleId="indent1">
    <w:name w:val="indent1"/>
    <w:basedOn w:val="Normal"/>
    <w:uiPriority w:val="99"/>
    <w:rsid w:val="00E72A4C"/>
    <w:pPr>
      <w:numPr>
        <w:numId w:val="15"/>
      </w:numPr>
      <w:tabs>
        <w:tab w:val="left" w:pos="810"/>
        <w:tab w:val="left" w:pos="1440"/>
      </w:tabs>
      <w:overflowPunct w:val="0"/>
      <w:autoSpaceDE w:val="0"/>
      <w:autoSpaceDN w:val="0"/>
      <w:adjustRightInd w:val="0"/>
      <w:spacing w:after="60" w:line="220" w:lineRule="exact"/>
      <w:jc w:val="left"/>
      <w:textAlignment w:val="baseline"/>
    </w:pPr>
    <w:rPr>
      <w:rFonts w:ascii="EY Gothic Comp BookPS" w:hAnsi="EY Gothic Comp BookPS"/>
      <w:lang w:val="en-GB"/>
    </w:rPr>
  </w:style>
  <w:style w:type="character" w:customStyle="1" w:styleId="cs-901-bold1">
    <w:name w:val="cs-901-bold1"/>
    <w:basedOn w:val="DefaultParagraphFont"/>
    <w:rsid w:val="003D621D"/>
    <w:rPr>
      <w:b/>
      <w:bCs/>
    </w:rPr>
  </w:style>
  <w:style w:type="character" w:customStyle="1" w:styleId="italsubhdChar">
    <w:name w:val="italsubhd Char"/>
    <w:basedOn w:val="DefaultParagraphFont"/>
    <w:rsid w:val="00E72A4C"/>
    <w:rPr>
      <w:rFonts w:ascii="EY Gothic Comp BookPS" w:hAnsi="EY Gothic Comp BookPS"/>
      <w:i/>
      <w:iCs/>
      <w:noProof/>
      <w:color w:val="000000"/>
      <w:lang w:val="en-GB" w:eastAsia="en-US" w:bidi="ar-SA"/>
    </w:rPr>
  </w:style>
  <w:style w:type="paragraph" w:customStyle="1" w:styleId="italsubhd">
    <w:name w:val="italsubhd"/>
    <w:basedOn w:val="Normal"/>
    <w:rsid w:val="00E72A4C"/>
    <w:pPr>
      <w:tabs>
        <w:tab w:val="right" w:leader="dot" w:pos="9739"/>
      </w:tabs>
      <w:overflowPunct w:val="0"/>
      <w:autoSpaceDE w:val="0"/>
      <w:autoSpaceDN w:val="0"/>
      <w:adjustRightInd w:val="0"/>
      <w:spacing w:before="60" w:line="240" w:lineRule="exact"/>
      <w:jc w:val="left"/>
      <w:textAlignment w:val="baseline"/>
    </w:pPr>
    <w:rPr>
      <w:rFonts w:ascii="EY Gothic Comp BookPS" w:hAnsi="EY Gothic Comp BookPS"/>
      <w:i/>
      <w:iCs/>
      <w:noProof/>
      <w:color w:val="000000"/>
      <w:lang w:val="en-GB"/>
    </w:rPr>
  </w:style>
  <w:style w:type="character" w:customStyle="1" w:styleId="tabletxteygChar">
    <w:name w:val="tabletxt eyg Char"/>
    <w:basedOn w:val="DefaultParagraphFont"/>
    <w:uiPriority w:val="99"/>
    <w:rsid w:val="00E72A4C"/>
    <w:rPr>
      <w:rFonts w:ascii="EY Gothic Comp BookPS" w:hAnsi="EY Gothic Comp BookPS"/>
      <w:color w:val="000000"/>
      <w:lang w:val="en-GB" w:eastAsia="en-US" w:bidi="ar-SA"/>
    </w:rPr>
  </w:style>
  <w:style w:type="paragraph" w:customStyle="1" w:styleId="tabletxteyg">
    <w:name w:val="tabletxt eyg"/>
    <w:basedOn w:val="Normal"/>
    <w:uiPriority w:val="99"/>
    <w:rsid w:val="00E72A4C"/>
    <w:pPr>
      <w:tabs>
        <w:tab w:val="right" w:leader="dot" w:pos="9739"/>
      </w:tabs>
      <w:overflowPunct w:val="0"/>
      <w:autoSpaceDE w:val="0"/>
      <w:autoSpaceDN w:val="0"/>
      <w:adjustRightInd w:val="0"/>
      <w:spacing w:after="80" w:line="240" w:lineRule="exact"/>
      <w:jc w:val="left"/>
      <w:textAlignment w:val="baseline"/>
    </w:pPr>
    <w:rPr>
      <w:rFonts w:ascii="EY Gothic Comp BookPS" w:hAnsi="EY Gothic Comp BookPS"/>
      <w:color w:val="000000"/>
      <w:lang w:val="en-GB"/>
    </w:rPr>
  </w:style>
  <w:style w:type="paragraph" w:customStyle="1" w:styleId="dheader">
    <w:name w:val="#d header"/>
    <w:basedOn w:val="Normal"/>
    <w:rsid w:val="00E72A4C"/>
    <w:pPr>
      <w:keepNext/>
      <w:overflowPunct w:val="0"/>
      <w:autoSpaceDE w:val="0"/>
      <w:autoSpaceDN w:val="0"/>
      <w:adjustRightInd w:val="0"/>
      <w:spacing w:before="120" w:after="60" w:line="240" w:lineRule="exact"/>
      <w:ind w:left="360" w:hanging="360"/>
      <w:jc w:val="left"/>
      <w:textAlignment w:val="baseline"/>
      <w:outlineLvl w:val="1"/>
    </w:pPr>
    <w:rPr>
      <w:rFonts w:ascii="EY Gothic Cond DemiPS" w:hAnsi="EY Gothic Cond DemiPS"/>
      <w:color w:val="000080"/>
      <w:sz w:val="22"/>
      <w:szCs w:val="22"/>
      <w:lang w:val="en-GB"/>
    </w:rPr>
  </w:style>
  <w:style w:type="paragraph" w:customStyle="1" w:styleId="bluesubhead">
    <w:name w:val="blue subhead"/>
    <w:basedOn w:val="Normal"/>
    <w:rsid w:val="00E72A4C"/>
    <w:pPr>
      <w:overflowPunct w:val="0"/>
      <w:autoSpaceDE w:val="0"/>
      <w:autoSpaceDN w:val="0"/>
      <w:adjustRightInd w:val="0"/>
      <w:spacing w:line="240" w:lineRule="exact"/>
      <w:jc w:val="left"/>
      <w:textAlignment w:val="baseline"/>
    </w:pPr>
    <w:rPr>
      <w:rFonts w:ascii="EY Gothic Comp BookPS" w:hAnsi="EY Gothic Comp BookPS"/>
      <w:b/>
      <w:color w:val="000080"/>
    </w:rPr>
  </w:style>
  <w:style w:type="character" w:customStyle="1" w:styleId="dheaderChar">
    <w:name w:val="#d header Char"/>
    <w:basedOn w:val="DefaultParagraphFont"/>
    <w:rsid w:val="00E72A4C"/>
    <w:rPr>
      <w:rFonts w:ascii="EY Gothic Cond DemiPS" w:hAnsi="EY Gothic Cond DemiPS"/>
      <w:color w:val="000080"/>
      <w:sz w:val="22"/>
      <w:szCs w:val="22"/>
      <w:lang w:val="en-GB" w:eastAsia="en-US" w:bidi="ar-SA"/>
    </w:rPr>
  </w:style>
  <w:style w:type="paragraph" w:customStyle="1" w:styleId="body">
    <w:name w:val="body"/>
    <w:basedOn w:val="Normal"/>
    <w:rsid w:val="00E72A4C"/>
    <w:pPr>
      <w:overflowPunct w:val="0"/>
      <w:autoSpaceDE w:val="0"/>
      <w:autoSpaceDN w:val="0"/>
      <w:adjustRightInd w:val="0"/>
      <w:spacing w:after="120" w:line="240" w:lineRule="exact"/>
      <w:jc w:val="left"/>
      <w:textAlignment w:val="baseline"/>
    </w:pPr>
    <w:rPr>
      <w:rFonts w:ascii="TimesNewRomanPS" w:hAnsi="TimesNewRomanPS"/>
      <w:color w:val="000000"/>
      <w:lang w:val="en-GB"/>
    </w:rPr>
  </w:style>
  <w:style w:type="character" w:customStyle="1" w:styleId="bodyChar">
    <w:name w:val="body Char"/>
    <w:basedOn w:val="DefaultParagraphFont"/>
    <w:rsid w:val="00E72A4C"/>
    <w:rPr>
      <w:rFonts w:ascii="TimesNewRomanPS" w:hAnsi="TimesNewRomanPS"/>
      <w:color w:val="000000"/>
      <w:lang w:val="en-GB" w:eastAsia="en-US" w:bidi="ar-SA"/>
    </w:rPr>
  </w:style>
  <w:style w:type="paragraph" w:customStyle="1" w:styleId="indent2">
    <w:name w:val="indent2"/>
    <w:basedOn w:val="Normal"/>
    <w:rsid w:val="00E72A4C"/>
    <w:pPr>
      <w:numPr>
        <w:numId w:val="16"/>
      </w:numPr>
      <w:overflowPunct w:val="0"/>
      <w:autoSpaceDE w:val="0"/>
      <w:autoSpaceDN w:val="0"/>
      <w:adjustRightInd w:val="0"/>
      <w:spacing w:after="60" w:line="220" w:lineRule="exact"/>
      <w:jc w:val="left"/>
      <w:textAlignment w:val="baseline"/>
    </w:pPr>
    <w:rPr>
      <w:rFonts w:ascii="EY Gothic Comp BookPS" w:hAnsi="EY Gothic Comp BookPS"/>
      <w:lang w:val="en-GB"/>
    </w:rPr>
  </w:style>
  <w:style w:type="paragraph" w:customStyle="1" w:styleId="heading20">
    <w:name w:val="heading2"/>
    <w:basedOn w:val="Normal"/>
    <w:rsid w:val="00E72A4C"/>
    <w:pPr>
      <w:overflowPunct w:val="0"/>
      <w:autoSpaceDE w:val="0"/>
      <w:autoSpaceDN w:val="0"/>
      <w:adjustRightInd w:val="0"/>
      <w:spacing w:before="120" w:after="60" w:line="240" w:lineRule="auto"/>
      <w:jc w:val="left"/>
      <w:textAlignment w:val="baseline"/>
      <w:outlineLvl w:val="1"/>
    </w:pPr>
    <w:rPr>
      <w:rFonts w:ascii="EY Gothic Cond MedPS" w:hAnsi="EY Gothic Cond MedPS"/>
      <w:bCs/>
      <w:i/>
      <w:sz w:val="22"/>
      <w:szCs w:val="22"/>
    </w:rPr>
  </w:style>
  <w:style w:type="paragraph" w:customStyle="1" w:styleId="ps-020-bullet-10">
    <w:name w:val="ps-020-bullet-10"/>
    <w:basedOn w:val="Normal"/>
    <w:rsid w:val="00E72A4C"/>
    <w:pPr>
      <w:spacing w:after="120" w:line="240" w:lineRule="auto"/>
      <w:ind w:left="660" w:hanging="620"/>
      <w:jc w:val="left"/>
    </w:pPr>
    <w:rPr>
      <w:rFonts w:ascii="Verdana" w:hAnsi="Verdana"/>
      <w:color w:val="000000"/>
    </w:rPr>
  </w:style>
  <w:style w:type="paragraph" w:customStyle="1" w:styleId="ps-021-bullet-a">
    <w:name w:val="ps-021-bullet-a"/>
    <w:basedOn w:val="Normal"/>
    <w:rsid w:val="00E72A4C"/>
    <w:pPr>
      <w:spacing w:after="120" w:line="240" w:lineRule="auto"/>
      <w:ind w:left="1400" w:hanging="640"/>
      <w:jc w:val="left"/>
    </w:pPr>
    <w:rPr>
      <w:rFonts w:ascii="Verdana" w:hAnsi="Verdana"/>
      <w:color w:val="000000"/>
    </w:rPr>
  </w:style>
  <w:style w:type="paragraph" w:customStyle="1" w:styleId="Bulletindent">
    <w:name w:val="Bullet indent"/>
    <w:basedOn w:val="Normal"/>
    <w:rsid w:val="0036345C"/>
    <w:pPr>
      <w:widowControl w:val="0"/>
      <w:numPr>
        <w:numId w:val="17"/>
      </w:numPr>
      <w:overflowPunct w:val="0"/>
      <w:autoSpaceDE w:val="0"/>
      <w:autoSpaceDN w:val="0"/>
      <w:adjustRightInd w:val="0"/>
      <w:spacing w:line="280" w:lineRule="exact"/>
      <w:textAlignment w:val="baseline"/>
    </w:pPr>
    <w:rPr>
      <w:sz w:val="22"/>
    </w:rPr>
  </w:style>
  <w:style w:type="paragraph" w:styleId="NormalWeb">
    <w:name w:val="Normal (Web)"/>
    <w:basedOn w:val="Normal"/>
    <w:uiPriority w:val="99"/>
    <w:rsid w:val="005E07DB"/>
    <w:pPr>
      <w:spacing w:before="100" w:beforeAutospacing="1" w:after="100" w:afterAutospacing="1" w:line="240" w:lineRule="auto"/>
      <w:jc w:val="left"/>
    </w:pPr>
    <w:rPr>
      <w:sz w:val="24"/>
      <w:szCs w:val="24"/>
    </w:rPr>
  </w:style>
  <w:style w:type="paragraph" w:customStyle="1" w:styleId="Style1">
    <w:name w:val="Style1"/>
    <w:basedOn w:val="Heading1"/>
    <w:rsid w:val="000B4E8D"/>
    <w:rPr>
      <w:color w:val="FFFFFF"/>
    </w:rPr>
  </w:style>
  <w:style w:type="paragraph" w:customStyle="1" w:styleId="CharCharCharCarattereCarattereCharCharCharCharCharCharCharCharCharChar">
    <w:name w:val="Char Char Char Carattere Carattere Char Char Char Char Char Char Char Char Char Char"/>
    <w:basedOn w:val="Normal"/>
    <w:semiHidden/>
    <w:rsid w:val="0047582E"/>
    <w:pPr>
      <w:spacing w:after="160" w:line="240" w:lineRule="exact"/>
      <w:jc w:val="left"/>
    </w:pPr>
    <w:rPr>
      <w:rFonts w:ascii="Tahoma" w:hAnsi="Tahoma"/>
      <w:sz w:val="18"/>
    </w:rPr>
  </w:style>
  <w:style w:type="paragraph" w:customStyle="1" w:styleId="--">
    <w:name w:val="--&gt;"/>
    <w:uiPriority w:val="99"/>
    <w:rsid w:val="00B243DD"/>
    <w:pPr>
      <w:overflowPunct w:val="0"/>
      <w:autoSpaceDE w:val="0"/>
      <w:autoSpaceDN w:val="0"/>
      <w:adjustRightInd w:val="0"/>
      <w:textAlignment w:val="baseline"/>
    </w:pPr>
    <w:rPr>
      <w:lang w:val="en-GB" w:eastAsia="en-US"/>
    </w:rPr>
  </w:style>
  <w:style w:type="table" w:styleId="TableGrid">
    <w:name w:val="Table Grid"/>
    <w:basedOn w:val="TableNormal"/>
    <w:rsid w:val="00B475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xtns">
    <w:name w:val="tabletxtns"/>
    <w:basedOn w:val="Normal"/>
    <w:link w:val="tabletxtnsChar"/>
    <w:rsid w:val="00B475BE"/>
    <w:pPr>
      <w:overflowPunct w:val="0"/>
      <w:autoSpaceDE w:val="0"/>
      <w:autoSpaceDN w:val="0"/>
      <w:adjustRightInd w:val="0"/>
      <w:spacing w:before="20" w:line="200" w:lineRule="exact"/>
      <w:jc w:val="left"/>
      <w:textAlignment w:val="baseline"/>
    </w:pPr>
    <w:rPr>
      <w:rFonts w:ascii="EY Gothic Comp BookPS" w:hAnsi="EY Gothic Comp BookPS"/>
      <w:color w:val="000000"/>
      <w:lang w:val="en-GB"/>
    </w:rPr>
  </w:style>
  <w:style w:type="paragraph" w:customStyle="1" w:styleId="tabletxthd">
    <w:name w:val="tabletxthd"/>
    <w:basedOn w:val="Normal"/>
    <w:link w:val="tabletxthdChar"/>
    <w:rsid w:val="00B475BE"/>
    <w:pPr>
      <w:overflowPunct w:val="0"/>
      <w:autoSpaceDE w:val="0"/>
      <w:autoSpaceDN w:val="0"/>
      <w:adjustRightInd w:val="0"/>
      <w:spacing w:before="20" w:line="200" w:lineRule="exact"/>
      <w:jc w:val="left"/>
      <w:textAlignment w:val="baseline"/>
    </w:pPr>
    <w:rPr>
      <w:rFonts w:ascii="EY Gothic Comp BookPS" w:hAnsi="EY Gothic Comp BookPS"/>
      <w:b/>
      <w:bCs/>
      <w:noProof/>
      <w:color w:val="000000"/>
      <w:lang w:val="en-GB"/>
    </w:rPr>
  </w:style>
  <w:style w:type="paragraph" w:customStyle="1" w:styleId="tabletxthdital">
    <w:name w:val="tabletxt hdital"/>
    <w:basedOn w:val="Normal"/>
    <w:rsid w:val="00B475BE"/>
    <w:pPr>
      <w:tabs>
        <w:tab w:val="decimal" w:pos="782"/>
      </w:tabs>
      <w:overflowPunct w:val="0"/>
      <w:autoSpaceDE w:val="0"/>
      <w:autoSpaceDN w:val="0"/>
      <w:adjustRightInd w:val="0"/>
      <w:spacing w:before="20" w:line="200" w:lineRule="exact"/>
      <w:jc w:val="left"/>
      <w:textAlignment w:val="baseline"/>
    </w:pPr>
    <w:rPr>
      <w:rFonts w:ascii="EY Gothic Comp BookPS" w:hAnsi="EY Gothic Comp BookPS"/>
      <w:i/>
      <w:lang w:val="en-GB"/>
    </w:rPr>
  </w:style>
  <w:style w:type="paragraph" w:customStyle="1" w:styleId="tabletxtssm">
    <w:name w:val="tabletxt #s sm"/>
    <w:basedOn w:val="Normal"/>
    <w:link w:val="tabletxtssmChar"/>
    <w:rsid w:val="00B475BE"/>
    <w:pPr>
      <w:tabs>
        <w:tab w:val="decimal" w:pos="504"/>
      </w:tabs>
      <w:overflowPunct w:val="0"/>
      <w:autoSpaceDE w:val="0"/>
      <w:autoSpaceDN w:val="0"/>
      <w:adjustRightInd w:val="0"/>
      <w:spacing w:before="20" w:line="200" w:lineRule="exact"/>
      <w:jc w:val="left"/>
      <w:textAlignment w:val="baseline"/>
    </w:pPr>
    <w:rPr>
      <w:rFonts w:ascii="EY Gothic Comp BookPS" w:hAnsi="EY Gothic Comp BookPS"/>
      <w:noProof/>
      <w:color w:val="000000"/>
      <w:lang w:val="en-GB"/>
    </w:rPr>
  </w:style>
  <w:style w:type="character" w:customStyle="1" w:styleId="tabletxthdChar">
    <w:name w:val="tabletxthd Char"/>
    <w:basedOn w:val="DefaultParagraphFont"/>
    <w:link w:val="tabletxthd"/>
    <w:rsid w:val="00B475BE"/>
    <w:rPr>
      <w:rFonts w:ascii="EY Gothic Comp BookPS" w:hAnsi="EY Gothic Comp BookPS"/>
      <w:b/>
      <w:bCs/>
      <w:noProof/>
      <w:color w:val="000000"/>
      <w:lang w:val="en-GB" w:eastAsia="en-US" w:bidi="ar-SA"/>
    </w:rPr>
  </w:style>
  <w:style w:type="character" w:customStyle="1" w:styleId="tabletxtnsChar">
    <w:name w:val="tabletxtns Char"/>
    <w:basedOn w:val="DefaultParagraphFont"/>
    <w:link w:val="tabletxtns"/>
    <w:rsid w:val="00B475BE"/>
    <w:rPr>
      <w:rFonts w:ascii="EY Gothic Comp BookPS" w:hAnsi="EY Gothic Comp BookPS"/>
      <w:color w:val="000000"/>
      <w:lang w:val="en-GB" w:eastAsia="en-US" w:bidi="ar-SA"/>
    </w:rPr>
  </w:style>
  <w:style w:type="character" w:customStyle="1" w:styleId="tabletxtssmChar">
    <w:name w:val="tabletxt #s sm Char"/>
    <w:basedOn w:val="DefaultParagraphFont"/>
    <w:link w:val="tabletxtssm"/>
    <w:rsid w:val="00B475BE"/>
    <w:rPr>
      <w:rFonts w:ascii="EY Gothic Comp BookPS" w:hAnsi="EY Gothic Comp BookPS"/>
      <w:noProof/>
      <w:color w:val="000000"/>
      <w:lang w:val="en-GB" w:eastAsia="en-US" w:bidi="ar-SA"/>
    </w:rPr>
  </w:style>
  <w:style w:type="paragraph" w:customStyle="1" w:styleId="Notesbodytext">
    <w:name w:val="Notes body text"/>
    <w:basedOn w:val="BodyText"/>
    <w:link w:val="NotesbodytextChar"/>
    <w:rsid w:val="001B3055"/>
    <w:pPr>
      <w:overflowPunct w:val="0"/>
      <w:autoSpaceDE w:val="0"/>
      <w:autoSpaceDN w:val="0"/>
      <w:adjustRightInd w:val="0"/>
      <w:spacing w:line="240" w:lineRule="exact"/>
      <w:jc w:val="left"/>
      <w:textAlignment w:val="baseline"/>
    </w:pPr>
    <w:rPr>
      <w:rFonts w:ascii="EYInterstate Light" w:hAnsi="EYInterstate Light" w:cs="Arial"/>
      <w:color w:val="000000"/>
      <w:sz w:val="18"/>
      <w:lang w:val="en-GB"/>
    </w:rPr>
  </w:style>
  <w:style w:type="character" w:customStyle="1" w:styleId="NotesbodytextChar">
    <w:name w:val="Notes body text Char"/>
    <w:basedOn w:val="DefaultParagraphFont"/>
    <w:link w:val="Notesbodytext"/>
    <w:rsid w:val="00436B2B"/>
    <w:rPr>
      <w:rFonts w:ascii="EYInterstate Light" w:hAnsi="EYInterstate Light" w:cs="Arial"/>
      <w:color w:val="000000"/>
      <w:sz w:val="18"/>
      <w:lang w:val="en-GB" w:eastAsia="en-US" w:bidi="ar-SA"/>
    </w:rPr>
  </w:style>
  <w:style w:type="paragraph" w:customStyle="1" w:styleId="tablebullet">
    <w:name w:val="table bullet"/>
    <w:basedOn w:val="Normal"/>
    <w:rsid w:val="00436B2B"/>
    <w:pPr>
      <w:numPr>
        <w:numId w:val="18"/>
      </w:numPr>
      <w:overflowPunct w:val="0"/>
      <w:autoSpaceDE w:val="0"/>
      <w:autoSpaceDN w:val="0"/>
      <w:adjustRightInd w:val="0"/>
      <w:spacing w:line="220" w:lineRule="exact"/>
      <w:jc w:val="left"/>
      <w:textAlignment w:val="baseline"/>
    </w:pPr>
    <w:rPr>
      <w:rFonts w:ascii="EYInterstate Light" w:hAnsi="EYInterstate Light"/>
      <w:sz w:val="18"/>
      <w:lang w:val="en-GB"/>
    </w:rPr>
  </w:style>
  <w:style w:type="paragraph" w:customStyle="1" w:styleId="Notesitalicheading">
    <w:name w:val="Notes italic heading"/>
    <w:basedOn w:val="Notesbodytext"/>
    <w:link w:val="NotesitalicheadingChar"/>
    <w:rsid w:val="008B1432"/>
    <w:pPr>
      <w:spacing w:after="0"/>
    </w:pPr>
    <w:rPr>
      <w:b/>
      <w:i/>
    </w:rPr>
  </w:style>
  <w:style w:type="character" w:customStyle="1" w:styleId="NotesitalicheadingChar">
    <w:name w:val="Notes italic heading Char"/>
    <w:basedOn w:val="NotesbodytextChar"/>
    <w:link w:val="Notesitalicheading"/>
    <w:rsid w:val="008B1432"/>
    <w:rPr>
      <w:rFonts w:ascii="EYInterstate Light" w:hAnsi="EYInterstate Light" w:cs="Arial"/>
      <w:b/>
      <w:i/>
      <w:color w:val="000000"/>
      <w:sz w:val="18"/>
      <w:lang w:val="en-GB" w:eastAsia="en-US" w:bidi="ar-SA"/>
    </w:rPr>
  </w:style>
  <w:style w:type="paragraph" w:customStyle="1" w:styleId="Notesbulletpoint">
    <w:name w:val="Notes bullet point"/>
    <w:link w:val="NotesbulletpointChar"/>
    <w:rsid w:val="008B1432"/>
    <w:pPr>
      <w:tabs>
        <w:tab w:val="num" w:pos="461"/>
      </w:tabs>
      <w:spacing w:after="120"/>
      <w:ind w:left="459"/>
    </w:pPr>
    <w:rPr>
      <w:rFonts w:ascii="EYInterstate Light" w:hAnsi="EYInterstate Light"/>
      <w:sz w:val="18"/>
      <w:lang w:val="en-GB" w:eastAsia="en-US"/>
    </w:rPr>
  </w:style>
  <w:style w:type="character" w:customStyle="1" w:styleId="NotesbulletpointChar">
    <w:name w:val="Notes bullet point Char"/>
    <w:basedOn w:val="DefaultParagraphFont"/>
    <w:link w:val="Notesbulletpoint"/>
    <w:rsid w:val="008B1432"/>
    <w:rPr>
      <w:rFonts w:ascii="EYInterstate Light" w:hAnsi="EYInterstate Light"/>
      <w:sz w:val="18"/>
      <w:lang w:val="en-GB" w:eastAsia="en-US" w:bidi="ar-SA"/>
    </w:rPr>
  </w:style>
  <w:style w:type="paragraph" w:customStyle="1" w:styleId="NormalNotLatin">
    <w:name w:val="Normal + Not (Latin)"/>
    <w:basedOn w:val="Normal"/>
    <w:rsid w:val="00DE2662"/>
    <w:pPr>
      <w:spacing w:line="240" w:lineRule="auto"/>
    </w:pPr>
    <w:rPr>
      <w:sz w:val="22"/>
      <w:szCs w:val="22"/>
    </w:rPr>
  </w:style>
  <w:style w:type="paragraph" w:customStyle="1" w:styleId="StylebodyCondensedby01pt">
    <w:name w:val="Style body + Condensed by  0.1 pt"/>
    <w:basedOn w:val="body"/>
    <w:link w:val="StylebodyCondensedby01ptChar"/>
    <w:semiHidden/>
    <w:rsid w:val="00A15621"/>
    <w:rPr>
      <w:sz w:val="18"/>
    </w:rPr>
  </w:style>
  <w:style w:type="character" w:customStyle="1" w:styleId="StylebodyCondensedby01ptChar">
    <w:name w:val="Style body + Condensed by  0.1 pt Char"/>
    <w:basedOn w:val="bodyChar"/>
    <w:link w:val="StylebodyCondensedby01pt"/>
    <w:rsid w:val="00A15621"/>
    <w:rPr>
      <w:rFonts w:ascii="TimesNewRomanPS" w:hAnsi="TimesNewRomanPS"/>
      <w:color w:val="000000"/>
      <w:sz w:val="18"/>
      <w:lang w:val="en-GB" w:eastAsia="en-US" w:bidi="ar-SA"/>
    </w:rPr>
  </w:style>
  <w:style w:type="paragraph" w:customStyle="1" w:styleId="Spacingcell">
    <w:name w:val="Spacing cell"/>
    <w:basedOn w:val="Normal"/>
    <w:semiHidden/>
    <w:rsid w:val="00A15621"/>
    <w:pPr>
      <w:tabs>
        <w:tab w:val="right" w:leader="dot" w:pos="9720"/>
      </w:tabs>
      <w:overflowPunct w:val="0"/>
      <w:autoSpaceDE w:val="0"/>
      <w:autoSpaceDN w:val="0"/>
      <w:adjustRightInd w:val="0"/>
      <w:spacing w:line="100" w:lineRule="exact"/>
      <w:jc w:val="left"/>
      <w:textAlignment w:val="baseline"/>
    </w:pPr>
    <w:rPr>
      <w:rFonts w:ascii="EYInterstate Light" w:hAnsi="EYInterstate Light" w:cs="Arial"/>
      <w:bCs/>
      <w:iCs/>
      <w:noProof/>
      <w:color w:val="000000"/>
      <w:sz w:val="10"/>
      <w:szCs w:val="10"/>
      <w:lang w:val="en-GB"/>
    </w:rPr>
  </w:style>
  <w:style w:type="paragraph" w:customStyle="1" w:styleId="DT">
    <w:name w:val="DT"/>
    <w:basedOn w:val="BodyTextIndent"/>
    <w:rsid w:val="006765E7"/>
    <w:pPr>
      <w:keepNext w:val="0"/>
      <w:keepLines w:val="0"/>
      <w:spacing w:before="240" w:line="240" w:lineRule="auto"/>
      <w:ind w:left="0"/>
    </w:pPr>
    <w:rPr>
      <w:snapToGrid w:val="0"/>
      <w:sz w:val="22"/>
      <w:lang w:val="bg-BG"/>
    </w:rPr>
  </w:style>
  <w:style w:type="character" w:customStyle="1" w:styleId="Heading4Char">
    <w:name w:val="Heading 4 Char"/>
    <w:basedOn w:val="DefaultParagraphFont"/>
    <w:link w:val="Heading4"/>
    <w:rsid w:val="00294FAB"/>
    <w:rPr>
      <w:sz w:val="24"/>
      <w:lang w:val="en-US" w:eastAsia="en-US" w:bidi="ar-SA"/>
    </w:rPr>
  </w:style>
  <w:style w:type="paragraph" w:customStyle="1" w:styleId="Char">
    <w:name w:val="Char"/>
    <w:basedOn w:val="Normal"/>
    <w:rsid w:val="00A01E99"/>
    <w:pPr>
      <w:widowControl w:val="0"/>
      <w:numPr>
        <w:ilvl w:val="6"/>
        <w:numId w:val="16"/>
      </w:numPr>
      <w:tabs>
        <w:tab w:val="num" w:pos="360"/>
      </w:tabs>
      <w:spacing w:line="240" w:lineRule="auto"/>
      <w:ind w:left="0" w:firstLine="0"/>
    </w:pPr>
    <w:rPr>
      <w:rFonts w:ascii="Arial" w:eastAsia="SimSun" w:hAnsi="Arial" w:cs="Arial"/>
      <w:kern w:val="2"/>
      <w:szCs w:val="24"/>
      <w:lang w:eastAsia="zh-CN"/>
    </w:rPr>
  </w:style>
  <w:style w:type="paragraph" w:customStyle="1" w:styleId="Indextext">
    <w:name w:val="Index text"/>
    <w:basedOn w:val="TOC1"/>
    <w:semiHidden/>
    <w:rsid w:val="00D20BFF"/>
    <w:pPr>
      <w:tabs>
        <w:tab w:val="clear" w:pos="0"/>
        <w:tab w:val="clear" w:pos="284"/>
        <w:tab w:val="clear" w:pos="567"/>
        <w:tab w:val="clear" w:pos="8505"/>
        <w:tab w:val="right" w:leader="dot" w:pos="9720"/>
      </w:tabs>
      <w:overflowPunct w:val="0"/>
      <w:autoSpaceDE w:val="0"/>
      <w:autoSpaceDN w:val="0"/>
      <w:adjustRightInd w:val="0"/>
      <w:spacing w:before="40" w:after="40" w:line="240" w:lineRule="exact"/>
      <w:jc w:val="left"/>
      <w:textAlignment w:val="baseline"/>
    </w:pPr>
    <w:rPr>
      <w:rFonts w:ascii="EYInterstate Light" w:hAnsi="EYInterstate Light" w:cs="Arial"/>
      <w:b w:val="0"/>
      <w:iCs/>
      <w:color w:val="000000"/>
      <w:lang w:val="en-GB"/>
    </w:rPr>
  </w:style>
  <w:style w:type="paragraph" w:customStyle="1" w:styleId="bodycopyindent">
    <w:name w:val="body copy indent"/>
    <w:basedOn w:val="Normal"/>
    <w:rsid w:val="007E4E5A"/>
    <w:pPr>
      <w:spacing w:before="20" w:line="210" w:lineRule="exact"/>
      <w:ind w:left="510"/>
      <w:jc w:val="left"/>
    </w:pPr>
    <w:rPr>
      <w:rFonts w:ascii="Arial" w:eastAsia="PMingLiU" w:hAnsi="Arial" w:cs="Arial"/>
      <w:color w:val="000000"/>
      <w:sz w:val="17"/>
      <w:szCs w:val="17"/>
      <w:lang w:val="en-AU"/>
    </w:rPr>
  </w:style>
  <w:style w:type="character" w:customStyle="1" w:styleId="tabletextChar">
    <w:name w:val="table text Char"/>
    <w:basedOn w:val="DefaultParagraphFont"/>
    <w:link w:val="tabletext"/>
    <w:rsid w:val="00253E51"/>
    <w:rPr>
      <w:rFonts w:ascii="EYInterstate Light" w:hAnsi="EYInterstate Light"/>
      <w:sz w:val="18"/>
      <w:lang w:val="en-GB" w:eastAsia="en-US" w:bidi="ar-SA"/>
    </w:rPr>
  </w:style>
  <w:style w:type="paragraph" w:customStyle="1" w:styleId="tabletext">
    <w:name w:val="table text"/>
    <w:link w:val="tabletextChar"/>
    <w:rsid w:val="00253E51"/>
    <w:pPr>
      <w:spacing w:line="220" w:lineRule="exact"/>
    </w:pPr>
    <w:rPr>
      <w:rFonts w:ascii="EYInterstate Light" w:hAnsi="EYInterstate Light"/>
      <w:sz w:val="18"/>
      <w:lang w:val="en-GB" w:eastAsia="en-US"/>
    </w:rPr>
  </w:style>
  <w:style w:type="paragraph" w:customStyle="1" w:styleId="IAStext">
    <w:name w:val="IAS text"/>
    <w:next w:val="Normal"/>
    <w:link w:val="IAStextChar"/>
    <w:rsid w:val="00253E51"/>
    <w:pPr>
      <w:spacing w:line="180" w:lineRule="exact"/>
    </w:pPr>
    <w:rPr>
      <w:rFonts w:ascii="EYInterstate Light" w:hAnsi="EYInterstate Light"/>
      <w:i/>
      <w:sz w:val="13"/>
      <w:lang w:val="en-GB" w:eastAsia="en-US"/>
    </w:rPr>
  </w:style>
  <w:style w:type="character" w:customStyle="1" w:styleId="IAStextChar">
    <w:name w:val="IAS text Char"/>
    <w:basedOn w:val="tabletextChar"/>
    <w:link w:val="IAStext"/>
    <w:rsid w:val="00253E51"/>
    <w:rPr>
      <w:rFonts w:ascii="EYInterstate Light" w:hAnsi="EYInterstate Light"/>
      <w:i/>
      <w:sz w:val="13"/>
      <w:lang w:val="en-GB" w:eastAsia="en-US" w:bidi="ar-SA"/>
    </w:rPr>
  </w:style>
  <w:style w:type="paragraph" w:customStyle="1" w:styleId="Tablecolumnheading">
    <w:name w:val="Table column heading"/>
    <w:next w:val="tabletext"/>
    <w:rsid w:val="00253E51"/>
    <w:pPr>
      <w:overflowPunct w:val="0"/>
      <w:autoSpaceDE w:val="0"/>
      <w:autoSpaceDN w:val="0"/>
      <w:adjustRightInd w:val="0"/>
      <w:spacing w:line="220" w:lineRule="exact"/>
      <w:jc w:val="right"/>
      <w:textAlignment w:val="baseline"/>
    </w:pPr>
    <w:rPr>
      <w:rFonts w:ascii="EYInterstate" w:hAnsi="EYInterstate" w:cs="Arial"/>
      <w:b/>
      <w:color w:val="000000"/>
      <w:sz w:val="18"/>
      <w:szCs w:val="18"/>
      <w:lang w:val="en-GB" w:eastAsia="en-US"/>
    </w:rPr>
  </w:style>
  <w:style w:type="character" w:customStyle="1" w:styleId="HeaderChar">
    <w:name w:val="Header Char"/>
    <w:aliases w:val="even Char,hd Char"/>
    <w:basedOn w:val="DefaultParagraphFont"/>
    <w:link w:val="Header"/>
    <w:semiHidden/>
    <w:locked/>
    <w:rsid w:val="00F7102A"/>
    <w:rPr>
      <w:rFonts w:ascii="Times" w:hAnsi="Times"/>
      <w:sz w:val="24"/>
      <w:lang w:val="en-US" w:eastAsia="en-US" w:bidi="ar-SA"/>
    </w:rPr>
  </w:style>
  <w:style w:type="character" w:customStyle="1" w:styleId="FooterChar">
    <w:name w:val="Footer Char"/>
    <w:basedOn w:val="DefaultParagraphFont"/>
    <w:link w:val="Footer"/>
    <w:uiPriority w:val="99"/>
    <w:locked/>
    <w:rsid w:val="00F7102A"/>
    <w:rPr>
      <w:rFonts w:ascii="Times" w:hAnsi="Times"/>
      <w:sz w:val="24"/>
      <w:lang w:val="en-US" w:eastAsia="en-US" w:bidi="ar-SA"/>
    </w:rPr>
  </w:style>
  <w:style w:type="character" w:styleId="Emphasis">
    <w:name w:val="Emphasis"/>
    <w:basedOn w:val="DefaultParagraphFont"/>
    <w:qFormat/>
    <w:rsid w:val="00A43400"/>
    <w:rPr>
      <w:i/>
      <w:iCs/>
    </w:rPr>
  </w:style>
  <w:style w:type="character" w:customStyle="1" w:styleId="BodyTextChar">
    <w:name w:val="Body Text Char"/>
    <w:basedOn w:val="DefaultParagraphFont"/>
    <w:link w:val="BodyText"/>
    <w:rsid w:val="00145F1E"/>
    <w:rPr>
      <w:lang w:val="en-US" w:eastAsia="en-US" w:bidi="ar-SA"/>
    </w:rPr>
  </w:style>
  <w:style w:type="paragraph" w:styleId="ListParagraph">
    <w:name w:val="List Paragraph"/>
    <w:basedOn w:val="Normal"/>
    <w:uiPriority w:val="34"/>
    <w:qFormat/>
    <w:rsid w:val="00E822DD"/>
    <w:pPr>
      <w:ind w:left="720"/>
    </w:pPr>
  </w:style>
  <w:style w:type="character" w:customStyle="1" w:styleId="Heading1Char">
    <w:name w:val="Heading 1 Char"/>
    <w:aliases w:val="Section Heading Char"/>
    <w:basedOn w:val="DefaultParagraphFont"/>
    <w:link w:val="Heading1"/>
    <w:rsid w:val="00BB0380"/>
    <w:rPr>
      <w:rFonts w:ascii="Arial" w:hAnsi="Arial" w:cs="Arial"/>
      <w:b/>
      <w:lang w:eastAsia="en-US"/>
    </w:rPr>
  </w:style>
  <w:style w:type="paragraph" w:styleId="Revision">
    <w:name w:val="Revision"/>
    <w:hidden/>
    <w:uiPriority w:val="99"/>
    <w:semiHidden/>
    <w:rsid w:val="00011CF6"/>
    <w:rPr>
      <w:lang w:val="en-US" w:eastAsia="en-US"/>
    </w:rPr>
  </w:style>
  <w:style w:type="paragraph" w:customStyle="1" w:styleId="ordinarytext">
    <w:name w:val="ordinary text"/>
    <w:basedOn w:val="ListParagraph"/>
    <w:qFormat/>
    <w:rsid w:val="00F64D9F"/>
    <w:pPr>
      <w:spacing w:after="200" w:line="276" w:lineRule="auto"/>
      <w:ind w:left="0"/>
      <w:contextualSpacing/>
    </w:pPr>
    <w:rPr>
      <w:rFonts w:ascii="Arial" w:eastAsia="Calibri" w:hAnsi="Arial" w:cs="Arial"/>
      <w:sz w:val="18"/>
      <w:szCs w:val="18"/>
    </w:rPr>
  </w:style>
  <w:style w:type="paragraph" w:customStyle="1" w:styleId="Document1">
    <w:name w:val="Document 1"/>
    <w:link w:val="Document1Char"/>
    <w:rsid w:val="006B0DC3"/>
    <w:pPr>
      <w:keepNext/>
      <w:keepLines/>
      <w:widowControl w:val="0"/>
      <w:tabs>
        <w:tab w:val="left" w:pos="-720"/>
      </w:tabs>
      <w:suppressAutoHyphens/>
    </w:pPr>
    <w:rPr>
      <w:rFonts w:ascii="Bodoni Book 12pt" w:hAnsi="Bodoni Book 12pt"/>
      <w:sz w:val="24"/>
      <w:lang w:val="en-US" w:eastAsia="en-US"/>
    </w:rPr>
  </w:style>
  <w:style w:type="character" w:customStyle="1" w:styleId="Document1Char">
    <w:name w:val="Document 1 Char"/>
    <w:basedOn w:val="DefaultParagraphFont"/>
    <w:link w:val="Document1"/>
    <w:rsid w:val="006B0DC3"/>
    <w:rPr>
      <w:rFonts w:ascii="Bodoni Book 12pt" w:hAnsi="Bodoni Book 12pt"/>
      <w:sz w:val="24"/>
      <w:lang w:val="en-US" w:eastAsia="en-US"/>
    </w:rPr>
  </w:style>
  <w:style w:type="paragraph" w:customStyle="1" w:styleId="Default">
    <w:name w:val="Default"/>
    <w:rsid w:val="004E0FBD"/>
    <w:pPr>
      <w:autoSpaceDE w:val="0"/>
      <w:autoSpaceDN w:val="0"/>
      <w:adjustRightInd w:val="0"/>
    </w:pPr>
    <w:rPr>
      <w:rFonts w:ascii="Arial" w:hAnsi="Arial" w:cs="Arial"/>
      <w:color w:val="000000"/>
      <w:sz w:val="24"/>
      <w:szCs w:val="24"/>
    </w:rPr>
  </w:style>
  <w:style w:type="character" w:customStyle="1" w:styleId="yiv743833687apple-style-span">
    <w:name w:val="yiv743833687apple-style-span"/>
    <w:basedOn w:val="DefaultParagraphFont"/>
    <w:rsid w:val="005F5E9C"/>
  </w:style>
  <w:style w:type="character" w:customStyle="1" w:styleId="hps">
    <w:name w:val="hps"/>
    <w:basedOn w:val="DefaultParagraphFont"/>
    <w:rsid w:val="00CB16A8"/>
  </w:style>
  <w:style w:type="paragraph" w:customStyle="1" w:styleId="Zaglavie">
    <w:name w:val="Zaglavie"/>
    <w:basedOn w:val="Normal"/>
    <w:uiPriority w:val="99"/>
    <w:rsid w:val="007E3C30"/>
    <w:pPr>
      <w:widowControl w:val="0"/>
      <w:spacing w:line="240" w:lineRule="auto"/>
    </w:pPr>
    <w:rPr>
      <w:b/>
      <w:bCs/>
      <w:sz w:val="22"/>
      <w:szCs w:val="22"/>
      <w:lang w:val="bg-BG"/>
    </w:rPr>
  </w:style>
  <w:style w:type="character" w:customStyle="1" w:styleId="modulecontent1">
    <w:name w:val="modulecontent1"/>
    <w:basedOn w:val="DefaultParagraphFont"/>
    <w:rsid w:val="00EF3AB5"/>
    <w:rPr>
      <w:b w:val="0"/>
      <w:bCs w:val="0"/>
      <w:strike w:val="0"/>
      <w:dstrike w:val="0"/>
      <w:color w:val="000000"/>
      <w:u w:val="none"/>
      <w:effect w:val="none"/>
    </w:rPr>
  </w:style>
  <w:style w:type="paragraph" w:customStyle="1" w:styleId="000Normal">
    <w:name w:val="000 Normal"/>
    <w:basedOn w:val="Normal"/>
    <w:link w:val="000NormalChar"/>
    <w:rsid w:val="00EF3AB5"/>
    <w:pPr>
      <w:overflowPunct w:val="0"/>
      <w:autoSpaceDE w:val="0"/>
      <w:autoSpaceDN w:val="0"/>
      <w:adjustRightInd w:val="0"/>
      <w:spacing w:before="60" w:after="40" w:line="220" w:lineRule="exact"/>
      <w:textAlignment w:val="baseline"/>
    </w:pPr>
    <w:rPr>
      <w:rFonts w:ascii="Garamond" w:hAnsi="Garamond"/>
      <w:lang w:val="bg-BG"/>
    </w:rPr>
  </w:style>
  <w:style w:type="character" w:customStyle="1" w:styleId="000NormalChar">
    <w:name w:val="000 Normal Char"/>
    <w:basedOn w:val="DefaultParagraphFont"/>
    <w:link w:val="000Normal"/>
    <w:rsid w:val="00EF3AB5"/>
    <w:rPr>
      <w:rFonts w:ascii="Garamond" w:hAnsi="Garamond"/>
      <w:lang w:eastAsia="en-US"/>
    </w:rPr>
  </w:style>
  <w:style w:type="paragraph" w:customStyle="1" w:styleId="010Subheading1">
    <w:name w:val="010 Subheading 1"/>
    <w:basedOn w:val="000Normal"/>
    <w:rsid w:val="00EF3AB5"/>
    <w:pPr>
      <w:tabs>
        <w:tab w:val="num" w:pos="425"/>
      </w:tabs>
      <w:spacing w:before="0"/>
      <w:ind w:left="425" w:hanging="425"/>
    </w:pPr>
  </w:style>
  <w:style w:type="character" w:customStyle="1" w:styleId="google-src-text1">
    <w:name w:val="google-src-text1"/>
    <w:basedOn w:val="DefaultParagraphFont"/>
    <w:rsid w:val="00EF3AB5"/>
    <w:rPr>
      <w:vanish/>
      <w:webHidden w:val="0"/>
      <w:specVanish w:val="0"/>
    </w:rPr>
  </w:style>
  <w:style w:type="character" w:customStyle="1" w:styleId="CommentTextChar">
    <w:name w:val="Comment Text Char"/>
    <w:link w:val="CommentText"/>
    <w:locked/>
    <w:rsid w:val="00EF3AB5"/>
    <w:rPr>
      <w:lang w:val="en-US" w:eastAsia="en-US"/>
    </w:rPr>
  </w:style>
  <w:style w:type="paragraph" w:customStyle="1" w:styleId="Textinthedoc">
    <w:name w:val="Text_in_the_doc"/>
    <w:basedOn w:val="Normal"/>
    <w:link w:val="TextinthedocChar"/>
    <w:autoRedefine/>
    <w:rsid w:val="00EF3AB5"/>
    <w:pPr>
      <w:widowControl w:val="0"/>
      <w:tabs>
        <w:tab w:val="left" w:pos="5812"/>
      </w:tabs>
      <w:autoSpaceDE w:val="0"/>
      <w:autoSpaceDN w:val="0"/>
      <w:spacing w:before="120" w:after="120" w:line="240" w:lineRule="auto"/>
      <w:ind w:right="45"/>
    </w:pPr>
    <w:rPr>
      <w:sz w:val="24"/>
      <w:lang w:val="bg-BG" w:eastAsia="bg-BG"/>
    </w:rPr>
  </w:style>
  <w:style w:type="character" w:customStyle="1" w:styleId="TextinthedocChar">
    <w:name w:val="Text_in_the_doc Char"/>
    <w:link w:val="Textinthedoc"/>
    <w:locked/>
    <w:rsid w:val="00EF3AB5"/>
    <w:rPr>
      <w:sz w:val="24"/>
    </w:rPr>
  </w:style>
  <w:style w:type="paragraph" w:customStyle="1" w:styleId="tabletxteyg0">
    <w:name w:val="tabletxteyg"/>
    <w:basedOn w:val="Normal"/>
    <w:rsid w:val="00EF39FA"/>
    <w:pPr>
      <w:autoSpaceDE w:val="0"/>
      <w:autoSpaceDN w:val="0"/>
      <w:spacing w:after="80"/>
      <w:jc w:val="left"/>
    </w:pPr>
    <w:rPr>
      <w:rFonts w:ascii="EY Gothic Comp BookPS" w:eastAsiaTheme="minorHAnsi" w:hAnsi="EY Gothic Comp BookPS"/>
      <w:color w:val="000000"/>
    </w:rPr>
  </w:style>
  <w:style w:type="character" w:customStyle="1" w:styleId="BodyText2Char">
    <w:name w:val="Body Text 2 Char"/>
    <w:basedOn w:val="DefaultParagraphFont"/>
    <w:link w:val="BodyText2"/>
    <w:rsid w:val="001E21D9"/>
    <w:rPr>
      <w:lang w:val="en-US" w:eastAsia="en-US"/>
    </w:rPr>
  </w:style>
  <w:style w:type="character" w:customStyle="1" w:styleId="a1">
    <w:name w:val="Основен текст_"/>
    <w:link w:val="a2"/>
    <w:rsid w:val="001E21D9"/>
    <w:rPr>
      <w:sz w:val="19"/>
      <w:szCs w:val="19"/>
      <w:shd w:val="clear" w:color="auto" w:fill="FFFFFF"/>
    </w:rPr>
  </w:style>
  <w:style w:type="character" w:customStyle="1" w:styleId="a3">
    <w:name w:val="Основен текст + Удебелен"/>
    <w:rsid w:val="001E21D9"/>
    <w:rPr>
      <w:b/>
      <w:bCs/>
      <w:i w:val="0"/>
      <w:iCs w:val="0"/>
      <w:smallCaps w:val="0"/>
      <w:strike w:val="0"/>
      <w:spacing w:val="0"/>
      <w:sz w:val="19"/>
      <w:szCs w:val="19"/>
    </w:rPr>
  </w:style>
  <w:style w:type="paragraph" w:customStyle="1" w:styleId="a2">
    <w:name w:val="Основен текст"/>
    <w:basedOn w:val="Normal"/>
    <w:link w:val="a1"/>
    <w:rsid w:val="001E21D9"/>
    <w:pPr>
      <w:shd w:val="clear" w:color="auto" w:fill="FFFFFF"/>
      <w:spacing w:before="960" w:after="360" w:line="0" w:lineRule="atLeast"/>
      <w:ind w:hanging="420"/>
    </w:pPr>
    <w:rPr>
      <w:sz w:val="19"/>
      <w:szCs w:val="19"/>
      <w:lang w:val="bg-BG" w:eastAsia="bg-BG"/>
    </w:rPr>
  </w:style>
  <w:style w:type="paragraph" w:styleId="HTMLPreformatted">
    <w:name w:val="HTML Preformatted"/>
    <w:basedOn w:val="Normal"/>
    <w:link w:val="HTMLPreformattedChar"/>
    <w:uiPriority w:val="99"/>
    <w:semiHidden/>
    <w:unhideWhenUsed/>
    <w:rsid w:val="00D52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D52540"/>
    <w:rPr>
      <w:rFonts w:ascii="Courier New" w:hAnsi="Courier New" w:cs="Courier New"/>
      <w:lang w:val="en-US" w:eastAsia="en-US"/>
    </w:rPr>
  </w:style>
  <w:style w:type="character" w:customStyle="1" w:styleId="p">
    <w:name w:val="p"/>
    <w:basedOn w:val="DefaultParagraphFont"/>
    <w:rsid w:val="001B31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924"/>
    <w:pPr>
      <w:spacing w:line="240" w:lineRule="atLeast"/>
      <w:jc w:val="both"/>
    </w:pPr>
    <w:rPr>
      <w:lang w:val="en-US" w:eastAsia="en-US"/>
    </w:rPr>
  </w:style>
  <w:style w:type="paragraph" w:styleId="Heading1">
    <w:name w:val="heading 1"/>
    <w:aliases w:val="Section Heading"/>
    <w:basedOn w:val="Normal"/>
    <w:next w:val="Normal"/>
    <w:link w:val="Heading1Char"/>
    <w:autoRedefine/>
    <w:qFormat/>
    <w:rsid w:val="00BB0380"/>
    <w:pPr>
      <w:keepNext/>
      <w:tabs>
        <w:tab w:val="left" w:pos="6663"/>
        <w:tab w:val="left" w:pos="7088"/>
      </w:tabs>
      <w:spacing w:after="120"/>
      <w:jc w:val="left"/>
      <w:outlineLvl w:val="0"/>
    </w:pPr>
    <w:rPr>
      <w:rFonts w:ascii="Arial" w:hAnsi="Arial" w:cs="Arial"/>
      <w:b/>
      <w:lang w:val="bg-BG"/>
    </w:rPr>
  </w:style>
  <w:style w:type="paragraph" w:styleId="Heading2">
    <w:name w:val="heading 2"/>
    <w:aliases w:val="2"/>
    <w:basedOn w:val="Normal"/>
    <w:next w:val="Normal"/>
    <w:qFormat/>
    <w:rsid w:val="00E72A4C"/>
    <w:pPr>
      <w:keepNext/>
      <w:spacing w:before="240" w:after="60"/>
      <w:outlineLvl w:val="1"/>
    </w:pPr>
    <w:rPr>
      <w:b/>
      <w:sz w:val="24"/>
    </w:rPr>
  </w:style>
  <w:style w:type="paragraph" w:styleId="Heading3">
    <w:name w:val="heading 3"/>
    <w:aliases w:val="3"/>
    <w:basedOn w:val="Normal"/>
    <w:next w:val="Normal"/>
    <w:qFormat/>
    <w:rsid w:val="00E72A4C"/>
    <w:pPr>
      <w:keepNext/>
      <w:spacing w:before="240" w:after="60"/>
      <w:outlineLvl w:val="2"/>
    </w:pPr>
    <w:rPr>
      <w:b/>
      <w:sz w:val="22"/>
    </w:rPr>
  </w:style>
  <w:style w:type="paragraph" w:styleId="Heading4">
    <w:name w:val="heading 4"/>
    <w:basedOn w:val="Normal"/>
    <w:next w:val="Normal"/>
    <w:link w:val="Heading4Char"/>
    <w:qFormat/>
    <w:rsid w:val="00E72A4C"/>
    <w:pPr>
      <w:keepNext/>
      <w:jc w:val="center"/>
      <w:outlineLvl w:val="3"/>
    </w:pPr>
    <w:rPr>
      <w:sz w:val="24"/>
    </w:rPr>
  </w:style>
  <w:style w:type="paragraph" w:styleId="Heading5">
    <w:name w:val="heading 5"/>
    <w:basedOn w:val="Normal"/>
    <w:next w:val="Normal"/>
    <w:qFormat/>
    <w:rsid w:val="00E72A4C"/>
    <w:pPr>
      <w:keepNext/>
      <w:outlineLvl w:val="4"/>
    </w:pPr>
    <w:rPr>
      <w:b/>
    </w:rPr>
  </w:style>
  <w:style w:type="paragraph" w:styleId="Heading6">
    <w:name w:val="heading 6"/>
    <w:basedOn w:val="Normal"/>
    <w:next w:val="Normal"/>
    <w:qFormat/>
    <w:rsid w:val="00E72A4C"/>
    <w:pPr>
      <w:keepNext/>
      <w:outlineLvl w:val="5"/>
    </w:pPr>
    <w:rPr>
      <w:u w:val="single"/>
    </w:rPr>
  </w:style>
  <w:style w:type="paragraph" w:styleId="Heading7">
    <w:name w:val="heading 7"/>
    <w:basedOn w:val="Normal"/>
    <w:next w:val="Normal"/>
    <w:qFormat/>
    <w:rsid w:val="00E72A4C"/>
    <w:pPr>
      <w:keepNext/>
      <w:ind w:right="10"/>
      <w:outlineLvl w:val="6"/>
    </w:pPr>
    <w:rPr>
      <w:sz w:val="24"/>
    </w:rPr>
  </w:style>
  <w:style w:type="paragraph" w:styleId="Heading8">
    <w:name w:val="heading 8"/>
    <w:basedOn w:val="Normal"/>
    <w:next w:val="Normal"/>
    <w:qFormat/>
    <w:rsid w:val="00E72A4C"/>
    <w:pPr>
      <w:keepNext/>
      <w:widowControl w:val="0"/>
      <w:jc w:val="center"/>
      <w:outlineLvl w:val="7"/>
    </w:pPr>
    <w:rPr>
      <w:b/>
      <w:sz w:val="24"/>
    </w:rPr>
  </w:style>
  <w:style w:type="paragraph" w:styleId="Heading9">
    <w:name w:val="heading 9"/>
    <w:basedOn w:val="Normal"/>
    <w:next w:val="Normal"/>
    <w:qFormat/>
    <w:rsid w:val="00E72A4C"/>
    <w:pPr>
      <w:keepNext/>
      <w:widowControl w:val="0"/>
      <w:tabs>
        <w:tab w:val="left" w:pos="1338"/>
      </w:tabs>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72A4C"/>
    <w:pPr>
      <w:tabs>
        <w:tab w:val="center" w:pos="4320"/>
        <w:tab w:val="right" w:pos="8640"/>
      </w:tabs>
    </w:pPr>
    <w:rPr>
      <w:rFonts w:ascii="Times" w:hAnsi="Times"/>
      <w:sz w:val="24"/>
    </w:rPr>
  </w:style>
  <w:style w:type="paragraph" w:styleId="Header">
    <w:name w:val="header"/>
    <w:aliases w:val="even,hd"/>
    <w:basedOn w:val="Normal"/>
    <w:link w:val="HeaderChar"/>
    <w:rsid w:val="00E72A4C"/>
    <w:pPr>
      <w:tabs>
        <w:tab w:val="center" w:pos="4320"/>
        <w:tab w:val="right" w:pos="8640"/>
      </w:tabs>
    </w:pPr>
    <w:rPr>
      <w:rFonts w:ascii="Times" w:hAnsi="Times"/>
      <w:sz w:val="24"/>
    </w:rPr>
  </w:style>
  <w:style w:type="paragraph" w:customStyle="1" w:styleId="head">
    <w:name w:val="head"/>
    <w:basedOn w:val="Normal"/>
    <w:next w:val="BodyText"/>
    <w:rsid w:val="00E72A4C"/>
    <w:rPr>
      <w:rFonts w:ascii="Arial" w:hAnsi="Arial"/>
      <w:b/>
      <w:lang w:val="en-GB"/>
    </w:rPr>
  </w:style>
  <w:style w:type="paragraph" w:styleId="BodyText">
    <w:name w:val="Body Text"/>
    <w:basedOn w:val="Normal"/>
    <w:link w:val="BodyTextChar"/>
    <w:rsid w:val="00E72A4C"/>
    <w:pPr>
      <w:spacing w:after="120"/>
    </w:pPr>
  </w:style>
  <w:style w:type="paragraph" w:customStyle="1" w:styleId="wfxRecipient">
    <w:name w:val="wfxRecipient"/>
    <w:basedOn w:val="Normal"/>
    <w:rsid w:val="00E72A4C"/>
  </w:style>
  <w:style w:type="paragraph" w:customStyle="1" w:styleId="wfxFaxNum">
    <w:name w:val="wfxFaxNum"/>
    <w:basedOn w:val="Normal"/>
    <w:rsid w:val="00E72A4C"/>
  </w:style>
  <w:style w:type="character" w:styleId="PageNumber">
    <w:name w:val="page number"/>
    <w:basedOn w:val="DefaultParagraphFont"/>
    <w:rsid w:val="00E72A4C"/>
  </w:style>
  <w:style w:type="character" w:styleId="FootnoteReference">
    <w:name w:val="footnote reference"/>
    <w:basedOn w:val="DefaultParagraphFont"/>
    <w:semiHidden/>
    <w:rsid w:val="00E72A4C"/>
    <w:rPr>
      <w:vertAlign w:val="superscript"/>
    </w:rPr>
  </w:style>
  <w:style w:type="paragraph" w:styleId="FootnoteText">
    <w:name w:val="footnote text"/>
    <w:basedOn w:val="Normal"/>
    <w:semiHidden/>
    <w:rsid w:val="00E72A4C"/>
  </w:style>
  <w:style w:type="paragraph" w:styleId="BodyText2">
    <w:name w:val="Body Text 2"/>
    <w:basedOn w:val="Normal"/>
    <w:link w:val="BodyText2Char"/>
    <w:rsid w:val="00E72A4C"/>
    <w:pPr>
      <w:tabs>
        <w:tab w:val="left" w:pos="360"/>
      </w:tabs>
      <w:ind w:left="357"/>
    </w:pPr>
  </w:style>
  <w:style w:type="paragraph" w:customStyle="1" w:styleId="BodyText21">
    <w:name w:val="Body Text 21"/>
    <w:basedOn w:val="Normal"/>
    <w:rsid w:val="00E72A4C"/>
  </w:style>
  <w:style w:type="paragraph" w:styleId="BodyText3">
    <w:name w:val="Body Text 3"/>
    <w:basedOn w:val="Normal"/>
    <w:rsid w:val="00E72A4C"/>
    <w:pPr>
      <w:jc w:val="center"/>
    </w:pPr>
    <w:rPr>
      <w:b/>
      <w:sz w:val="22"/>
    </w:rPr>
  </w:style>
  <w:style w:type="paragraph" w:customStyle="1" w:styleId="EYLogo">
    <w:name w:val="E &amp; Y Logo"/>
    <w:basedOn w:val="Normal"/>
    <w:rsid w:val="00E72A4C"/>
    <w:pPr>
      <w:tabs>
        <w:tab w:val="left" w:pos="4860"/>
        <w:tab w:val="left" w:pos="5040"/>
        <w:tab w:val="left" w:pos="7740"/>
        <w:tab w:val="left" w:pos="7920"/>
      </w:tabs>
      <w:spacing w:line="280" w:lineRule="exact"/>
      <w:ind w:left="-360"/>
    </w:pPr>
    <w:rPr>
      <w:rFonts w:ascii="MS Sans Serif" w:hAnsi="MS Sans Serif"/>
      <w:sz w:val="12"/>
    </w:rPr>
  </w:style>
  <w:style w:type="paragraph" w:customStyle="1" w:styleId="SingleSpacing">
    <w:name w:val="Single Spacing"/>
    <w:aliases w:val="ss,Single spacing"/>
    <w:basedOn w:val="Normal"/>
    <w:rsid w:val="00E72A4C"/>
    <w:pPr>
      <w:spacing w:line="280" w:lineRule="atLeast"/>
    </w:pPr>
    <w:rPr>
      <w:rFonts w:ascii="Times" w:hAnsi="Times"/>
      <w:sz w:val="24"/>
    </w:rPr>
  </w:style>
  <w:style w:type="paragraph" w:customStyle="1" w:styleId="BodyText22">
    <w:name w:val="Body Text 22"/>
    <w:basedOn w:val="Normal"/>
    <w:rsid w:val="00E72A4C"/>
    <w:pPr>
      <w:widowControl w:val="0"/>
    </w:pPr>
  </w:style>
  <w:style w:type="paragraph" w:styleId="DocumentMap">
    <w:name w:val="Document Map"/>
    <w:basedOn w:val="Normal"/>
    <w:semiHidden/>
    <w:rsid w:val="00E72A4C"/>
    <w:pPr>
      <w:widowControl w:val="0"/>
      <w:shd w:val="clear" w:color="auto" w:fill="000080"/>
    </w:pPr>
    <w:rPr>
      <w:rFonts w:ascii="Tahoma" w:hAnsi="Tahoma"/>
    </w:rPr>
  </w:style>
  <w:style w:type="paragraph" w:styleId="BodyTextIndent2">
    <w:name w:val="Body Text Indent 2"/>
    <w:basedOn w:val="Normal"/>
    <w:rsid w:val="00E72A4C"/>
    <w:pPr>
      <w:widowControl w:val="0"/>
      <w:ind w:hanging="14"/>
    </w:pPr>
  </w:style>
  <w:style w:type="paragraph" w:customStyle="1" w:styleId="000standaarduitvullen">
    <w:name w:val="000.standaard uitvullen"/>
    <w:basedOn w:val="Normal"/>
    <w:rsid w:val="00E72A4C"/>
    <w:pPr>
      <w:spacing w:line="280" w:lineRule="atLeast"/>
    </w:pPr>
    <w:rPr>
      <w:rFonts w:ascii="Times" w:hAnsi="Times"/>
      <w:sz w:val="24"/>
      <w:lang w:val="en-GB"/>
    </w:rPr>
  </w:style>
  <w:style w:type="paragraph" w:customStyle="1" w:styleId="singlespacing0">
    <w:name w:val="single spacing"/>
    <w:aliases w:val="s"/>
    <w:basedOn w:val="Normal"/>
    <w:rsid w:val="00E72A4C"/>
    <w:pPr>
      <w:spacing w:line="280" w:lineRule="atLeast"/>
    </w:pPr>
    <w:rPr>
      <w:rFonts w:ascii="Times" w:hAnsi="Times"/>
      <w:sz w:val="24"/>
    </w:rPr>
  </w:style>
  <w:style w:type="paragraph" w:customStyle="1" w:styleId="a">
    <w:name w:val="Îáû÷íûé"/>
    <w:uiPriority w:val="99"/>
    <w:rsid w:val="00E72A4C"/>
    <w:pPr>
      <w:widowControl w:val="0"/>
    </w:pPr>
    <w:rPr>
      <w:rFonts w:ascii="Times" w:hAnsi="Times"/>
      <w:sz w:val="24"/>
      <w:lang w:val="en-US" w:eastAsia="en-US"/>
    </w:rPr>
  </w:style>
  <w:style w:type="paragraph" w:customStyle="1" w:styleId="normaltext">
    <w:name w:val="normal text"/>
    <w:basedOn w:val="Normal"/>
    <w:rsid w:val="00E72A4C"/>
    <w:rPr>
      <w:color w:val="000000"/>
      <w:sz w:val="18"/>
    </w:rPr>
  </w:style>
  <w:style w:type="paragraph" w:styleId="Caption">
    <w:name w:val="caption"/>
    <w:basedOn w:val="Normal"/>
    <w:next w:val="Normal"/>
    <w:qFormat/>
    <w:rsid w:val="00E72A4C"/>
    <w:pPr>
      <w:framePr w:hSpace="187" w:wrap="auto" w:vAnchor="text" w:hAnchor="page" w:x="2017" w:y="3961"/>
      <w:ind w:left="2880" w:right="10"/>
      <w:jc w:val="center"/>
    </w:pPr>
    <w:rPr>
      <w:color w:val="000000"/>
      <w:sz w:val="24"/>
    </w:rPr>
  </w:style>
  <w:style w:type="paragraph" w:styleId="BodyTextIndent3">
    <w:name w:val="Body Text Indent 3"/>
    <w:basedOn w:val="Normal"/>
    <w:rsid w:val="00E72A4C"/>
    <w:pPr>
      <w:ind w:left="360"/>
    </w:pPr>
    <w:rPr>
      <w:rFonts w:ascii="Arial" w:hAnsi="Arial" w:cs="Arial"/>
      <w:sz w:val="24"/>
      <w:szCs w:val="24"/>
      <w:lang w:val="en-GB" w:eastAsia="fr-FR"/>
    </w:rPr>
  </w:style>
  <w:style w:type="paragraph" w:styleId="BodyTextIndent">
    <w:name w:val="Body Text Indent"/>
    <w:basedOn w:val="Normal"/>
    <w:rsid w:val="00E72A4C"/>
    <w:pPr>
      <w:keepNext/>
      <w:keepLines/>
      <w:ind w:left="426"/>
    </w:pPr>
  </w:style>
  <w:style w:type="paragraph" w:customStyle="1" w:styleId="xl28">
    <w:name w:val="xl28"/>
    <w:basedOn w:val="Normal"/>
    <w:rsid w:val="00E72A4C"/>
    <w:pPr>
      <w:spacing w:before="100" w:beforeAutospacing="1" w:after="100" w:afterAutospacing="1"/>
      <w:jc w:val="right"/>
      <w:textAlignment w:val="top"/>
    </w:pPr>
    <w:rPr>
      <w:rFonts w:eastAsia="Arial Unicode MS" w:cs="Arial Unicode MS"/>
      <w:sz w:val="24"/>
      <w:szCs w:val="24"/>
      <w:lang w:val="fr-FR" w:eastAsia="fr-FR"/>
    </w:rPr>
  </w:style>
  <w:style w:type="paragraph" w:customStyle="1" w:styleId="xl29">
    <w:name w:val="xl29"/>
    <w:basedOn w:val="Normal"/>
    <w:rsid w:val="00E72A4C"/>
    <w:pPr>
      <w:spacing w:before="100" w:beforeAutospacing="1" w:after="100" w:afterAutospacing="1"/>
      <w:textAlignment w:val="top"/>
    </w:pPr>
    <w:rPr>
      <w:rFonts w:eastAsia="Arial Unicode MS"/>
      <w:b/>
      <w:bCs/>
      <w:sz w:val="24"/>
      <w:szCs w:val="24"/>
      <w:lang w:val="fr-FR" w:eastAsia="fr-FR"/>
    </w:rPr>
  </w:style>
  <w:style w:type="paragraph" w:customStyle="1" w:styleId="xl30">
    <w:name w:val="xl30"/>
    <w:basedOn w:val="Normal"/>
    <w:rsid w:val="00E72A4C"/>
    <w:pPr>
      <w:spacing w:before="100" w:beforeAutospacing="1" w:after="100" w:afterAutospacing="1"/>
      <w:ind w:firstLineChars="200" w:firstLine="200"/>
      <w:textAlignment w:val="top"/>
    </w:pPr>
    <w:rPr>
      <w:rFonts w:eastAsia="Arial Unicode MS"/>
      <w:sz w:val="24"/>
      <w:szCs w:val="24"/>
      <w:lang w:val="fr-FR" w:eastAsia="fr-FR"/>
    </w:rPr>
  </w:style>
  <w:style w:type="paragraph" w:customStyle="1" w:styleId="xl31">
    <w:name w:val="xl31"/>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32">
    <w:name w:val="xl32"/>
    <w:basedOn w:val="Normal"/>
    <w:rsid w:val="00E72A4C"/>
    <w:pPr>
      <w:spacing w:before="100" w:beforeAutospacing="1" w:after="100" w:afterAutospacing="1"/>
      <w:ind w:firstLineChars="100" w:firstLine="100"/>
      <w:textAlignment w:val="top"/>
    </w:pPr>
    <w:rPr>
      <w:rFonts w:eastAsia="Arial Unicode MS" w:cs="Arial Unicode MS"/>
      <w:sz w:val="24"/>
      <w:szCs w:val="24"/>
      <w:lang w:val="fr-FR" w:eastAsia="fr-FR"/>
    </w:rPr>
  </w:style>
  <w:style w:type="paragraph" w:customStyle="1" w:styleId="xl33">
    <w:name w:val="xl33"/>
    <w:basedOn w:val="Normal"/>
    <w:rsid w:val="00E72A4C"/>
    <w:pPr>
      <w:spacing w:before="100" w:beforeAutospacing="1" w:after="100" w:afterAutospacing="1"/>
      <w:textAlignment w:val="top"/>
    </w:pPr>
    <w:rPr>
      <w:rFonts w:eastAsia="Arial Unicode MS"/>
      <w:b/>
      <w:bCs/>
      <w:sz w:val="24"/>
      <w:szCs w:val="24"/>
      <w:lang w:val="fr-FR" w:eastAsia="fr-FR"/>
    </w:rPr>
  </w:style>
  <w:style w:type="paragraph" w:customStyle="1" w:styleId="xl34">
    <w:name w:val="xl34"/>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35">
    <w:name w:val="xl35"/>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36">
    <w:name w:val="xl36"/>
    <w:basedOn w:val="Normal"/>
    <w:rsid w:val="00E72A4C"/>
    <w:pPr>
      <w:spacing w:before="100" w:beforeAutospacing="1" w:after="100" w:afterAutospacing="1"/>
      <w:textAlignment w:val="top"/>
    </w:pPr>
    <w:rPr>
      <w:rFonts w:eastAsia="Arial Unicode MS" w:cs="Arial Unicode MS"/>
      <w:sz w:val="24"/>
      <w:szCs w:val="24"/>
      <w:lang w:val="fr-FR" w:eastAsia="fr-FR"/>
    </w:rPr>
  </w:style>
  <w:style w:type="paragraph" w:customStyle="1" w:styleId="xl37">
    <w:name w:val="xl37"/>
    <w:basedOn w:val="Normal"/>
    <w:rsid w:val="00E72A4C"/>
    <w:pPr>
      <w:pBdr>
        <w:bottom w:val="single" w:sz="4" w:space="0" w:color="auto"/>
      </w:pBdr>
      <w:spacing w:before="100" w:beforeAutospacing="1" w:after="100" w:afterAutospacing="1"/>
      <w:textAlignment w:val="top"/>
    </w:pPr>
    <w:rPr>
      <w:rFonts w:eastAsia="Arial Unicode MS"/>
      <w:sz w:val="24"/>
      <w:szCs w:val="24"/>
      <w:lang w:val="fr-FR" w:eastAsia="fr-FR"/>
    </w:rPr>
  </w:style>
  <w:style w:type="paragraph" w:customStyle="1" w:styleId="xl38">
    <w:name w:val="xl38"/>
    <w:basedOn w:val="Normal"/>
    <w:rsid w:val="00E72A4C"/>
    <w:pPr>
      <w:pBdr>
        <w:top w:val="single" w:sz="4" w:space="0" w:color="auto"/>
      </w:pBdr>
      <w:spacing w:before="100" w:beforeAutospacing="1" w:after="100" w:afterAutospacing="1"/>
      <w:textAlignment w:val="top"/>
    </w:pPr>
    <w:rPr>
      <w:rFonts w:eastAsia="Arial Unicode MS"/>
      <w:b/>
      <w:bCs/>
      <w:sz w:val="24"/>
      <w:szCs w:val="24"/>
      <w:lang w:val="fr-FR" w:eastAsia="fr-FR"/>
    </w:rPr>
  </w:style>
  <w:style w:type="paragraph" w:customStyle="1" w:styleId="xl39">
    <w:name w:val="xl39"/>
    <w:basedOn w:val="Normal"/>
    <w:rsid w:val="00E72A4C"/>
    <w:pPr>
      <w:pBdr>
        <w:bottom w:val="double" w:sz="6" w:space="0" w:color="auto"/>
      </w:pBdr>
      <w:spacing w:before="100" w:beforeAutospacing="1" w:after="100" w:afterAutospacing="1"/>
      <w:textAlignment w:val="top"/>
    </w:pPr>
    <w:rPr>
      <w:rFonts w:eastAsia="Arial Unicode MS"/>
      <w:b/>
      <w:bCs/>
      <w:sz w:val="24"/>
      <w:szCs w:val="24"/>
      <w:lang w:val="fr-FR" w:eastAsia="fr-FR"/>
    </w:rPr>
  </w:style>
  <w:style w:type="paragraph" w:customStyle="1" w:styleId="xl40">
    <w:name w:val="xl40"/>
    <w:basedOn w:val="Normal"/>
    <w:rsid w:val="00E72A4C"/>
    <w:pPr>
      <w:spacing w:before="100" w:beforeAutospacing="1" w:after="100" w:afterAutospacing="1"/>
      <w:textAlignment w:val="top"/>
    </w:pPr>
    <w:rPr>
      <w:rFonts w:eastAsia="Arial Unicode MS"/>
      <w:b/>
      <w:bCs/>
      <w:sz w:val="24"/>
      <w:szCs w:val="24"/>
      <w:lang w:val="fr-FR" w:eastAsia="fr-FR"/>
    </w:rPr>
  </w:style>
  <w:style w:type="paragraph" w:customStyle="1" w:styleId="xl41">
    <w:name w:val="xl41"/>
    <w:basedOn w:val="Normal"/>
    <w:rsid w:val="00E72A4C"/>
    <w:pPr>
      <w:pBdr>
        <w:top w:val="single" w:sz="4" w:space="0" w:color="auto"/>
        <w:bottom w:val="single" w:sz="4" w:space="0" w:color="auto"/>
      </w:pBdr>
      <w:spacing w:before="100" w:beforeAutospacing="1" w:after="100" w:afterAutospacing="1"/>
      <w:textAlignment w:val="top"/>
    </w:pPr>
    <w:rPr>
      <w:rFonts w:eastAsia="Arial Unicode MS"/>
      <w:b/>
      <w:bCs/>
      <w:sz w:val="24"/>
      <w:szCs w:val="24"/>
      <w:lang w:val="fr-FR" w:eastAsia="fr-FR"/>
    </w:rPr>
  </w:style>
  <w:style w:type="paragraph" w:customStyle="1" w:styleId="xl42">
    <w:name w:val="xl42"/>
    <w:basedOn w:val="Normal"/>
    <w:rsid w:val="00E72A4C"/>
    <w:pPr>
      <w:pBdr>
        <w:bottom w:val="single" w:sz="4" w:space="0" w:color="auto"/>
      </w:pBdr>
      <w:spacing w:before="100" w:beforeAutospacing="1" w:after="100" w:afterAutospacing="1"/>
      <w:jc w:val="center"/>
      <w:textAlignment w:val="top"/>
    </w:pPr>
    <w:rPr>
      <w:rFonts w:eastAsia="Arial Unicode MS"/>
      <w:b/>
      <w:bCs/>
      <w:sz w:val="24"/>
      <w:szCs w:val="24"/>
      <w:lang w:val="fr-FR" w:eastAsia="fr-FR"/>
    </w:rPr>
  </w:style>
  <w:style w:type="paragraph" w:customStyle="1" w:styleId="xl43">
    <w:name w:val="xl43"/>
    <w:basedOn w:val="Normal"/>
    <w:rsid w:val="00E72A4C"/>
    <w:pPr>
      <w:pBdr>
        <w:bottom w:val="single" w:sz="4" w:space="0" w:color="auto"/>
      </w:pBdr>
      <w:spacing w:before="100" w:beforeAutospacing="1" w:after="100" w:afterAutospacing="1"/>
      <w:textAlignment w:val="top"/>
    </w:pPr>
    <w:rPr>
      <w:rFonts w:eastAsia="Arial Unicode MS"/>
      <w:sz w:val="24"/>
      <w:szCs w:val="24"/>
      <w:lang w:val="fr-FR" w:eastAsia="fr-FR"/>
    </w:rPr>
  </w:style>
  <w:style w:type="paragraph" w:customStyle="1" w:styleId="xl44">
    <w:name w:val="xl44"/>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45">
    <w:name w:val="xl45"/>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46">
    <w:name w:val="xl46"/>
    <w:basedOn w:val="Normal"/>
    <w:rsid w:val="00E72A4C"/>
    <w:pPr>
      <w:pBdr>
        <w:top w:val="single" w:sz="4" w:space="0" w:color="auto"/>
        <w:bottom w:val="double" w:sz="6" w:space="0" w:color="auto"/>
      </w:pBdr>
      <w:spacing w:before="100" w:beforeAutospacing="1" w:after="100" w:afterAutospacing="1"/>
      <w:textAlignment w:val="top"/>
    </w:pPr>
    <w:rPr>
      <w:rFonts w:eastAsia="Arial Unicode MS"/>
      <w:b/>
      <w:bCs/>
      <w:sz w:val="24"/>
      <w:szCs w:val="24"/>
      <w:lang w:val="fr-FR" w:eastAsia="fr-FR"/>
    </w:rPr>
  </w:style>
  <w:style w:type="paragraph" w:styleId="BlockText">
    <w:name w:val="Block Text"/>
    <w:basedOn w:val="Normal"/>
    <w:rsid w:val="00E72A4C"/>
    <w:pPr>
      <w:widowControl w:val="0"/>
      <w:tabs>
        <w:tab w:val="left" w:pos="2977"/>
      </w:tabs>
      <w:ind w:left="426" w:right="-119"/>
    </w:pPr>
    <w:rPr>
      <w:lang w:val="en-GB"/>
    </w:rPr>
  </w:style>
  <w:style w:type="character" w:styleId="Hyperlink">
    <w:name w:val="Hyperlink"/>
    <w:basedOn w:val="DefaultParagraphFont"/>
    <w:uiPriority w:val="99"/>
    <w:rsid w:val="00E72A4C"/>
    <w:rPr>
      <w:color w:val="0000FF"/>
      <w:u w:val="single"/>
    </w:rPr>
  </w:style>
  <w:style w:type="character" w:styleId="FollowedHyperlink">
    <w:name w:val="FollowedHyperlink"/>
    <w:basedOn w:val="DefaultParagraphFont"/>
    <w:rsid w:val="00E72A4C"/>
    <w:rPr>
      <w:color w:val="800080"/>
      <w:u w:val="single"/>
    </w:rPr>
  </w:style>
  <w:style w:type="paragraph" w:customStyle="1" w:styleId="font5">
    <w:name w:val="font5"/>
    <w:basedOn w:val="Normal"/>
    <w:rsid w:val="00E72A4C"/>
    <w:pPr>
      <w:spacing w:before="100" w:beforeAutospacing="1" w:after="100" w:afterAutospacing="1"/>
    </w:pPr>
    <w:rPr>
      <w:rFonts w:eastAsia="Arial Unicode MS"/>
      <w:b/>
      <w:bCs/>
      <w:lang w:val="fr-FR" w:eastAsia="fr-FR"/>
    </w:rPr>
  </w:style>
  <w:style w:type="paragraph" w:customStyle="1" w:styleId="font6">
    <w:name w:val="font6"/>
    <w:basedOn w:val="Normal"/>
    <w:rsid w:val="00E72A4C"/>
    <w:pPr>
      <w:spacing w:before="100" w:beforeAutospacing="1" w:after="100" w:afterAutospacing="1"/>
    </w:pPr>
    <w:rPr>
      <w:rFonts w:eastAsia="Arial Unicode MS"/>
      <w:b/>
      <w:bCs/>
      <w:lang w:val="fr-FR" w:eastAsia="fr-FR"/>
    </w:rPr>
  </w:style>
  <w:style w:type="paragraph" w:customStyle="1" w:styleId="xl47">
    <w:name w:val="xl47"/>
    <w:basedOn w:val="Normal"/>
    <w:rsid w:val="00E72A4C"/>
    <w:pPr>
      <w:spacing w:before="100" w:beforeAutospacing="1" w:after="100" w:afterAutospacing="1"/>
    </w:pPr>
    <w:rPr>
      <w:rFonts w:eastAsia="Arial Unicode MS"/>
      <w:b/>
      <w:bCs/>
      <w:sz w:val="24"/>
      <w:szCs w:val="24"/>
      <w:lang w:val="fr-FR" w:eastAsia="fr-FR"/>
    </w:rPr>
  </w:style>
  <w:style w:type="paragraph" w:customStyle="1" w:styleId="font7">
    <w:name w:val="font7"/>
    <w:basedOn w:val="Normal"/>
    <w:rsid w:val="00E72A4C"/>
    <w:pPr>
      <w:spacing w:before="100" w:beforeAutospacing="1" w:after="100" w:afterAutospacing="1"/>
    </w:pPr>
    <w:rPr>
      <w:rFonts w:eastAsia="Arial Unicode MS"/>
      <w:b/>
      <w:bCs/>
      <w:sz w:val="16"/>
      <w:szCs w:val="16"/>
      <w:lang w:val="fr-FR" w:eastAsia="fr-FR"/>
    </w:rPr>
  </w:style>
  <w:style w:type="paragraph" w:customStyle="1" w:styleId="font8">
    <w:name w:val="font8"/>
    <w:basedOn w:val="Normal"/>
    <w:rsid w:val="00E72A4C"/>
    <w:pPr>
      <w:spacing w:before="100" w:beforeAutospacing="1" w:after="100" w:afterAutospacing="1"/>
    </w:pPr>
    <w:rPr>
      <w:rFonts w:eastAsia="Arial Unicode MS"/>
      <w:b/>
      <w:bCs/>
      <w:sz w:val="16"/>
      <w:szCs w:val="16"/>
      <w:lang w:val="fr-FR" w:eastAsia="fr-FR"/>
    </w:rPr>
  </w:style>
  <w:style w:type="paragraph" w:customStyle="1" w:styleId="xl48">
    <w:name w:val="xl48"/>
    <w:basedOn w:val="Normal"/>
    <w:rsid w:val="00E72A4C"/>
    <w:pPr>
      <w:spacing w:before="100" w:beforeAutospacing="1" w:after="100" w:afterAutospacing="1"/>
    </w:pPr>
    <w:rPr>
      <w:rFonts w:eastAsia="Arial Unicode MS"/>
      <w:b/>
      <w:bCs/>
      <w:sz w:val="24"/>
      <w:szCs w:val="24"/>
      <w:lang w:val="fr-FR" w:eastAsia="fr-FR"/>
    </w:rPr>
  </w:style>
  <w:style w:type="paragraph" w:customStyle="1" w:styleId="000standaard">
    <w:name w:val="000.standaard"/>
    <w:basedOn w:val="Normal"/>
    <w:rsid w:val="00E72A4C"/>
    <w:pPr>
      <w:overflowPunct w:val="0"/>
      <w:autoSpaceDE w:val="0"/>
      <w:autoSpaceDN w:val="0"/>
      <w:adjustRightInd w:val="0"/>
      <w:spacing w:line="280" w:lineRule="atLeast"/>
      <w:textAlignment w:val="baseline"/>
    </w:pPr>
    <w:rPr>
      <w:sz w:val="24"/>
      <w:lang w:val="nl-NL"/>
    </w:rPr>
  </w:style>
  <w:style w:type="paragraph" w:styleId="ListNumber">
    <w:name w:val="List Number"/>
    <w:basedOn w:val="Normal"/>
    <w:rsid w:val="00E72A4C"/>
    <w:pPr>
      <w:numPr>
        <w:numId w:val="1"/>
      </w:numPr>
      <w:overflowPunct w:val="0"/>
      <w:autoSpaceDE w:val="0"/>
      <w:autoSpaceDN w:val="0"/>
      <w:adjustRightInd w:val="0"/>
      <w:spacing w:after="240" w:line="280" w:lineRule="atLeast"/>
      <w:textAlignment w:val="baseline"/>
    </w:pPr>
    <w:rPr>
      <w:sz w:val="24"/>
    </w:rPr>
  </w:style>
  <w:style w:type="character" w:customStyle="1" w:styleId="txtblue1">
    <w:name w:val="txt_blue1"/>
    <w:basedOn w:val="DefaultParagraphFont"/>
    <w:rsid w:val="00E72A4C"/>
    <w:rPr>
      <w:rFonts w:ascii="Arial" w:hAnsi="Arial" w:cs="Arial" w:hint="default"/>
      <w:color w:val="006699"/>
      <w:sz w:val="20"/>
      <w:szCs w:val="20"/>
    </w:rPr>
  </w:style>
  <w:style w:type="paragraph" w:customStyle="1" w:styleId="xl24">
    <w:name w:val="xl24"/>
    <w:basedOn w:val="Normal"/>
    <w:rsid w:val="00E72A4C"/>
    <w:pPr>
      <w:pBdr>
        <w:bottom w:val="single" w:sz="4" w:space="0" w:color="auto"/>
      </w:pBdr>
      <w:spacing w:before="100" w:beforeAutospacing="1" w:after="100" w:afterAutospacing="1"/>
      <w:jc w:val="center"/>
      <w:textAlignment w:val="top"/>
    </w:pPr>
    <w:rPr>
      <w:rFonts w:eastAsia="Arial Unicode MS"/>
      <w:b/>
      <w:bCs/>
      <w:color w:val="000000"/>
      <w:sz w:val="22"/>
      <w:szCs w:val="22"/>
    </w:rPr>
  </w:style>
  <w:style w:type="paragraph" w:customStyle="1" w:styleId="xl25">
    <w:name w:val="xl25"/>
    <w:basedOn w:val="Normal"/>
    <w:rsid w:val="00E72A4C"/>
    <w:pPr>
      <w:spacing w:before="100" w:beforeAutospacing="1" w:after="100" w:afterAutospacing="1"/>
    </w:pPr>
    <w:rPr>
      <w:rFonts w:eastAsia="Arial Unicode MS"/>
      <w:sz w:val="22"/>
      <w:szCs w:val="22"/>
    </w:rPr>
  </w:style>
  <w:style w:type="paragraph" w:customStyle="1" w:styleId="xl26">
    <w:name w:val="xl26"/>
    <w:basedOn w:val="Normal"/>
    <w:rsid w:val="00E72A4C"/>
    <w:pPr>
      <w:spacing w:before="100" w:beforeAutospacing="1" w:after="100" w:afterAutospacing="1"/>
      <w:textAlignment w:val="top"/>
    </w:pPr>
    <w:rPr>
      <w:rFonts w:eastAsia="Arial Unicode MS"/>
      <w:b/>
      <w:bCs/>
      <w:color w:val="000000"/>
      <w:sz w:val="22"/>
      <w:szCs w:val="22"/>
    </w:rPr>
  </w:style>
  <w:style w:type="paragraph" w:customStyle="1" w:styleId="xl27">
    <w:name w:val="xl27"/>
    <w:basedOn w:val="Normal"/>
    <w:rsid w:val="00E72A4C"/>
    <w:pPr>
      <w:spacing w:before="100" w:beforeAutospacing="1" w:after="100" w:afterAutospacing="1"/>
      <w:jc w:val="right"/>
      <w:textAlignment w:val="top"/>
    </w:pPr>
    <w:rPr>
      <w:rFonts w:eastAsia="Arial Unicode MS"/>
      <w:sz w:val="22"/>
      <w:szCs w:val="22"/>
    </w:rPr>
  </w:style>
  <w:style w:type="paragraph" w:customStyle="1" w:styleId="xl49">
    <w:name w:val="xl49"/>
    <w:basedOn w:val="Normal"/>
    <w:rsid w:val="00E72A4C"/>
    <w:pPr>
      <w:spacing w:before="100" w:beforeAutospacing="1" w:after="100" w:afterAutospacing="1"/>
      <w:jc w:val="center"/>
    </w:pPr>
    <w:rPr>
      <w:rFonts w:eastAsia="Arial Unicode MS"/>
      <w:sz w:val="22"/>
      <w:szCs w:val="22"/>
    </w:rPr>
  </w:style>
  <w:style w:type="paragraph" w:customStyle="1" w:styleId="xl50">
    <w:name w:val="xl50"/>
    <w:basedOn w:val="Normal"/>
    <w:rsid w:val="00E72A4C"/>
    <w:pPr>
      <w:spacing w:before="100" w:beforeAutospacing="1" w:after="100" w:afterAutospacing="1"/>
      <w:jc w:val="right"/>
    </w:pPr>
    <w:rPr>
      <w:rFonts w:eastAsia="Arial Unicode MS"/>
      <w:b/>
      <w:bCs/>
      <w:color w:val="000000"/>
      <w:sz w:val="22"/>
      <w:szCs w:val="22"/>
    </w:rPr>
  </w:style>
  <w:style w:type="paragraph" w:customStyle="1" w:styleId="xl51">
    <w:name w:val="xl51"/>
    <w:basedOn w:val="Normal"/>
    <w:rsid w:val="00E72A4C"/>
    <w:pPr>
      <w:pBdr>
        <w:bottom w:val="single" w:sz="4" w:space="0" w:color="auto"/>
      </w:pBdr>
      <w:spacing w:before="100" w:beforeAutospacing="1" w:after="100" w:afterAutospacing="1"/>
      <w:jc w:val="right"/>
    </w:pPr>
    <w:rPr>
      <w:rFonts w:eastAsia="Arial Unicode MS"/>
      <w:color w:val="000000"/>
      <w:sz w:val="22"/>
      <w:szCs w:val="22"/>
    </w:rPr>
  </w:style>
  <w:style w:type="paragraph" w:customStyle="1" w:styleId="xl52">
    <w:name w:val="xl52"/>
    <w:basedOn w:val="Normal"/>
    <w:rsid w:val="00E72A4C"/>
    <w:pPr>
      <w:spacing w:before="100" w:beforeAutospacing="1" w:after="100" w:afterAutospacing="1"/>
      <w:jc w:val="right"/>
    </w:pPr>
    <w:rPr>
      <w:rFonts w:eastAsia="Arial Unicode MS"/>
      <w:b/>
      <w:bCs/>
      <w:sz w:val="22"/>
      <w:szCs w:val="22"/>
    </w:rPr>
  </w:style>
  <w:style w:type="paragraph" w:customStyle="1" w:styleId="xl53">
    <w:name w:val="xl53"/>
    <w:basedOn w:val="Normal"/>
    <w:rsid w:val="00E72A4C"/>
    <w:pPr>
      <w:pBdr>
        <w:bottom w:val="single" w:sz="4" w:space="0" w:color="auto"/>
      </w:pBdr>
      <w:spacing w:before="100" w:beforeAutospacing="1" w:after="100" w:afterAutospacing="1"/>
      <w:jc w:val="right"/>
    </w:pPr>
    <w:rPr>
      <w:rFonts w:eastAsia="Arial Unicode MS"/>
      <w:b/>
      <w:bCs/>
      <w:color w:val="000000"/>
      <w:sz w:val="22"/>
      <w:szCs w:val="22"/>
    </w:rPr>
  </w:style>
  <w:style w:type="paragraph" w:customStyle="1" w:styleId="xl54">
    <w:name w:val="xl54"/>
    <w:basedOn w:val="Normal"/>
    <w:rsid w:val="00E72A4C"/>
    <w:pPr>
      <w:pBdr>
        <w:bottom w:val="single" w:sz="4" w:space="0" w:color="auto"/>
      </w:pBdr>
      <w:spacing w:before="100" w:beforeAutospacing="1" w:after="100" w:afterAutospacing="1"/>
      <w:jc w:val="right"/>
    </w:pPr>
    <w:rPr>
      <w:rFonts w:eastAsia="Arial Unicode MS"/>
      <w:b/>
      <w:bCs/>
      <w:color w:val="000000"/>
      <w:sz w:val="22"/>
      <w:szCs w:val="22"/>
    </w:rPr>
  </w:style>
  <w:style w:type="paragraph" w:customStyle="1" w:styleId="xl55">
    <w:name w:val="xl55"/>
    <w:basedOn w:val="Normal"/>
    <w:rsid w:val="00E72A4C"/>
    <w:pPr>
      <w:spacing w:before="100" w:beforeAutospacing="1" w:after="100" w:afterAutospacing="1"/>
      <w:jc w:val="right"/>
      <w:textAlignment w:val="top"/>
    </w:pPr>
    <w:rPr>
      <w:rFonts w:eastAsia="Arial Unicode MS"/>
      <w:color w:val="000000"/>
      <w:sz w:val="22"/>
      <w:szCs w:val="22"/>
    </w:rPr>
  </w:style>
  <w:style w:type="paragraph" w:customStyle="1" w:styleId="xl56">
    <w:name w:val="xl56"/>
    <w:basedOn w:val="Normal"/>
    <w:rsid w:val="00E72A4C"/>
    <w:pPr>
      <w:pBdr>
        <w:bottom w:val="single" w:sz="4" w:space="0" w:color="auto"/>
      </w:pBdr>
      <w:spacing w:before="100" w:beforeAutospacing="1" w:after="100" w:afterAutospacing="1"/>
      <w:jc w:val="right"/>
    </w:pPr>
    <w:rPr>
      <w:rFonts w:eastAsia="Arial Unicode MS"/>
      <w:b/>
      <w:bCs/>
      <w:color w:val="000000"/>
      <w:sz w:val="22"/>
      <w:szCs w:val="22"/>
    </w:rPr>
  </w:style>
  <w:style w:type="paragraph" w:customStyle="1" w:styleId="xl57">
    <w:name w:val="xl57"/>
    <w:basedOn w:val="Normal"/>
    <w:rsid w:val="00E72A4C"/>
    <w:pPr>
      <w:pBdr>
        <w:bottom w:val="double" w:sz="6" w:space="0" w:color="auto"/>
      </w:pBdr>
      <w:spacing w:before="100" w:beforeAutospacing="1" w:after="100" w:afterAutospacing="1"/>
      <w:jc w:val="right"/>
    </w:pPr>
    <w:rPr>
      <w:rFonts w:eastAsia="Arial Unicode MS"/>
      <w:b/>
      <w:bCs/>
      <w:color w:val="000000"/>
      <w:sz w:val="22"/>
      <w:szCs w:val="22"/>
    </w:rPr>
  </w:style>
  <w:style w:type="paragraph" w:customStyle="1" w:styleId="xl58">
    <w:name w:val="xl58"/>
    <w:basedOn w:val="Normal"/>
    <w:rsid w:val="00E72A4C"/>
    <w:pPr>
      <w:pBdr>
        <w:bottom w:val="single" w:sz="4" w:space="0" w:color="auto"/>
      </w:pBdr>
      <w:spacing w:before="100" w:beforeAutospacing="1" w:after="100" w:afterAutospacing="1"/>
      <w:jc w:val="center"/>
      <w:textAlignment w:val="top"/>
    </w:pPr>
    <w:rPr>
      <w:rFonts w:eastAsia="Arial Unicode MS"/>
      <w:b/>
      <w:bCs/>
      <w:color w:val="000000"/>
      <w:sz w:val="22"/>
      <w:szCs w:val="22"/>
    </w:rPr>
  </w:style>
  <w:style w:type="paragraph" w:customStyle="1" w:styleId="xl59">
    <w:name w:val="xl59"/>
    <w:basedOn w:val="Normal"/>
    <w:rsid w:val="00E72A4C"/>
    <w:pPr>
      <w:spacing w:before="100" w:beforeAutospacing="1" w:after="100" w:afterAutospacing="1"/>
      <w:jc w:val="center"/>
      <w:textAlignment w:val="top"/>
    </w:pPr>
    <w:rPr>
      <w:rFonts w:eastAsia="Arial Unicode MS"/>
      <w:b/>
      <w:bCs/>
      <w:sz w:val="22"/>
      <w:szCs w:val="22"/>
    </w:rPr>
  </w:style>
  <w:style w:type="paragraph" w:customStyle="1" w:styleId="ReportHeading1">
    <w:name w:val="ReportHeading1"/>
    <w:basedOn w:val="Normal"/>
    <w:rsid w:val="00E72A4C"/>
    <w:pPr>
      <w:framePr w:w="6521" w:h="1055" w:hSpace="142" w:wrap="around" w:vAnchor="page" w:hAnchor="page" w:x="1441" w:y="4452"/>
      <w:spacing w:line="300" w:lineRule="atLeast"/>
    </w:pPr>
    <w:rPr>
      <w:b/>
      <w:sz w:val="24"/>
    </w:rPr>
  </w:style>
  <w:style w:type="paragraph" w:customStyle="1" w:styleId="AANumbering">
    <w:name w:val="AA Numbering"/>
    <w:basedOn w:val="Normal"/>
    <w:rsid w:val="00E72A4C"/>
    <w:pPr>
      <w:numPr>
        <w:numId w:val="2"/>
      </w:numPr>
    </w:pPr>
  </w:style>
  <w:style w:type="paragraph" w:customStyle="1" w:styleId="AAheadingwocontents">
    <w:name w:val="AA heading wo contents"/>
    <w:basedOn w:val="Normal"/>
    <w:rsid w:val="00E72A4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b/>
      <w:sz w:val="22"/>
    </w:rPr>
  </w:style>
  <w:style w:type="paragraph" w:customStyle="1" w:styleId="StandaardOpinion">
    <w:name w:val="StandaardOpinion"/>
    <w:basedOn w:val="Normal"/>
    <w:rsid w:val="00E72A4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sz w:val="22"/>
    </w:rPr>
  </w:style>
  <w:style w:type="paragraph" w:styleId="TOC1">
    <w:name w:val="toc 1"/>
    <w:basedOn w:val="Normal"/>
    <w:next w:val="Normal"/>
    <w:autoRedefine/>
    <w:uiPriority w:val="39"/>
    <w:rsid w:val="006F0CAE"/>
    <w:pPr>
      <w:tabs>
        <w:tab w:val="left" w:pos="0"/>
        <w:tab w:val="left" w:pos="284"/>
        <w:tab w:val="left" w:pos="567"/>
        <w:tab w:val="right" w:leader="dot" w:pos="8505"/>
      </w:tabs>
      <w:spacing w:after="120"/>
    </w:pPr>
    <w:rPr>
      <w:rFonts w:ascii="Arial" w:hAnsi="Arial"/>
      <w:b/>
      <w:bCs/>
      <w:noProof/>
      <w:sz w:val="18"/>
      <w:szCs w:val="18"/>
    </w:rPr>
  </w:style>
  <w:style w:type="paragraph" w:styleId="TOC2">
    <w:name w:val="toc 2"/>
    <w:basedOn w:val="Normal"/>
    <w:next w:val="Normal"/>
    <w:autoRedefine/>
    <w:uiPriority w:val="39"/>
    <w:rsid w:val="00E72A4C"/>
    <w:pPr>
      <w:ind w:right="-74"/>
    </w:pPr>
  </w:style>
  <w:style w:type="paragraph" w:styleId="TOC3">
    <w:name w:val="toc 3"/>
    <w:basedOn w:val="Normal"/>
    <w:next w:val="Normal"/>
    <w:autoRedefine/>
    <w:uiPriority w:val="39"/>
    <w:rsid w:val="00E72A4C"/>
    <w:pPr>
      <w:ind w:left="200"/>
    </w:pPr>
    <w:rPr>
      <w:szCs w:val="24"/>
    </w:rPr>
  </w:style>
  <w:style w:type="paragraph" w:styleId="TOC4">
    <w:name w:val="toc 4"/>
    <w:basedOn w:val="Normal"/>
    <w:next w:val="Normal"/>
    <w:autoRedefine/>
    <w:semiHidden/>
    <w:rsid w:val="00E72A4C"/>
    <w:pPr>
      <w:ind w:left="400"/>
    </w:pPr>
    <w:rPr>
      <w:szCs w:val="24"/>
    </w:rPr>
  </w:style>
  <w:style w:type="paragraph" w:styleId="TOC5">
    <w:name w:val="toc 5"/>
    <w:basedOn w:val="Normal"/>
    <w:next w:val="Normal"/>
    <w:autoRedefine/>
    <w:semiHidden/>
    <w:rsid w:val="00E72A4C"/>
    <w:pPr>
      <w:ind w:left="600"/>
    </w:pPr>
    <w:rPr>
      <w:szCs w:val="24"/>
    </w:rPr>
  </w:style>
  <w:style w:type="paragraph" w:styleId="TOC6">
    <w:name w:val="toc 6"/>
    <w:basedOn w:val="Normal"/>
    <w:next w:val="Normal"/>
    <w:autoRedefine/>
    <w:semiHidden/>
    <w:rsid w:val="00E72A4C"/>
    <w:pPr>
      <w:ind w:left="800"/>
    </w:pPr>
    <w:rPr>
      <w:szCs w:val="24"/>
    </w:rPr>
  </w:style>
  <w:style w:type="paragraph" w:styleId="TOC7">
    <w:name w:val="toc 7"/>
    <w:basedOn w:val="Normal"/>
    <w:next w:val="Normal"/>
    <w:autoRedefine/>
    <w:semiHidden/>
    <w:rsid w:val="00E72A4C"/>
    <w:pPr>
      <w:ind w:left="1000"/>
    </w:pPr>
    <w:rPr>
      <w:szCs w:val="24"/>
    </w:rPr>
  </w:style>
  <w:style w:type="paragraph" w:styleId="TOC8">
    <w:name w:val="toc 8"/>
    <w:basedOn w:val="Normal"/>
    <w:next w:val="Normal"/>
    <w:autoRedefine/>
    <w:semiHidden/>
    <w:rsid w:val="00E72A4C"/>
    <w:pPr>
      <w:ind w:left="1200"/>
    </w:pPr>
    <w:rPr>
      <w:szCs w:val="24"/>
    </w:rPr>
  </w:style>
  <w:style w:type="paragraph" w:styleId="TOC9">
    <w:name w:val="toc 9"/>
    <w:basedOn w:val="Normal"/>
    <w:next w:val="Normal"/>
    <w:autoRedefine/>
    <w:semiHidden/>
    <w:rsid w:val="00E72A4C"/>
    <w:pPr>
      <w:ind w:left="1400"/>
    </w:pPr>
    <w:rPr>
      <w:szCs w:val="24"/>
    </w:rPr>
  </w:style>
  <w:style w:type="paragraph" w:customStyle="1" w:styleId="a0">
    <w:name w:val="хдипьв"/>
    <w:basedOn w:val="Heading2"/>
    <w:rsid w:val="00E72A4C"/>
    <w:pPr>
      <w:tabs>
        <w:tab w:val="left" w:pos="227"/>
        <w:tab w:val="left" w:pos="454"/>
        <w:tab w:val="left" w:pos="680"/>
        <w:tab w:val="left" w:pos="907"/>
      </w:tabs>
      <w:spacing w:before="0" w:after="0"/>
    </w:pPr>
    <w:rPr>
      <w:sz w:val="20"/>
    </w:rPr>
  </w:style>
  <w:style w:type="paragraph" w:styleId="ListBullet">
    <w:name w:val="List Bullet"/>
    <w:basedOn w:val="Normal"/>
    <w:rsid w:val="00E72A4C"/>
    <w:pPr>
      <w:numPr>
        <w:numId w:val="3"/>
      </w:numPr>
      <w:tabs>
        <w:tab w:val="clear" w:pos="360"/>
        <w:tab w:val="left" w:pos="227"/>
        <w:tab w:val="left" w:pos="284"/>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284" w:hanging="284"/>
    </w:pPr>
  </w:style>
  <w:style w:type="paragraph" w:styleId="ListBullet2">
    <w:name w:val="List Bullet 2"/>
    <w:basedOn w:val="Normal"/>
    <w:rsid w:val="00E72A4C"/>
    <w:pPr>
      <w:numPr>
        <w:numId w:val="4"/>
      </w:numPr>
      <w:tabs>
        <w:tab w:val="clear" w:pos="720"/>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851" w:hanging="284"/>
    </w:pPr>
  </w:style>
  <w:style w:type="paragraph" w:styleId="ListBullet3">
    <w:name w:val="List Bullet 3"/>
    <w:basedOn w:val="Normal"/>
    <w:rsid w:val="00E72A4C"/>
    <w:pPr>
      <w:numPr>
        <w:numId w:val="5"/>
      </w:numPr>
      <w:tabs>
        <w:tab w:val="clear" w:pos="1080"/>
        <w:tab w:val="left" w:pos="227"/>
        <w:tab w:val="left" w:pos="454"/>
        <w:tab w:val="left" w:pos="680"/>
        <w:tab w:val="left" w:pos="851"/>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135" w:hanging="284"/>
    </w:pPr>
  </w:style>
  <w:style w:type="paragraph" w:styleId="ListBullet4">
    <w:name w:val="List Bullet 4"/>
    <w:basedOn w:val="Normal"/>
    <w:rsid w:val="00E72A4C"/>
    <w:pPr>
      <w:numPr>
        <w:numId w:val="6"/>
      </w:numPr>
      <w:tabs>
        <w:tab w:val="clear" w:pos="1440"/>
        <w:tab w:val="left" w:pos="227"/>
        <w:tab w:val="left" w:pos="454"/>
        <w:tab w:val="left" w:pos="680"/>
        <w:tab w:val="left" w:pos="907"/>
        <w:tab w:val="left" w:pos="1134"/>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418" w:hanging="284"/>
    </w:pPr>
  </w:style>
  <w:style w:type="paragraph" w:styleId="ListNumber2">
    <w:name w:val="List Number 2"/>
    <w:basedOn w:val="Normal"/>
    <w:rsid w:val="00E72A4C"/>
    <w:pPr>
      <w:numPr>
        <w:numId w:val="7"/>
      </w:numPr>
      <w:tabs>
        <w:tab w:val="clear" w:pos="720"/>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851" w:hanging="284"/>
    </w:pPr>
  </w:style>
  <w:style w:type="paragraph" w:styleId="ListNumber3">
    <w:name w:val="List Number 3"/>
    <w:basedOn w:val="Normal"/>
    <w:rsid w:val="00E72A4C"/>
    <w:pPr>
      <w:numPr>
        <w:numId w:val="8"/>
      </w:numPr>
      <w:tabs>
        <w:tab w:val="clear" w:pos="1080"/>
        <w:tab w:val="left" w:pos="227"/>
        <w:tab w:val="left" w:pos="454"/>
        <w:tab w:val="left" w:pos="680"/>
        <w:tab w:val="left" w:pos="851"/>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135" w:hanging="284"/>
    </w:pPr>
  </w:style>
  <w:style w:type="paragraph" w:styleId="ListNumber5">
    <w:name w:val="List Number 5"/>
    <w:basedOn w:val="Normal"/>
    <w:rsid w:val="00E72A4C"/>
    <w:pPr>
      <w:numPr>
        <w:numId w:val="9"/>
      </w:numPr>
      <w:tabs>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418" w:hanging="284"/>
    </w:pPr>
  </w:style>
  <w:style w:type="paragraph" w:styleId="ListNumber4">
    <w:name w:val="List Number 4"/>
    <w:basedOn w:val="Normal"/>
    <w:rsid w:val="00E72A4C"/>
    <w:pPr>
      <w:numPr>
        <w:numId w:val="10"/>
      </w:numPr>
      <w:tabs>
        <w:tab w:val="clear" w:pos="1440"/>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209"/>
    </w:pPr>
  </w:style>
  <w:style w:type="paragraph" w:styleId="ListBullet5">
    <w:name w:val="List Bullet 5"/>
    <w:basedOn w:val="Normal"/>
    <w:rsid w:val="00E72A4C"/>
    <w:pPr>
      <w:numPr>
        <w:numId w:val="11"/>
      </w:numPr>
      <w:tabs>
        <w:tab w:val="clear" w:pos="1800"/>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702" w:hanging="284"/>
    </w:pPr>
  </w:style>
  <w:style w:type="paragraph" w:customStyle="1" w:styleId="AA1stlevelbullet">
    <w:name w:val="AA 1st level bullet"/>
    <w:basedOn w:val="Normal"/>
    <w:rsid w:val="00E72A4C"/>
    <w:pPr>
      <w:numPr>
        <w:numId w:val="14"/>
      </w:numPr>
      <w:tabs>
        <w:tab w:val="left" w:pos="227"/>
      </w:tabs>
    </w:pPr>
  </w:style>
  <w:style w:type="paragraph" w:customStyle="1" w:styleId="AA2ndlevelbullet">
    <w:name w:val="AA 2nd level bullet"/>
    <w:basedOn w:val="AA1stlevelbullet"/>
    <w:rsid w:val="00E72A4C"/>
    <w:pPr>
      <w:numPr>
        <w:numId w:val="12"/>
      </w:numPr>
      <w:tabs>
        <w:tab w:val="clear" w:pos="227"/>
        <w:tab w:val="left" w:pos="454"/>
        <w:tab w:val="left" w:pos="680"/>
        <w:tab w:val="left" w:pos="907"/>
      </w:tabs>
      <w:ind w:left="454" w:hanging="227"/>
    </w:pPr>
  </w:style>
  <w:style w:type="paragraph" w:customStyle="1" w:styleId="ParagraphNumbering">
    <w:name w:val="Paragraph Numbering"/>
    <w:basedOn w:val="Header"/>
    <w:rsid w:val="00E72A4C"/>
    <w:pPr>
      <w:numPr>
        <w:numId w:val="13"/>
      </w:numPr>
      <w:tabs>
        <w:tab w:val="clear" w:pos="705"/>
        <w:tab w:val="clear" w:pos="4320"/>
        <w:tab w:val="clear" w:pos="8640"/>
        <w:tab w:val="left" w:pos="284"/>
      </w:tabs>
      <w:ind w:left="0" w:firstLine="0"/>
    </w:pPr>
    <w:rPr>
      <w:rFonts w:ascii="Times New Roman" w:hAnsi="Times New Roman"/>
      <w:sz w:val="20"/>
    </w:rPr>
  </w:style>
  <w:style w:type="paragraph" w:styleId="CommentText">
    <w:name w:val="annotation text"/>
    <w:basedOn w:val="Normal"/>
    <w:link w:val="CommentTextChar"/>
    <w:rsid w:val="00E72A4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pPr>
  </w:style>
  <w:style w:type="paragraph" w:customStyle="1" w:styleId="NormalText0">
    <w:name w:val="Normal Text"/>
    <w:basedOn w:val="Normal"/>
    <w:rsid w:val="00E72A4C"/>
    <w:pPr>
      <w:spacing w:after="240"/>
    </w:pPr>
  </w:style>
  <w:style w:type="paragraph" w:styleId="PlainText">
    <w:name w:val="Plain Text"/>
    <w:basedOn w:val="Normal"/>
    <w:rsid w:val="00E72A4C"/>
    <w:pPr>
      <w:spacing w:line="240" w:lineRule="auto"/>
      <w:jc w:val="left"/>
    </w:pPr>
    <w:rPr>
      <w:rFonts w:ascii="Courier New" w:hAnsi="Courier New"/>
    </w:rPr>
  </w:style>
  <w:style w:type="paragraph" w:styleId="Index1">
    <w:name w:val="index 1"/>
    <w:basedOn w:val="Normal"/>
    <w:next w:val="Normal"/>
    <w:autoRedefine/>
    <w:semiHidden/>
    <w:rsid w:val="00E72A4C"/>
    <w:pPr>
      <w:ind w:left="200" w:hanging="200"/>
    </w:pPr>
  </w:style>
  <w:style w:type="paragraph" w:styleId="Index2">
    <w:name w:val="index 2"/>
    <w:basedOn w:val="Normal"/>
    <w:next w:val="Normal"/>
    <w:autoRedefine/>
    <w:semiHidden/>
    <w:rsid w:val="00E72A4C"/>
    <w:pPr>
      <w:ind w:left="400" w:hanging="200"/>
    </w:pPr>
  </w:style>
  <w:style w:type="paragraph" w:styleId="Index3">
    <w:name w:val="index 3"/>
    <w:basedOn w:val="Normal"/>
    <w:next w:val="Normal"/>
    <w:autoRedefine/>
    <w:semiHidden/>
    <w:rsid w:val="00E72A4C"/>
    <w:pPr>
      <w:ind w:left="600" w:hanging="200"/>
    </w:pPr>
  </w:style>
  <w:style w:type="paragraph" w:styleId="Index4">
    <w:name w:val="index 4"/>
    <w:basedOn w:val="Normal"/>
    <w:next w:val="Normal"/>
    <w:autoRedefine/>
    <w:semiHidden/>
    <w:rsid w:val="00E72A4C"/>
    <w:pPr>
      <w:ind w:left="800" w:hanging="200"/>
    </w:pPr>
  </w:style>
  <w:style w:type="paragraph" w:styleId="Index5">
    <w:name w:val="index 5"/>
    <w:basedOn w:val="Normal"/>
    <w:next w:val="Normal"/>
    <w:autoRedefine/>
    <w:semiHidden/>
    <w:rsid w:val="00E72A4C"/>
    <w:pPr>
      <w:ind w:left="1000" w:hanging="200"/>
    </w:pPr>
  </w:style>
  <w:style w:type="paragraph" w:styleId="Index6">
    <w:name w:val="index 6"/>
    <w:basedOn w:val="Normal"/>
    <w:next w:val="Normal"/>
    <w:autoRedefine/>
    <w:semiHidden/>
    <w:rsid w:val="00E72A4C"/>
    <w:pPr>
      <w:ind w:left="1200" w:hanging="200"/>
    </w:pPr>
  </w:style>
  <w:style w:type="paragraph" w:styleId="Index7">
    <w:name w:val="index 7"/>
    <w:basedOn w:val="Normal"/>
    <w:next w:val="Normal"/>
    <w:autoRedefine/>
    <w:semiHidden/>
    <w:rsid w:val="00E72A4C"/>
    <w:pPr>
      <w:ind w:left="1400" w:hanging="200"/>
    </w:pPr>
  </w:style>
  <w:style w:type="paragraph" w:styleId="Index8">
    <w:name w:val="index 8"/>
    <w:basedOn w:val="Normal"/>
    <w:next w:val="Normal"/>
    <w:autoRedefine/>
    <w:semiHidden/>
    <w:rsid w:val="00E72A4C"/>
    <w:pPr>
      <w:ind w:left="1600" w:hanging="200"/>
    </w:pPr>
  </w:style>
  <w:style w:type="paragraph" w:styleId="Index9">
    <w:name w:val="index 9"/>
    <w:basedOn w:val="Normal"/>
    <w:next w:val="Normal"/>
    <w:autoRedefine/>
    <w:semiHidden/>
    <w:rsid w:val="00E72A4C"/>
    <w:pPr>
      <w:ind w:left="1800" w:hanging="200"/>
    </w:pPr>
  </w:style>
  <w:style w:type="paragraph" w:styleId="IndexHeading">
    <w:name w:val="index heading"/>
    <w:basedOn w:val="Normal"/>
    <w:next w:val="Index1"/>
    <w:semiHidden/>
    <w:rsid w:val="00E72A4C"/>
  </w:style>
  <w:style w:type="paragraph" w:styleId="List">
    <w:name w:val="List"/>
    <w:basedOn w:val="Normal"/>
    <w:rsid w:val="00E72A4C"/>
    <w:pPr>
      <w:spacing w:line="240" w:lineRule="auto"/>
      <w:ind w:left="283" w:hanging="283"/>
      <w:jc w:val="left"/>
    </w:pPr>
    <w:rPr>
      <w:lang w:val="en-AU"/>
    </w:rPr>
  </w:style>
  <w:style w:type="paragraph" w:styleId="ListContinue">
    <w:name w:val="List Continue"/>
    <w:basedOn w:val="Normal"/>
    <w:rsid w:val="00E72A4C"/>
    <w:pPr>
      <w:spacing w:after="120" w:line="240" w:lineRule="auto"/>
      <w:ind w:left="283"/>
      <w:jc w:val="left"/>
    </w:pPr>
    <w:rPr>
      <w:lang w:val="en-AU"/>
    </w:rPr>
  </w:style>
  <w:style w:type="character" w:customStyle="1" w:styleId="siyahminitext1">
    <w:name w:val="siyahminitext1"/>
    <w:basedOn w:val="DefaultParagraphFont"/>
    <w:rsid w:val="00E72A4C"/>
    <w:rPr>
      <w:rFonts w:ascii="Tahoma" w:hAnsi="Tahoma" w:cs="Tahoma" w:hint="default"/>
      <w:b/>
      <w:bCs/>
      <w:i w:val="0"/>
      <w:iCs w:val="0"/>
      <w:color w:val="000000"/>
      <w:spacing w:val="240"/>
      <w:sz w:val="18"/>
      <w:szCs w:val="18"/>
    </w:rPr>
  </w:style>
  <w:style w:type="character" w:styleId="CommentReference">
    <w:name w:val="annotation reference"/>
    <w:basedOn w:val="DefaultParagraphFont"/>
    <w:rsid w:val="00E72A4C"/>
    <w:rPr>
      <w:sz w:val="16"/>
      <w:szCs w:val="16"/>
    </w:rPr>
  </w:style>
  <w:style w:type="paragraph" w:styleId="BalloonText">
    <w:name w:val="Balloon Text"/>
    <w:basedOn w:val="Normal"/>
    <w:semiHidden/>
    <w:rsid w:val="00E72A4C"/>
    <w:rPr>
      <w:rFonts w:ascii="Tahoma" w:hAnsi="Tahoma" w:cs="Tahoma"/>
      <w:sz w:val="16"/>
      <w:szCs w:val="16"/>
    </w:rPr>
  </w:style>
  <w:style w:type="paragraph" w:styleId="CommentSubject">
    <w:name w:val="annotation subject"/>
    <w:basedOn w:val="CommentText"/>
    <w:next w:val="CommentText"/>
    <w:semiHidden/>
    <w:rsid w:val="00E72A4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pPr>
    <w:rPr>
      <w:b/>
      <w:bCs/>
    </w:rPr>
  </w:style>
  <w:style w:type="paragraph" w:customStyle="1" w:styleId="indent1">
    <w:name w:val="indent1"/>
    <w:basedOn w:val="Normal"/>
    <w:uiPriority w:val="99"/>
    <w:rsid w:val="00E72A4C"/>
    <w:pPr>
      <w:numPr>
        <w:numId w:val="15"/>
      </w:numPr>
      <w:tabs>
        <w:tab w:val="left" w:pos="810"/>
        <w:tab w:val="left" w:pos="1440"/>
      </w:tabs>
      <w:overflowPunct w:val="0"/>
      <w:autoSpaceDE w:val="0"/>
      <w:autoSpaceDN w:val="0"/>
      <w:adjustRightInd w:val="0"/>
      <w:spacing w:after="60" w:line="220" w:lineRule="exact"/>
      <w:jc w:val="left"/>
      <w:textAlignment w:val="baseline"/>
    </w:pPr>
    <w:rPr>
      <w:rFonts w:ascii="EY Gothic Comp BookPS" w:hAnsi="EY Gothic Comp BookPS"/>
      <w:lang w:val="en-GB"/>
    </w:rPr>
  </w:style>
  <w:style w:type="character" w:customStyle="1" w:styleId="cs-901-bold1">
    <w:name w:val="cs-901-bold1"/>
    <w:basedOn w:val="DefaultParagraphFont"/>
    <w:rsid w:val="003D621D"/>
    <w:rPr>
      <w:b/>
      <w:bCs/>
    </w:rPr>
  </w:style>
  <w:style w:type="character" w:customStyle="1" w:styleId="italsubhdChar">
    <w:name w:val="italsubhd Char"/>
    <w:basedOn w:val="DefaultParagraphFont"/>
    <w:rsid w:val="00E72A4C"/>
    <w:rPr>
      <w:rFonts w:ascii="EY Gothic Comp BookPS" w:hAnsi="EY Gothic Comp BookPS"/>
      <w:i/>
      <w:iCs/>
      <w:noProof/>
      <w:color w:val="000000"/>
      <w:lang w:val="en-GB" w:eastAsia="en-US" w:bidi="ar-SA"/>
    </w:rPr>
  </w:style>
  <w:style w:type="paragraph" w:customStyle="1" w:styleId="italsubhd">
    <w:name w:val="italsubhd"/>
    <w:basedOn w:val="Normal"/>
    <w:rsid w:val="00E72A4C"/>
    <w:pPr>
      <w:tabs>
        <w:tab w:val="right" w:leader="dot" w:pos="9739"/>
      </w:tabs>
      <w:overflowPunct w:val="0"/>
      <w:autoSpaceDE w:val="0"/>
      <w:autoSpaceDN w:val="0"/>
      <w:adjustRightInd w:val="0"/>
      <w:spacing w:before="60" w:line="240" w:lineRule="exact"/>
      <w:jc w:val="left"/>
      <w:textAlignment w:val="baseline"/>
    </w:pPr>
    <w:rPr>
      <w:rFonts w:ascii="EY Gothic Comp BookPS" w:hAnsi="EY Gothic Comp BookPS"/>
      <w:i/>
      <w:iCs/>
      <w:noProof/>
      <w:color w:val="000000"/>
      <w:lang w:val="en-GB"/>
    </w:rPr>
  </w:style>
  <w:style w:type="character" w:customStyle="1" w:styleId="tabletxteygChar">
    <w:name w:val="tabletxt eyg Char"/>
    <w:basedOn w:val="DefaultParagraphFont"/>
    <w:uiPriority w:val="99"/>
    <w:rsid w:val="00E72A4C"/>
    <w:rPr>
      <w:rFonts w:ascii="EY Gothic Comp BookPS" w:hAnsi="EY Gothic Comp BookPS"/>
      <w:color w:val="000000"/>
      <w:lang w:val="en-GB" w:eastAsia="en-US" w:bidi="ar-SA"/>
    </w:rPr>
  </w:style>
  <w:style w:type="paragraph" w:customStyle="1" w:styleId="tabletxteyg">
    <w:name w:val="tabletxt eyg"/>
    <w:basedOn w:val="Normal"/>
    <w:uiPriority w:val="99"/>
    <w:rsid w:val="00E72A4C"/>
    <w:pPr>
      <w:tabs>
        <w:tab w:val="right" w:leader="dot" w:pos="9739"/>
      </w:tabs>
      <w:overflowPunct w:val="0"/>
      <w:autoSpaceDE w:val="0"/>
      <w:autoSpaceDN w:val="0"/>
      <w:adjustRightInd w:val="0"/>
      <w:spacing w:after="80" w:line="240" w:lineRule="exact"/>
      <w:jc w:val="left"/>
      <w:textAlignment w:val="baseline"/>
    </w:pPr>
    <w:rPr>
      <w:rFonts w:ascii="EY Gothic Comp BookPS" w:hAnsi="EY Gothic Comp BookPS"/>
      <w:color w:val="000000"/>
      <w:lang w:val="en-GB"/>
    </w:rPr>
  </w:style>
  <w:style w:type="paragraph" w:customStyle="1" w:styleId="dheader">
    <w:name w:val="#d header"/>
    <w:basedOn w:val="Normal"/>
    <w:rsid w:val="00E72A4C"/>
    <w:pPr>
      <w:keepNext/>
      <w:overflowPunct w:val="0"/>
      <w:autoSpaceDE w:val="0"/>
      <w:autoSpaceDN w:val="0"/>
      <w:adjustRightInd w:val="0"/>
      <w:spacing w:before="120" w:after="60" w:line="240" w:lineRule="exact"/>
      <w:ind w:left="360" w:hanging="360"/>
      <w:jc w:val="left"/>
      <w:textAlignment w:val="baseline"/>
      <w:outlineLvl w:val="1"/>
    </w:pPr>
    <w:rPr>
      <w:rFonts w:ascii="EY Gothic Cond DemiPS" w:hAnsi="EY Gothic Cond DemiPS"/>
      <w:color w:val="000080"/>
      <w:sz w:val="22"/>
      <w:szCs w:val="22"/>
      <w:lang w:val="en-GB"/>
    </w:rPr>
  </w:style>
  <w:style w:type="paragraph" w:customStyle="1" w:styleId="bluesubhead">
    <w:name w:val="blue subhead"/>
    <w:basedOn w:val="Normal"/>
    <w:rsid w:val="00E72A4C"/>
    <w:pPr>
      <w:overflowPunct w:val="0"/>
      <w:autoSpaceDE w:val="0"/>
      <w:autoSpaceDN w:val="0"/>
      <w:adjustRightInd w:val="0"/>
      <w:spacing w:line="240" w:lineRule="exact"/>
      <w:jc w:val="left"/>
      <w:textAlignment w:val="baseline"/>
    </w:pPr>
    <w:rPr>
      <w:rFonts w:ascii="EY Gothic Comp BookPS" w:hAnsi="EY Gothic Comp BookPS"/>
      <w:b/>
      <w:color w:val="000080"/>
    </w:rPr>
  </w:style>
  <w:style w:type="character" w:customStyle="1" w:styleId="dheaderChar">
    <w:name w:val="#d header Char"/>
    <w:basedOn w:val="DefaultParagraphFont"/>
    <w:rsid w:val="00E72A4C"/>
    <w:rPr>
      <w:rFonts w:ascii="EY Gothic Cond DemiPS" w:hAnsi="EY Gothic Cond DemiPS"/>
      <w:color w:val="000080"/>
      <w:sz w:val="22"/>
      <w:szCs w:val="22"/>
      <w:lang w:val="en-GB" w:eastAsia="en-US" w:bidi="ar-SA"/>
    </w:rPr>
  </w:style>
  <w:style w:type="paragraph" w:customStyle="1" w:styleId="body">
    <w:name w:val="body"/>
    <w:basedOn w:val="Normal"/>
    <w:rsid w:val="00E72A4C"/>
    <w:pPr>
      <w:overflowPunct w:val="0"/>
      <w:autoSpaceDE w:val="0"/>
      <w:autoSpaceDN w:val="0"/>
      <w:adjustRightInd w:val="0"/>
      <w:spacing w:after="120" w:line="240" w:lineRule="exact"/>
      <w:jc w:val="left"/>
      <w:textAlignment w:val="baseline"/>
    </w:pPr>
    <w:rPr>
      <w:rFonts w:ascii="TimesNewRomanPS" w:hAnsi="TimesNewRomanPS"/>
      <w:color w:val="000000"/>
      <w:lang w:val="en-GB"/>
    </w:rPr>
  </w:style>
  <w:style w:type="character" w:customStyle="1" w:styleId="bodyChar">
    <w:name w:val="body Char"/>
    <w:basedOn w:val="DefaultParagraphFont"/>
    <w:rsid w:val="00E72A4C"/>
    <w:rPr>
      <w:rFonts w:ascii="TimesNewRomanPS" w:hAnsi="TimesNewRomanPS"/>
      <w:color w:val="000000"/>
      <w:lang w:val="en-GB" w:eastAsia="en-US" w:bidi="ar-SA"/>
    </w:rPr>
  </w:style>
  <w:style w:type="paragraph" w:customStyle="1" w:styleId="indent2">
    <w:name w:val="indent2"/>
    <w:basedOn w:val="Normal"/>
    <w:rsid w:val="00E72A4C"/>
    <w:pPr>
      <w:numPr>
        <w:numId w:val="16"/>
      </w:numPr>
      <w:overflowPunct w:val="0"/>
      <w:autoSpaceDE w:val="0"/>
      <w:autoSpaceDN w:val="0"/>
      <w:adjustRightInd w:val="0"/>
      <w:spacing w:after="60" w:line="220" w:lineRule="exact"/>
      <w:jc w:val="left"/>
      <w:textAlignment w:val="baseline"/>
    </w:pPr>
    <w:rPr>
      <w:rFonts w:ascii="EY Gothic Comp BookPS" w:hAnsi="EY Gothic Comp BookPS"/>
      <w:lang w:val="en-GB"/>
    </w:rPr>
  </w:style>
  <w:style w:type="paragraph" w:customStyle="1" w:styleId="heading20">
    <w:name w:val="heading2"/>
    <w:basedOn w:val="Normal"/>
    <w:rsid w:val="00E72A4C"/>
    <w:pPr>
      <w:overflowPunct w:val="0"/>
      <w:autoSpaceDE w:val="0"/>
      <w:autoSpaceDN w:val="0"/>
      <w:adjustRightInd w:val="0"/>
      <w:spacing w:before="120" w:after="60" w:line="240" w:lineRule="auto"/>
      <w:jc w:val="left"/>
      <w:textAlignment w:val="baseline"/>
      <w:outlineLvl w:val="1"/>
    </w:pPr>
    <w:rPr>
      <w:rFonts w:ascii="EY Gothic Cond MedPS" w:hAnsi="EY Gothic Cond MedPS"/>
      <w:bCs/>
      <w:i/>
      <w:sz w:val="22"/>
      <w:szCs w:val="22"/>
    </w:rPr>
  </w:style>
  <w:style w:type="paragraph" w:customStyle="1" w:styleId="ps-020-bullet-10">
    <w:name w:val="ps-020-bullet-10"/>
    <w:basedOn w:val="Normal"/>
    <w:rsid w:val="00E72A4C"/>
    <w:pPr>
      <w:spacing w:after="120" w:line="240" w:lineRule="auto"/>
      <w:ind w:left="660" w:hanging="620"/>
      <w:jc w:val="left"/>
    </w:pPr>
    <w:rPr>
      <w:rFonts w:ascii="Verdana" w:hAnsi="Verdana"/>
      <w:color w:val="000000"/>
    </w:rPr>
  </w:style>
  <w:style w:type="paragraph" w:customStyle="1" w:styleId="ps-021-bullet-a">
    <w:name w:val="ps-021-bullet-a"/>
    <w:basedOn w:val="Normal"/>
    <w:rsid w:val="00E72A4C"/>
    <w:pPr>
      <w:spacing w:after="120" w:line="240" w:lineRule="auto"/>
      <w:ind w:left="1400" w:hanging="640"/>
      <w:jc w:val="left"/>
    </w:pPr>
    <w:rPr>
      <w:rFonts w:ascii="Verdana" w:hAnsi="Verdana"/>
      <w:color w:val="000000"/>
    </w:rPr>
  </w:style>
  <w:style w:type="paragraph" w:customStyle="1" w:styleId="Bulletindent">
    <w:name w:val="Bullet indent"/>
    <w:basedOn w:val="Normal"/>
    <w:rsid w:val="0036345C"/>
    <w:pPr>
      <w:widowControl w:val="0"/>
      <w:numPr>
        <w:numId w:val="17"/>
      </w:numPr>
      <w:overflowPunct w:val="0"/>
      <w:autoSpaceDE w:val="0"/>
      <w:autoSpaceDN w:val="0"/>
      <w:adjustRightInd w:val="0"/>
      <w:spacing w:line="280" w:lineRule="exact"/>
      <w:textAlignment w:val="baseline"/>
    </w:pPr>
    <w:rPr>
      <w:sz w:val="22"/>
    </w:rPr>
  </w:style>
  <w:style w:type="paragraph" w:styleId="NormalWeb">
    <w:name w:val="Normal (Web)"/>
    <w:basedOn w:val="Normal"/>
    <w:uiPriority w:val="99"/>
    <w:rsid w:val="005E07DB"/>
    <w:pPr>
      <w:spacing w:before="100" w:beforeAutospacing="1" w:after="100" w:afterAutospacing="1" w:line="240" w:lineRule="auto"/>
      <w:jc w:val="left"/>
    </w:pPr>
    <w:rPr>
      <w:sz w:val="24"/>
      <w:szCs w:val="24"/>
    </w:rPr>
  </w:style>
  <w:style w:type="paragraph" w:customStyle="1" w:styleId="Style1">
    <w:name w:val="Style1"/>
    <w:basedOn w:val="Heading1"/>
    <w:rsid w:val="000B4E8D"/>
    <w:rPr>
      <w:color w:val="FFFFFF"/>
    </w:rPr>
  </w:style>
  <w:style w:type="paragraph" w:customStyle="1" w:styleId="CharCharCharCarattereCarattereCharCharCharCharCharCharCharCharCharChar">
    <w:name w:val="Char Char Char Carattere Carattere Char Char Char Char Char Char Char Char Char Char"/>
    <w:basedOn w:val="Normal"/>
    <w:semiHidden/>
    <w:rsid w:val="0047582E"/>
    <w:pPr>
      <w:spacing w:after="160" w:line="240" w:lineRule="exact"/>
      <w:jc w:val="left"/>
    </w:pPr>
    <w:rPr>
      <w:rFonts w:ascii="Tahoma" w:hAnsi="Tahoma"/>
      <w:sz w:val="18"/>
    </w:rPr>
  </w:style>
  <w:style w:type="paragraph" w:customStyle="1" w:styleId="--">
    <w:name w:val="--&gt;"/>
    <w:uiPriority w:val="99"/>
    <w:rsid w:val="00B243DD"/>
    <w:pPr>
      <w:overflowPunct w:val="0"/>
      <w:autoSpaceDE w:val="0"/>
      <w:autoSpaceDN w:val="0"/>
      <w:adjustRightInd w:val="0"/>
      <w:textAlignment w:val="baseline"/>
    </w:pPr>
    <w:rPr>
      <w:lang w:val="en-GB" w:eastAsia="en-US"/>
    </w:rPr>
  </w:style>
  <w:style w:type="table" w:styleId="TableGrid">
    <w:name w:val="Table Grid"/>
    <w:basedOn w:val="TableNormal"/>
    <w:rsid w:val="00B475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xtns">
    <w:name w:val="tabletxtns"/>
    <w:basedOn w:val="Normal"/>
    <w:link w:val="tabletxtnsChar"/>
    <w:rsid w:val="00B475BE"/>
    <w:pPr>
      <w:overflowPunct w:val="0"/>
      <w:autoSpaceDE w:val="0"/>
      <w:autoSpaceDN w:val="0"/>
      <w:adjustRightInd w:val="0"/>
      <w:spacing w:before="20" w:line="200" w:lineRule="exact"/>
      <w:jc w:val="left"/>
      <w:textAlignment w:val="baseline"/>
    </w:pPr>
    <w:rPr>
      <w:rFonts w:ascii="EY Gothic Comp BookPS" w:hAnsi="EY Gothic Comp BookPS"/>
      <w:color w:val="000000"/>
      <w:lang w:val="en-GB"/>
    </w:rPr>
  </w:style>
  <w:style w:type="paragraph" w:customStyle="1" w:styleId="tabletxthd">
    <w:name w:val="tabletxthd"/>
    <w:basedOn w:val="Normal"/>
    <w:link w:val="tabletxthdChar"/>
    <w:rsid w:val="00B475BE"/>
    <w:pPr>
      <w:overflowPunct w:val="0"/>
      <w:autoSpaceDE w:val="0"/>
      <w:autoSpaceDN w:val="0"/>
      <w:adjustRightInd w:val="0"/>
      <w:spacing w:before="20" w:line="200" w:lineRule="exact"/>
      <w:jc w:val="left"/>
      <w:textAlignment w:val="baseline"/>
    </w:pPr>
    <w:rPr>
      <w:rFonts w:ascii="EY Gothic Comp BookPS" w:hAnsi="EY Gothic Comp BookPS"/>
      <w:b/>
      <w:bCs/>
      <w:noProof/>
      <w:color w:val="000000"/>
      <w:lang w:val="en-GB"/>
    </w:rPr>
  </w:style>
  <w:style w:type="paragraph" w:customStyle="1" w:styleId="tabletxthdital">
    <w:name w:val="tabletxt hdital"/>
    <w:basedOn w:val="Normal"/>
    <w:rsid w:val="00B475BE"/>
    <w:pPr>
      <w:tabs>
        <w:tab w:val="decimal" w:pos="782"/>
      </w:tabs>
      <w:overflowPunct w:val="0"/>
      <w:autoSpaceDE w:val="0"/>
      <w:autoSpaceDN w:val="0"/>
      <w:adjustRightInd w:val="0"/>
      <w:spacing w:before="20" w:line="200" w:lineRule="exact"/>
      <w:jc w:val="left"/>
      <w:textAlignment w:val="baseline"/>
    </w:pPr>
    <w:rPr>
      <w:rFonts w:ascii="EY Gothic Comp BookPS" w:hAnsi="EY Gothic Comp BookPS"/>
      <w:i/>
      <w:lang w:val="en-GB"/>
    </w:rPr>
  </w:style>
  <w:style w:type="paragraph" w:customStyle="1" w:styleId="tabletxtssm">
    <w:name w:val="tabletxt #s sm"/>
    <w:basedOn w:val="Normal"/>
    <w:link w:val="tabletxtssmChar"/>
    <w:rsid w:val="00B475BE"/>
    <w:pPr>
      <w:tabs>
        <w:tab w:val="decimal" w:pos="504"/>
      </w:tabs>
      <w:overflowPunct w:val="0"/>
      <w:autoSpaceDE w:val="0"/>
      <w:autoSpaceDN w:val="0"/>
      <w:adjustRightInd w:val="0"/>
      <w:spacing w:before="20" w:line="200" w:lineRule="exact"/>
      <w:jc w:val="left"/>
      <w:textAlignment w:val="baseline"/>
    </w:pPr>
    <w:rPr>
      <w:rFonts w:ascii="EY Gothic Comp BookPS" w:hAnsi="EY Gothic Comp BookPS"/>
      <w:noProof/>
      <w:color w:val="000000"/>
      <w:lang w:val="en-GB"/>
    </w:rPr>
  </w:style>
  <w:style w:type="character" w:customStyle="1" w:styleId="tabletxthdChar">
    <w:name w:val="tabletxthd Char"/>
    <w:basedOn w:val="DefaultParagraphFont"/>
    <w:link w:val="tabletxthd"/>
    <w:rsid w:val="00B475BE"/>
    <w:rPr>
      <w:rFonts w:ascii="EY Gothic Comp BookPS" w:hAnsi="EY Gothic Comp BookPS"/>
      <w:b/>
      <w:bCs/>
      <w:noProof/>
      <w:color w:val="000000"/>
      <w:lang w:val="en-GB" w:eastAsia="en-US" w:bidi="ar-SA"/>
    </w:rPr>
  </w:style>
  <w:style w:type="character" w:customStyle="1" w:styleId="tabletxtnsChar">
    <w:name w:val="tabletxtns Char"/>
    <w:basedOn w:val="DefaultParagraphFont"/>
    <w:link w:val="tabletxtns"/>
    <w:rsid w:val="00B475BE"/>
    <w:rPr>
      <w:rFonts w:ascii="EY Gothic Comp BookPS" w:hAnsi="EY Gothic Comp BookPS"/>
      <w:color w:val="000000"/>
      <w:lang w:val="en-GB" w:eastAsia="en-US" w:bidi="ar-SA"/>
    </w:rPr>
  </w:style>
  <w:style w:type="character" w:customStyle="1" w:styleId="tabletxtssmChar">
    <w:name w:val="tabletxt #s sm Char"/>
    <w:basedOn w:val="DefaultParagraphFont"/>
    <w:link w:val="tabletxtssm"/>
    <w:rsid w:val="00B475BE"/>
    <w:rPr>
      <w:rFonts w:ascii="EY Gothic Comp BookPS" w:hAnsi="EY Gothic Comp BookPS"/>
      <w:noProof/>
      <w:color w:val="000000"/>
      <w:lang w:val="en-GB" w:eastAsia="en-US" w:bidi="ar-SA"/>
    </w:rPr>
  </w:style>
  <w:style w:type="paragraph" w:customStyle="1" w:styleId="Notesbodytext">
    <w:name w:val="Notes body text"/>
    <w:basedOn w:val="BodyText"/>
    <w:link w:val="NotesbodytextChar"/>
    <w:rsid w:val="001B3055"/>
    <w:pPr>
      <w:overflowPunct w:val="0"/>
      <w:autoSpaceDE w:val="0"/>
      <w:autoSpaceDN w:val="0"/>
      <w:adjustRightInd w:val="0"/>
      <w:spacing w:line="240" w:lineRule="exact"/>
      <w:jc w:val="left"/>
      <w:textAlignment w:val="baseline"/>
    </w:pPr>
    <w:rPr>
      <w:rFonts w:ascii="EYInterstate Light" w:hAnsi="EYInterstate Light" w:cs="Arial"/>
      <w:color w:val="000000"/>
      <w:sz w:val="18"/>
      <w:lang w:val="en-GB"/>
    </w:rPr>
  </w:style>
  <w:style w:type="character" w:customStyle="1" w:styleId="NotesbodytextChar">
    <w:name w:val="Notes body text Char"/>
    <w:basedOn w:val="DefaultParagraphFont"/>
    <w:link w:val="Notesbodytext"/>
    <w:rsid w:val="00436B2B"/>
    <w:rPr>
      <w:rFonts w:ascii="EYInterstate Light" w:hAnsi="EYInterstate Light" w:cs="Arial"/>
      <w:color w:val="000000"/>
      <w:sz w:val="18"/>
      <w:lang w:val="en-GB" w:eastAsia="en-US" w:bidi="ar-SA"/>
    </w:rPr>
  </w:style>
  <w:style w:type="paragraph" w:customStyle="1" w:styleId="tablebullet">
    <w:name w:val="table bullet"/>
    <w:basedOn w:val="Normal"/>
    <w:rsid w:val="00436B2B"/>
    <w:pPr>
      <w:numPr>
        <w:numId w:val="18"/>
      </w:numPr>
      <w:overflowPunct w:val="0"/>
      <w:autoSpaceDE w:val="0"/>
      <w:autoSpaceDN w:val="0"/>
      <w:adjustRightInd w:val="0"/>
      <w:spacing w:line="220" w:lineRule="exact"/>
      <w:jc w:val="left"/>
      <w:textAlignment w:val="baseline"/>
    </w:pPr>
    <w:rPr>
      <w:rFonts w:ascii="EYInterstate Light" w:hAnsi="EYInterstate Light"/>
      <w:sz w:val="18"/>
      <w:lang w:val="en-GB"/>
    </w:rPr>
  </w:style>
  <w:style w:type="paragraph" w:customStyle="1" w:styleId="Notesitalicheading">
    <w:name w:val="Notes italic heading"/>
    <w:basedOn w:val="Notesbodytext"/>
    <w:link w:val="NotesitalicheadingChar"/>
    <w:rsid w:val="008B1432"/>
    <w:pPr>
      <w:spacing w:after="0"/>
    </w:pPr>
    <w:rPr>
      <w:b/>
      <w:i/>
    </w:rPr>
  </w:style>
  <w:style w:type="character" w:customStyle="1" w:styleId="NotesitalicheadingChar">
    <w:name w:val="Notes italic heading Char"/>
    <w:basedOn w:val="NotesbodytextChar"/>
    <w:link w:val="Notesitalicheading"/>
    <w:rsid w:val="008B1432"/>
    <w:rPr>
      <w:rFonts w:ascii="EYInterstate Light" w:hAnsi="EYInterstate Light" w:cs="Arial"/>
      <w:b/>
      <w:i/>
      <w:color w:val="000000"/>
      <w:sz w:val="18"/>
      <w:lang w:val="en-GB" w:eastAsia="en-US" w:bidi="ar-SA"/>
    </w:rPr>
  </w:style>
  <w:style w:type="paragraph" w:customStyle="1" w:styleId="Notesbulletpoint">
    <w:name w:val="Notes bullet point"/>
    <w:link w:val="NotesbulletpointChar"/>
    <w:rsid w:val="008B1432"/>
    <w:pPr>
      <w:tabs>
        <w:tab w:val="num" w:pos="461"/>
      </w:tabs>
      <w:spacing w:after="120"/>
      <w:ind w:left="459"/>
    </w:pPr>
    <w:rPr>
      <w:rFonts w:ascii="EYInterstate Light" w:hAnsi="EYInterstate Light"/>
      <w:sz w:val="18"/>
      <w:lang w:val="en-GB" w:eastAsia="en-US"/>
    </w:rPr>
  </w:style>
  <w:style w:type="character" w:customStyle="1" w:styleId="NotesbulletpointChar">
    <w:name w:val="Notes bullet point Char"/>
    <w:basedOn w:val="DefaultParagraphFont"/>
    <w:link w:val="Notesbulletpoint"/>
    <w:rsid w:val="008B1432"/>
    <w:rPr>
      <w:rFonts w:ascii="EYInterstate Light" w:hAnsi="EYInterstate Light"/>
      <w:sz w:val="18"/>
      <w:lang w:val="en-GB" w:eastAsia="en-US" w:bidi="ar-SA"/>
    </w:rPr>
  </w:style>
  <w:style w:type="paragraph" w:customStyle="1" w:styleId="NormalNotLatin">
    <w:name w:val="Normal + Not (Latin)"/>
    <w:basedOn w:val="Normal"/>
    <w:rsid w:val="00DE2662"/>
    <w:pPr>
      <w:spacing w:line="240" w:lineRule="auto"/>
    </w:pPr>
    <w:rPr>
      <w:sz w:val="22"/>
      <w:szCs w:val="22"/>
    </w:rPr>
  </w:style>
  <w:style w:type="paragraph" w:customStyle="1" w:styleId="StylebodyCondensedby01pt">
    <w:name w:val="Style body + Condensed by  0.1 pt"/>
    <w:basedOn w:val="body"/>
    <w:link w:val="StylebodyCondensedby01ptChar"/>
    <w:semiHidden/>
    <w:rsid w:val="00A15621"/>
    <w:rPr>
      <w:sz w:val="18"/>
    </w:rPr>
  </w:style>
  <w:style w:type="character" w:customStyle="1" w:styleId="StylebodyCondensedby01ptChar">
    <w:name w:val="Style body + Condensed by  0.1 pt Char"/>
    <w:basedOn w:val="bodyChar"/>
    <w:link w:val="StylebodyCondensedby01pt"/>
    <w:rsid w:val="00A15621"/>
    <w:rPr>
      <w:rFonts w:ascii="TimesNewRomanPS" w:hAnsi="TimesNewRomanPS"/>
      <w:color w:val="000000"/>
      <w:sz w:val="18"/>
      <w:lang w:val="en-GB" w:eastAsia="en-US" w:bidi="ar-SA"/>
    </w:rPr>
  </w:style>
  <w:style w:type="paragraph" w:customStyle="1" w:styleId="Spacingcell">
    <w:name w:val="Spacing cell"/>
    <w:basedOn w:val="Normal"/>
    <w:semiHidden/>
    <w:rsid w:val="00A15621"/>
    <w:pPr>
      <w:tabs>
        <w:tab w:val="right" w:leader="dot" w:pos="9720"/>
      </w:tabs>
      <w:overflowPunct w:val="0"/>
      <w:autoSpaceDE w:val="0"/>
      <w:autoSpaceDN w:val="0"/>
      <w:adjustRightInd w:val="0"/>
      <w:spacing w:line="100" w:lineRule="exact"/>
      <w:jc w:val="left"/>
      <w:textAlignment w:val="baseline"/>
    </w:pPr>
    <w:rPr>
      <w:rFonts w:ascii="EYInterstate Light" w:hAnsi="EYInterstate Light" w:cs="Arial"/>
      <w:bCs/>
      <w:iCs/>
      <w:noProof/>
      <w:color w:val="000000"/>
      <w:sz w:val="10"/>
      <w:szCs w:val="10"/>
      <w:lang w:val="en-GB"/>
    </w:rPr>
  </w:style>
  <w:style w:type="paragraph" w:customStyle="1" w:styleId="DT">
    <w:name w:val="DT"/>
    <w:basedOn w:val="BodyTextIndent"/>
    <w:rsid w:val="006765E7"/>
    <w:pPr>
      <w:keepNext w:val="0"/>
      <w:keepLines w:val="0"/>
      <w:spacing w:before="240" w:line="240" w:lineRule="auto"/>
      <w:ind w:left="0"/>
    </w:pPr>
    <w:rPr>
      <w:snapToGrid w:val="0"/>
      <w:sz w:val="22"/>
      <w:lang w:val="bg-BG"/>
    </w:rPr>
  </w:style>
  <w:style w:type="character" w:customStyle="1" w:styleId="Heading4Char">
    <w:name w:val="Heading 4 Char"/>
    <w:basedOn w:val="DefaultParagraphFont"/>
    <w:link w:val="Heading4"/>
    <w:rsid w:val="00294FAB"/>
    <w:rPr>
      <w:sz w:val="24"/>
      <w:lang w:val="en-US" w:eastAsia="en-US" w:bidi="ar-SA"/>
    </w:rPr>
  </w:style>
  <w:style w:type="paragraph" w:customStyle="1" w:styleId="Char">
    <w:name w:val="Char"/>
    <w:basedOn w:val="Normal"/>
    <w:rsid w:val="00A01E99"/>
    <w:pPr>
      <w:widowControl w:val="0"/>
      <w:numPr>
        <w:ilvl w:val="6"/>
        <w:numId w:val="16"/>
      </w:numPr>
      <w:tabs>
        <w:tab w:val="num" w:pos="360"/>
      </w:tabs>
      <w:spacing w:line="240" w:lineRule="auto"/>
      <w:ind w:left="0" w:firstLine="0"/>
    </w:pPr>
    <w:rPr>
      <w:rFonts w:ascii="Arial" w:eastAsia="SimSun" w:hAnsi="Arial" w:cs="Arial"/>
      <w:kern w:val="2"/>
      <w:szCs w:val="24"/>
      <w:lang w:eastAsia="zh-CN"/>
    </w:rPr>
  </w:style>
  <w:style w:type="paragraph" w:customStyle="1" w:styleId="Indextext">
    <w:name w:val="Index text"/>
    <w:basedOn w:val="TOC1"/>
    <w:semiHidden/>
    <w:rsid w:val="00D20BFF"/>
    <w:pPr>
      <w:tabs>
        <w:tab w:val="clear" w:pos="0"/>
        <w:tab w:val="clear" w:pos="284"/>
        <w:tab w:val="clear" w:pos="567"/>
        <w:tab w:val="clear" w:pos="8505"/>
        <w:tab w:val="right" w:leader="dot" w:pos="9720"/>
      </w:tabs>
      <w:overflowPunct w:val="0"/>
      <w:autoSpaceDE w:val="0"/>
      <w:autoSpaceDN w:val="0"/>
      <w:adjustRightInd w:val="0"/>
      <w:spacing w:before="40" w:after="40" w:line="240" w:lineRule="exact"/>
      <w:jc w:val="left"/>
      <w:textAlignment w:val="baseline"/>
    </w:pPr>
    <w:rPr>
      <w:rFonts w:ascii="EYInterstate Light" w:hAnsi="EYInterstate Light" w:cs="Arial"/>
      <w:b w:val="0"/>
      <w:iCs/>
      <w:color w:val="000000"/>
      <w:lang w:val="en-GB"/>
    </w:rPr>
  </w:style>
  <w:style w:type="paragraph" w:customStyle="1" w:styleId="bodycopyindent">
    <w:name w:val="body copy indent"/>
    <w:basedOn w:val="Normal"/>
    <w:rsid w:val="007E4E5A"/>
    <w:pPr>
      <w:spacing w:before="20" w:line="210" w:lineRule="exact"/>
      <w:ind w:left="510"/>
      <w:jc w:val="left"/>
    </w:pPr>
    <w:rPr>
      <w:rFonts w:ascii="Arial" w:eastAsia="PMingLiU" w:hAnsi="Arial" w:cs="Arial"/>
      <w:color w:val="000000"/>
      <w:sz w:val="17"/>
      <w:szCs w:val="17"/>
      <w:lang w:val="en-AU"/>
    </w:rPr>
  </w:style>
  <w:style w:type="character" w:customStyle="1" w:styleId="tabletextChar">
    <w:name w:val="table text Char"/>
    <w:basedOn w:val="DefaultParagraphFont"/>
    <w:link w:val="tabletext"/>
    <w:rsid w:val="00253E51"/>
    <w:rPr>
      <w:rFonts w:ascii="EYInterstate Light" w:hAnsi="EYInterstate Light"/>
      <w:sz w:val="18"/>
      <w:lang w:val="en-GB" w:eastAsia="en-US" w:bidi="ar-SA"/>
    </w:rPr>
  </w:style>
  <w:style w:type="paragraph" w:customStyle="1" w:styleId="tabletext">
    <w:name w:val="table text"/>
    <w:link w:val="tabletextChar"/>
    <w:rsid w:val="00253E51"/>
    <w:pPr>
      <w:spacing w:line="220" w:lineRule="exact"/>
    </w:pPr>
    <w:rPr>
      <w:rFonts w:ascii="EYInterstate Light" w:hAnsi="EYInterstate Light"/>
      <w:sz w:val="18"/>
      <w:lang w:val="en-GB" w:eastAsia="en-US"/>
    </w:rPr>
  </w:style>
  <w:style w:type="paragraph" w:customStyle="1" w:styleId="IAStext">
    <w:name w:val="IAS text"/>
    <w:next w:val="Normal"/>
    <w:link w:val="IAStextChar"/>
    <w:rsid w:val="00253E51"/>
    <w:pPr>
      <w:spacing w:line="180" w:lineRule="exact"/>
    </w:pPr>
    <w:rPr>
      <w:rFonts w:ascii="EYInterstate Light" w:hAnsi="EYInterstate Light"/>
      <w:i/>
      <w:sz w:val="13"/>
      <w:lang w:val="en-GB" w:eastAsia="en-US"/>
    </w:rPr>
  </w:style>
  <w:style w:type="character" w:customStyle="1" w:styleId="IAStextChar">
    <w:name w:val="IAS text Char"/>
    <w:basedOn w:val="tabletextChar"/>
    <w:link w:val="IAStext"/>
    <w:rsid w:val="00253E51"/>
    <w:rPr>
      <w:rFonts w:ascii="EYInterstate Light" w:hAnsi="EYInterstate Light"/>
      <w:i/>
      <w:sz w:val="13"/>
      <w:lang w:val="en-GB" w:eastAsia="en-US" w:bidi="ar-SA"/>
    </w:rPr>
  </w:style>
  <w:style w:type="paragraph" w:customStyle="1" w:styleId="Tablecolumnheading">
    <w:name w:val="Table column heading"/>
    <w:next w:val="tabletext"/>
    <w:rsid w:val="00253E51"/>
    <w:pPr>
      <w:overflowPunct w:val="0"/>
      <w:autoSpaceDE w:val="0"/>
      <w:autoSpaceDN w:val="0"/>
      <w:adjustRightInd w:val="0"/>
      <w:spacing w:line="220" w:lineRule="exact"/>
      <w:jc w:val="right"/>
      <w:textAlignment w:val="baseline"/>
    </w:pPr>
    <w:rPr>
      <w:rFonts w:ascii="EYInterstate" w:hAnsi="EYInterstate" w:cs="Arial"/>
      <w:b/>
      <w:color w:val="000000"/>
      <w:sz w:val="18"/>
      <w:szCs w:val="18"/>
      <w:lang w:val="en-GB" w:eastAsia="en-US"/>
    </w:rPr>
  </w:style>
  <w:style w:type="character" w:customStyle="1" w:styleId="HeaderChar">
    <w:name w:val="Header Char"/>
    <w:aliases w:val="even Char,hd Char"/>
    <w:basedOn w:val="DefaultParagraphFont"/>
    <w:link w:val="Header"/>
    <w:semiHidden/>
    <w:locked/>
    <w:rsid w:val="00F7102A"/>
    <w:rPr>
      <w:rFonts w:ascii="Times" w:hAnsi="Times"/>
      <w:sz w:val="24"/>
      <w:lang w:val="en-US" w:eastAsia="en-US" w:bidi="ar-SA"/>
    </w:rPr>
  </w:style>
  <w:style w:type="character" w:customStyle="1" w:styleId="FooterChar">
    <w:name w:val="Footer Char"/>
    <w:basedOn w:val="DefaultParagraphFont"/>
    <w:link w:val="Footer"/>
    <w:uiPriority w:val="99"/>
    <w:locked/>
    <w:rsid w:val="00F7102A"/>
    <w:rPr>
      <w:rFonts w:ascii="Times" w:hAnsi="Times"/>
      <w:sz w:val="24"/>
      <w:lang w:val="en-US" w:eastAsia="en-US" w:bidi="ar-SA"/>
    </w:rPr>
  </w:style>
  <w:style w:type="character" w:styleId="Emphasis">
    <w:name w:val="Emphasis"/>
    <w:basedOn w:val="DefaultParagraphFont"/>
    <w:qFormat/>
    <w:rsid w:val="00A43400"/>
    <w:rPr>
      <w:i/>
      <w:iCs/>
    </w:rPr>
  </w:style>
  <w:style w:type="character" w:customStyle="1" w:styleId="BodyTextChar">
    <w:name w:val="Body Text Char"/>
    <w:basedOn w:val="DefaultParagraphFont"/>
    <w:link w:val="BodyText"/>
    <w:rsid w:val="00145F1E"/>
    <w:rPr>
      <w:lang w:val="en-US" w:eastAsia="en-US" w:bidi="ar-SA"/>
    </w:rPr>
  </w:style>
  <w:style w:type="paragraph" w:styleId="ListParagraph">
    <w:name w:val="List Paragraph"/>
    <w:basedOn w:val="Normal"/>
    <w:uiPriority w:val="34"/>
    <w:qFormat/>
    <w:rsid w:val="00E822DD"/>
    <w:pPr>
      <w:ind w:left="720"/>
    </w:pPr>
  </w:style>
  <w:style w:type="character" w:customStyle="1" w:styleId="Heading1Char">
    <w:name w:val="Heading 1 Char"/>
    <w:aliases w:val="Section Heading Char"/>
    <w:basedOn w:val="DefaultParagraphFont"/>
    <w:link w:val="Heading1"/>
    <w:rsid w:val="00BB0380"/>
    <w:rPr>
      <w:rFonts w:ascii="Arial" w:hAnsi="Arial" w:cs="Arial"/>
      <w:b/>
      <w:lang w:eastAsia="en-US"/>
    </w:rPr>
  </w:style>
  <w:style w:type="paragraph" w:styleId="Revision">
    <w:name w:val="Revision"/>
    <w:hidden/>
    <w:uiPriority w:val="99"/>
    <w:semiHidden/>
    <w:rsid w:val="00011CF6"/>
    <w:rPr>
      <w:lang w:val="en-US" w:eastAsia="en-US"/>
    </w:rPr>
  </w:style>
  <w:style w:type="paragraph" w:customStyle="1" w:styleId="ordinarytext">
    <w:name w:val="ordinary text"/>
    <w:basedOn w:val="ListParagraph"/>
    <w:qFormat/>
    <w:rsid w:val="00F64D9F"/>
    <w:pPr>
      <w:spacing w:after="200" w:line="276" w:lineRule="auto"/>
      <w:ind w:left="0"/>
      <w:contextualSpacing/>
    </w:pPr>
    <w:rPr>
      <w:rFonts w:ascii="Arial" w:eastAsia="Calibri" w:hAnsi="Arial" w:cs="Arial"/>
      <w:sz w:val="18"/>
      <w:szCs w:val="18"/>
    </w:rPr>
  </w:style>
  <w:style w:type="paragraph" w:customStyle="1" w:styleId="Document1">
    <w:name w:val="Document 1"/>
    <w:link w:val="Document1Char"/>
    <w:rsid w:val="006B0DC3"/>
    <w:pPr>
      <w:keepNext/>
      <w:keepLines/>
      <w:widowControl w:val="0"/>
      <w:tabs>
        <w:tab w:val="left" w:pos="-720"/>
      </w:tabs>
      <w:suppressAutoHyphens/>
    </w:pPr>
    <w:rPr>
      <w:rFonts w:ascii="Bodoni Book 12pt" w:hAnsi="Bodoni Book 12pt"/>
      <w:sz w:val="24"/>
      <w:lang w:val="en-US" w:eastAsia="en-US"/>
    </w:rPr>
  </w:style>
  <w:style w:type="character" w:customStyle="1" w:styleId="Document1Char">
    <w:name w:val="Document 1 Char"/>
    <w:basedOn w:val="DefaultParagraphFont"/>
    <w:link w:val="Document1"/>
    <w:rsid w:val="006B0DC3"/>
    <w:rPr>
      <w:rFonts w:ascii="Bodoni Book 12pt" w:hAnsi="Bodoni Book 12pt"/>
      <w:sz w:val="24"/>
      <w:lang w:val="en-US" w:eastAsia="en-US"/>
    </w:rPr>
  </w:style>
  <w:style w:type="paragraph" w:customStyle="1" w:styleId="Default">
    <w:name w:val="Default"/>
    <w:rsid w:val="004E0FBD"/>
    <w:pPr>
      <w:autoSpaceDE w:val="0"/>
      <w:autoSpaceDN w:val="0"/>
      <w:adjustRightInd w:val="0"/>
    </w:pPr>
    <w:rPr>
      <w:rFonts w:ascii="Arial" w:hAnsi="Arial" w:cs="Arial"/>
      <w:color w:val="000000"/>
      <w:sz w:val="24"/>
      <w:szCs w:val="24"/>
    </w:rPr>
  </w:style>
  <w:style w:type="character" w:customStyle="1" w:styleId="yiv743833687apple-style-span">
    <w:name w:val="yiv743833687apple-style-span"/>
    <w:basedOn w:val="DefaultParagraphFont"/>
    <w:rsid w:val="005F5E9C"/>
  </w:style>
  <w:style w:type="character" w:customStyle="1" w:styleId="hps">
    <w:name w:val="hps"/>
    <w:basedOn w:val="DefaultParagraphFont"/>
    <w:rsid w:val="00CB16A8"/>
  </w:style>
  <w:style w:type="paragraph" w:customStyle="1" w:styleId="Zaglavie">
    <w:name w:val="Zaglavie"/>
    <w:basedOn w:val="Normal"/>
    <w:uiPriority w:val="99"/>
    <w:rsid w:val="007E3C30"/>
    <w:pPr>
      <w:widowControl w:val="0"/>
      <w:spacing w:line="240" w:lineRule="auto"/>
    </w:pPr>
    <w:rPr>
      <w:b/>
      <w:bCs/>
      <w:sz w:val="22"/>
      <w:szCs w:val="22"/>
      <w:lang w:val="bg-BG"/>
    </w:rPr>
  </w:style>
  <w:style w:type="character" w:customStyle="1" w:styleId="modulecontent1">
    <w:name w:val="modulecontent1"/>
    <w:basedOn w:val="DefaultParagraphFont"/>
    <w:rsid w:val="00EF3AB5"/>
    <w:rPr>
      <w:b w:val="0"/>
      <w:bCs w:val="0"/>
      <w:strike w:val="0"/>
      <w:dstrike w:val="0"/>
      <w:color w:val="000000"/>
      <w:u w:val="none"/>
      <w:effect w:val="none"/>
    </w:rPr>
  </w:style>
  <w:style w:type="paragraph" w:customStyle="1" w:styleId="000Normal">
    <w:name w:val="000 Normal"/>
    <w:basedOn w:val="Normal"/>
    <w:link w:val="000NormalChar"/>
    <w:rsid w:val="00EF3AB5"/>
    <w:pPr>
      <w:overflowPunct w:val="0"/>
      <w:autoSpaceDE w:val="0"/>
      <w:autoSpaceDN w:val="0"/>
      <w:adjustRightInd w:val="0"/>
      <w:spacing w:before="60" w:after="40" w:line="220" w:lineRule="exact"/>
      <w:textAlignment w:val="baseline"/>
    </w:pPr>
    <w:rPr>
      <w:rFonts w:ascii="Garamond" w:hAnsi="Garamond"/>
      <w:lang w:val="bg-BG"/>
    </w:rPr>
  </w:style>
  <w:style w:type="character" w:customStyle="1" w:styleId="000NormalChar">
    <w:name w:val="000 Normal Char"/>
    <w:basedOn w:val="DefaultParagraphFont"/>
    <w:link w:val="000Normal"/>
    <w:rsid w:val="00EF3AB5"/>
    <w:rPr>
      <w:rFonts w:ascii="Garamond" w:hAnsi="Garamond"/>
      <w:lang w:eastAsia="en-US"/>
    </w:rPr>
  </w:style>
  <w:style w:type="paragraph" w:customStyle="1" w:styleId="010Subheading1">
    <w:name w:val="010 Subheading 1"/>
    <w:basedOn w:val="000Normal"/>
    <w:rsid w:val="00EF3AB5"/>
    <w:pPr>
      <w:tabs>
        <w:tab w:val="num" w:pos="425"/>
      </w:tabs>
      <w:spacing w:before="0"/>
      <w:ind w:left="425" w:hanging="425"/>
    </w:pPr>
  </w:style>
  <w:style w:type="character" w:customStyle="1" w:styleId="google-src-text1">
    <w:name w:val="google-src-text1"/>
    <w:basedOn w:val="DefaultParagraphFont"/>
    <w:rsid w:val="00EF3AB5"/>
    <w:rPr>
      <w:vanish/>
      <w:webHidden w:val="0"/>
      <w:specVanish w:val="0"/>
    </w:rPr>
  </w:style>
  <w:style w:type="character" w:customStyle="1" w:styleId="CommentTextChar">
    <w:name w:val="Comment Text Char"/>
    <w:link w:val="CommentText"/>
    <w:locked/>
    <w:rsid w:val="00EF3AB5"/>
    <w:rPr>
      <w:lang w:val="en-US" w:eastAsia="en-US"/>
    </w:rPr>
  </w:style>
  <w:style w:type="paragraph" w:customStyle="1" w:styleId="Textinthedoc">
    <w:name w:val="Text_in_the_doc"/>
    <w:basedOn w:val="Normal"/>
    <w:link w:val="TextinthedocChar"/>
    <w:autoRedefine/>
    <w:rsid w:val="00EF3AB5"/>
    <w:pPr>
      <w:widowControl w:val="0"/>
      <w:tabs>
        <w:tab w:val="left" w:pos="5812"/>
      </w:tabs>
      <w:autoSpaceDE w:val="0"/>
      <w:autoSpaceDN w:val="0"/>
      <w:spacing w:before="120" w:after="120" w:line="240" w:lineRule="auto"/>
      <w:ind w:right="45"/>
    </w:pPr>
    <w:rPr>
      <w:sz w:val="24"/>
      <w:lang w:val="bg-BG" w:eastAsia="bg-BG"/>
    </w:rPr>
  </w:style>
  <w:style w:type="character" w:customStyle="1" w:styleId="TextinthedocChar">
    <w:name w:val="Text_in_the_doc Char"/>
    <w:link w:val="Textinthedoc"/>
    <w:locked/>
    <w:rsid w:val="00EF3AB5"/>
    <w:rPr>
      <w:sz w:val="24"/>
    </w:rPr>
  </w:style>
  <w:style w:type="paragraph" w:customStyle="1" w:styleId="tabletxteyg0">
    <w:name w:val="tabletxteyg"/>
    <w:basedOn w:val="Normal"/>
    <w:rsid w:val="00EF39FA"/>
    <w:pPr>
      <w:autoSpaceDE w:val="0"/>
      <w:autoSpaceDN w:val="0"/>
      <w:spacing w:after="80"/>
      <w:jc w:val="left"/>
    </w:pPr>
    <w:rPr>
      <w:rFonts w:ascii="EY Gothic Comp BookPS" w:eastAsiaTheme="minorHAnsi" w:hAnsi="EY Gothic Comp BookPS"/>
      <w:color w:val="000000"/>
    </w:rPr>
  </w:style>
  <w:style w:type="character" w:customStyle="1" w:styleId="BodyText2Char">
    <w:name w:val="Body Text 2 Char"/>
    <w:basedOn w:val="DefaultParagraphFont"/>
    <w:link w:val="BodyText2"/>
    <w:rsid w:val="001E21D9"/>
    <w:rPr>
      <w:lang w:val="en-US" w:eastAsia="en-US"/>
    </w:rPr>
  </w:style>
  <w:style w:type="character" w:customStyle="1" w:styleId="a1">
    <w:name w:val="Основен текст_"/>
    <w:link w:val="a2"/>
    <w:rsid w:val="001E21D9"/>
    <w:rPr>
      <w:sz w:val="19"/>
      <w:szCs w:val="19"/>
      <w:shd w:val="clear" w:color="auto" w:fill="FFFFFF"/>
    </w:rPr>
  </w:style>
  <w:style w:type="character" w:customStyle="1" w:styleId="a3">
    <w:name w:val="Основен текст + Удебелен"/>
    <w:rsid w:val="001E21D9"/>
    <w:rPr>
      <w:b/>
      <w:bCs/>
      <w:i w:val="0"/>
      <w:iCs w:val="0"/>
      <w:smallCaps w:val="0"/>
      <w:strike w:val="0"/>
      <w:spacing w:val="0"/>
      <w:sz w:val="19"/>
      <w:szCs w:val="19"/>
    </w:rPr>
  </w:style>
  <w:style w:type="paragraph" w:customStyle="1" w:styleId="a2">
    <w:name w:val="Основен текст"/>
    <w:basedOn w:val="Normal"/>
    <w:link w:val="a1"/>
    <w:rsid w:val="001E21D9"/>
    <w:pPr>
      <w:shd w:val="clear" w:color="auto" w:fill="FFFFFF"/>
      <w:spacing w:before="960" w:after="360" w:line="0" w:lineRule="atLeast"/>
      <w:ind w:hanging="420"/>
    </w:pPr>
    <w:rPr>
      <w:sz w:val="19"/>
      <w:szCs w:val="19"/>
      <w:lang w:val="bg-BG" w:eastAsia="bg-BG"/>
    </w:rPr>
  </w:style>
  <w:style w:type="paragraph" w:styleId="HTMLPreformatted">
    <w:name w:val="HTML Preformatted"/>
    <w:basedOn w:val="Normal"/>
    <w:link w:val="HTMLPreformattedChar"/>
    <w:uiPriority w:val="99"/>
    <w:semiHidden/>
    <w:unhideWhenUsed/>
    <w:rsid w:val="00D52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D52540"/>
    <w:rPr>
      <w:rFonts w:ascii="Courier New" w:hAnsi="Courier New" w:cs="Courier New"/>
      <w:lang w:val="en-US" w:eastAsia="en-US"/>
    </w:rPr>
  </w:style>
  <w:style w:type="character" w:customStyle="1" w:styleId="p">
    <w:name w:val="p"/>
    <w:basedOn w:val="DefaultParagraphFont"/>
    <w:rsid w:val="001B3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9089">
      <w:bodyDiv w:val="1"/>
      <w:marLeft w:val="0"/>
      <w:marRight w:val="0"/>
      <w:marTop w:val="0"/>
      <w:marBottom w:val="0"/>
      <w:divBdr>
        <w:top w:val="none" w:sz="0" w:space="0" w:color="auto"/>
        <w:left w:val="none" w:sz="0" w:space="0" w:color="auto"/>
        <w:bottom w:val="none" w:sz="0" w:space="0" w:color="auto"/>
        <w:right w:val="none" w:sz="0" w:space="0" w:color="auto"/>
      </w:divBdr>
    </w:div>
    <w:div w:id="27412174">
      <w:bodyDiv w:val="1"/>
      <w:marLeft w:val="0"/>
      <w:marRight w:val="0"/>
      <w:marTop w:val="0"/>
      <w:marBottom w:val="0"/>
      <w:divBdr>
        <w:top w:val="none" w:sz="0" w:space="0" w:color="auto"/>
        <w:left w:val="none" w:sz="0" w:space="0" w:color="auto"/>
        <w:bottom w:val="none" w:sz="0" w:space="0" w:color="auto"/>
        <w:right w:val="none" w:sz="0" w:space="0" w:color="auto"/>
      </w:divBdr>
    </w:div>
    <w:div w:id="28379897">
      <w:bodyDiv w:val="1"/>
      <w:marLeft w:val="0"/>
      <w:marRight w:val="0"/>
      <w:marTop w:val="0"/>
      <w:marBottom w:val="0"/>
      <w:divBdr>
        <w:top w:val="none" w:sz="0" w:space="0" w:color="auto"/>
        <w:left w:val="none" w:sz="0" w:space="0" w:color="auto"/>
        <w:bottom w:val="none" w:sz="0" w:space="0" w:color="auto"/>
        <w:right w:val="none" w:sz="0" w:space="0" w:color="auto"/>
      </w:divBdr>
    </w:div>
    <w:div w:id="45422335">
      <w:bodyDiv w:val="1"/>
      <w:marLeft w:val="0"/>
      <w:marRight w:val="0"/>
      <w:marTop w:val="0"/>
      <w:marBottom w:val="0"/>
      <w:divBdr>
        <w:top w:val="none" w:sz="0" w:space="0" w:color="auto"/>
        <w:left w:val="none" w:sz="0" w:space="0" w:color="auto"/>
        <w:bottom w:val="none" w:sz="0" w:space="0" w:color="auto"/>
        <w:right w:val="none" w:sz="0" w:space="0" w:color="auto"/>
      </w:divBdr>
    </w:div>
    <w:div w:id="73823849">
      <w:bodyDiv w:val="1"/>
      <w:marLeft w:val="0"/>
      <w:marRight w:val="0"/>
      <w:marTop w:val="0"/>
      <w:marBottom w:val="0"/>
      <w:divBdr>
        <w:top w:val="none" w:sz="0" w:space="0" w:color="auto"/>
        <w:left w:val="none" w:sz="0" w:space="0" w:color="auto"/>
        <w:bottom w:val="none" w:sz="0" w:space="0" w:color="auto"/>
        <w:right w:val="none" w:sz="0" w:space="0" w:color="auto"/>
      </w:divBdr>
    </w:div>
    <w:div w:id="75060385">
      <w:bodyDiv w:val="1"/>
      <w:marLeft w:val="0"/>
      <w:marRight w:val="0"/>
      <w:marTop w:val="0"/>
      <w:marBottom w:val="0"/>
      <w:divBdr>
        <w:top w:val="none" w:sz="0" w:space="0" w:color="auto"/>
        <w:left w:val="none" w:sz="0" w:space="0" w:color="auto"/>
        <w:bottom w:val="none" w:sz="0" w:space="0" w:color="auto"/>
        <w:right w:val="none" w:sz="0" w:space="0" w:color="auto"/>
      </w:divBdr>
    </w:div>
    <w:div w:id="149954654">
      <w:bodyDiv w:val="1"/>
      <w:marLeft w:val="0"/>
      <w:marRight w:val="0"/>
      <w:marTop w:val="0"/>
      <w:marBottom w:val="0"/>
      <w:divBdr>
        <w:top w:val="none" w:sz="0" w:space="0" w:color="auto"/>
        <w:left w:val="none" w:sz="0" w:space="0" w:color="auto"/>
        <w:bottom w:val="none" w:sz="0" w:space="0" w:color="auto"/>
        <w:right w:val="none" w:sz="0" w:space="0" w:color="auto"/>
      </w:divBdr>
    </w:div>
    <w:div w:id="174686185">
      <w:bodyDiv w:val="1"/>
      <w:marLeft w:val="0"/>
      <w:marRight w:val="0"/>
      <w:marTop w:val="0"/>
      <w:marBottom w:val="0"/>
      <w:divBdr>
        <w:top w:val="none" w:sz="0" w:space="0" w:color="auto"/>
        <w:left w:val="none" w:sz="0" w:space="0" w:color="auto"/>
        <w:bottom w:val="none" w:sz="0" w:space="0" w:color="auto"/>
        <w:right w:val="none" w:sz="0" w:space="0" w:color="auto"/>
      </w:divBdr>
    </w:div>
    <w:div w:id="174729579">
      <w:bodyDiv w:val="1"/>
      <w:marLeft w:val="0"/>
      <w:marRight w:val="0"/>
      <w:marTop w:val="0"/>
      <w:marBottom w:val="0"/>
      <w:divBdr>
        <w:top w:val="none" w:sz="0" w:space="0" w:color="auto"/>
        <w:left w:val="none" w:sz="0" w:space="0" w:color="auto"/>
        <w:bottom w:val="none" w:sz="0" w:space="0" w:color="auto"/>
        <w:right w:val="none" w:sz="0" w:space="0" w:color="auto"/>
      </w:divBdr>
    </w:div>
    <w:div w:id="192690662">
      <w:bodyDiv w:val="1"/>
      <w:marLeft w:val="0"/>
      <w:marRight w:val="0"/>
      <w:marTop w:val="0"/>
      <w:marBottom w:val="0"/>
      <w:divBdr>
        <w:top w:val="none" w:sz="0" w:space="0" w:color="auto"/>
        <w:left w:val="none" w:sz="0" w:space="0" w:color="auto"/>
        <w:bottom w:val="none" w:sz="0" w:space="0" w:color="auto"/>
        <w:right w:val="none" w:sz="0" w:space="0" w:color="auto"/>
      </w:divBdr>
    </w:div>
    <w:div w:id="220598886">
      <w:bodyDiv w:val="1"/>
      <w:marLeft w:val="0"/>
      <w:marRight w:val="0"/>
      <w:marTop w:val="0"/>
      <w:marBottom w:val="0"/>
      <w:divBdr>
        <w:top w:val="none" w:sz="0" w:space="0" w:color="auto"/>
        <w:left w:val="none" w:sz="0" w:space="0" w:color="auto"/>
        <w:bottom w:val="none" w:sz="0" w:space="0" w:color="auto"/>
        <w:right w:val="none" w:sz="0" w:space="0" w:color="auto"/>
      </w:divBdr>
    </w:div>
    <w:div w:id="225534366">
      <w:bodyDiv w:val="1"/>
      <w:marLeft w:val="0"/>
      <w:marRight w:val="0"/>
      <w:marTop w:val="0"/>
      <w:marBottom w:val="0"/>
      <w:divBdr>
        <w:top w:val="none" w:sz="0" w:space="0" w:color="auto"/>
        <w:left w:val="none" w:sz="0" w:space="0" w:color="auto"/>
        <w:bottom w:val="none" w:sz="0" w:space="0" w:color="auto"/>
        <w:right w:val="none" w:sz="0" w:space="0" w:color="auto"/>
      </w:divBdr>
    </w:div>
    <w:div w:id="249586611">
      <w:bodyDiv w:val="1"/>
      <w:marLeft w:val="0"/>
      <w:marRight w:val="0"/>
      <w:marTop w:val="0"/>
      <w:marBottom w:val="0"/>
      <w:divBdr>
        <w:top w:val="none" w:sz="0" w:space="0" w:color="auto"/>
        <w:left w:val="none" w:sz="0" w:space="0" w:color="auto"/>
        <w:bottom w:val="none" w:sz="0" w:space="0" w:color="auto"/>
        <w:right w:val="none" w:sz="0" w:space="0" w:color="auto"/>
      </w:divBdr>
    </w:div>
    <w:div w:id="315501453">
      <w:bodyDiv w:val="1"/>
      <w:marLeft w:val="0"/>
      <w:marRight w:val="0"/>
      <w:marTop w:val="0"/>
      <w:marBottom w:val="0"/>
      <w:divBdr>
        <w:top w:val="none" w:sz="0" w:space="0" w:color="auto"/>
        <w:left w:val="none" w:sz="0" w:space="0" w:color="auto"/>
        <w:bottom w:val="none" w:sz="0" w:space="0" w:color="auto"/>
        <w:right w:val="none" w:sz="0" w:space="0" w:color="auto"/>
      </w:divBdr>
    </w:div>
    <w:div w:id="347490360">
      <w:bodyDiv w:val="1"/>
      <w:marLeft w:val="0"/>
      <w:marRight w:val="0"/>
      <w:marTop w:val="0"/>
      <w:marBottom w:val="0"/>
      <w:divBdr>
        <w:top w:val="none" w:sz="0" w:space="0" w:color="auto"/>
        <w:left w:val="none" w:sz="0" w:space="0" w:color="auto"/>
        <w:bottom w:val="none" w:sz="0" w:space="0" w:color="auto"/>
        <w:right w:val="none" w:sz="0" w:space="0" w:color="auto"/>
      </w:divBdr>
    </w:div>
    <w:div w:id="349530874">
      <w:bodyDiv w:val="1"/>
      <w:marLeft w:val="0"/>
      <w:marRight w:val="0"/>
      <w:marTop w:val="0"/>
      <w:marBottom w:val="0"/>
      <w:divBdr>
        <w:top w:val="none" w:sz="0" w:space="0" w:color="auto"/>
        <w:left w:val="none" w:sz="0" w:space="0" w:color="auto"/>
        <w:bottom w:val="none" w:sz="0" w:space="0" w:color="auto"/>
        <w:right w:val="none" w:sz="0" w:space="0" w:color="auto"/>
      </w:divBdr>
    </w:div>
    <w:div w:id="361782664">
      <w:bodyDiv w:val="1"/>
      <w:marLeft w:val="0"/>
      <w:marRight w:val="0"/>
      <w:marTop w:val="0"/>
      <w:marBottom w:val="0"/>
      <w:divBdr>
        <w:top w:val="none" w:sz="0" w:space="0" w:color="auto"/>
        <w:left w:val="none" w:sz="0" w:space="0" w:color="auto"/>
        <w:bottom w:val="none" w:sz="0" w:space="0" w:color="auto"/>
        <w:right w:val="none" w:sz="0" w:space="0" w:color="auto"/>
      </w:divBdr>
    </w:div>
    <w:div w:id="366763607">
      <w:bodyDiv w:val="1"/>
      <w:marLeft w:val="0"/>
      <w:marRight w:val="0"/>
      <w:marTop w:val="0"/>
      <w:marBottom w:val="0"/>
      <w:divBdr>
        <w:top w:val="none" w:sz="0" w:space="0" w:color="auto"/>
        <w:left w:val="none" w:sz="0" w:space="0" w:color="auto"/>
        <w:bottom w:val="none" w:sz="0" w:space="0" w:color="auto"/>
        <w:right w:val="none" w:sz="0" w:space="0" w:color="auto"/>
      </w:divBdr>
    </w:div>
    <w:div w:id="378168911">
      <w:bodyDiv w:val="1"/>
      <w:marLeft w:val="0"/>
      <w:marRight w:val="0"/>
      <w:marTop w:val="0"/>
      <w:marBottom w:val="0"/>
      <w:divBdr>
        <w:top w:val="none" w:sz="0" w:space="0" w:color="auto"/>
        <w:left w:val="none" w:sz="0" w:space="0" w:color="auto"/>
        <w:bottom w:val="none" w:sz="0" w:space="0" w:color="auto"/>
        <w:right w:val="none" w:sz="0" w:space="0" w:color="auto"/>
      </w:divBdr>
    </w:div>
    <w:div w:id="399452135">
      <w:bodyDiv w:val="1"/>
      <w:marLeft w:val="0"/>
      <w:marRight w:val="0"/>
      <w:marTop w:val="0"/>
      <w:marBottom w:val="0"/>
      <w:divBdr>
        <w:top w:val="none" w:sz="0" w:space="0" w:color="auto"/>
        <w:left w:val="none" w:sz="0" w:space="0" w:color="auto"/>
        <w:bottom w:val="none" w:sz="0" w:space="0" w:color="auto"/>
        <w:right w:val="none" w:sz="0" w:space="0" w:color="auto"/>
      </w:divBdr>
    </w:div>
    <w:div w:id="479002995">
      <w:bodyDiv w:val="1"/>
      <w:marLeft w:val="0"/>
      <w:marRight w:val="0"/>
      <w:marTop w:val="0"/>
      <w:marBottom w:val="0"/>
      <w:divBdr>
        <w:top w:val="none" w:sz="0" w:space="0" w:color="auto"/>
        <w:left w:val="none" w:sz="0" w:space="0" w:color="auto"/>
        <w:bottom w:val="none" w:sz="0" w:space="0" w:color="auto"/>
        <w:right w:val="none" w:sz="0" w:space="0" w:color="auto"/>
      </w:divBdr>
    </w:div>
    <w:div w:id="499585903">
      <w:bodyDiv w:val="1"/>
      <w:marLeft w:val="0"/>
      <w:marRight w:val="0"/>
      <w:marTop w:val="0"/>
      <w:marBottom w:val="0"/>
      <w:divBdr>
        <w:top w:val="none" w:sz="0" w:space="0" w:color="auto"/>
        <w:left w:val="none" w:sz="0" w:space="0" w:color="auto"/>
        <w:bottom w:val="none" w:sz="0" w:space="0" w:color="auto"/>
        <w:right w:val="none" w:sz="0" w:space="0" w:color="auto"/>
      </w:divBdr>
    </w:div>
    <w:div w:id="500200028">
      <w:bodyDiv w:val="1"/>
      <w:marLeft w:val="0"/>
      <w:marRight w:val="0"/>
      <w:marTop w:val="0"/>
      <w:marBottom w:val="0"/>
      <w:divBdr>
        <w:top w:val="none" w:sz="0" w:space="0" w:color="auto"/>
        <w:left w:val="none" w:sz="0" w:space="0" w:color="auto"/>
        <w:bottom w:val="none" w:sz="0" w:space="0" w:color="auto"/>
        <w:right w:val="none" w:sz="0" w:space="0" w:color="auto"/>
      </w:divBdr>
    </w:div>
    <w:div w:id="508062184">
      <w:bodyDiv w:val="1"/>
      <w:marLeft w:val="0"/>
      <w:marRight w:val="0"/>
      <w:marTop w:val="0"/>
      <w:marBottom w:val="0"/>
      <w:divBdr>
        <w:top w:val="none" w:sz="0" w:space="0" w:color="auto"/>
        <w:left w:val="none" w:sz="0" w:space="0" w:color="auto"/>
        <w:bottom w:val="none" w:sz="0" w:space="0" w:color="auto"/>
        <w:right w:val="none" w:sz="0" w:space="0" w:color="auto"/>
      </w:divBdr>
    </w:div>
    <w:div w:id="571159280">
      <w:bodyDiv w:val="1"/>
      <w:marLeft w:val="0"/>
      <w:marRight w:val="0"/>
      <w:marTop w:val="0"/>
      <w:marBottom w:val="0"/>
      <w:divBdr>
        <w:top w:val="none" w:sz="0" w:space="0" w:color="auto"/>
        <w:left w:val="none" w:sz="0" w:space="0" w:color="auto"/>
        <w:bottom w:val="none" w:sz="0" w:space="0" w:color="auto"/>
        <w:right w:val="none" w:sz="0" w:space="0" w:color="auto"/>
      </w:divBdr>
    </w:div>
    <w:div w:id="585267561">
      <w:bodyDiv w:val="1"/>
      <w:marLeft w:val="0"/>
      <w:marRight w:val="0"/>
      <w:marTop w:val="0"/>
      <w:marBottom w:val="0"/>
      <w:divBdr>
        <w:top w:val="none" w:sz="0" w:space="0" w:color="auto"/>
        <w:left w:val="none" w:sz="0" w:space="0" w:color="auto"/>
        <w:bottom w:val="none" w:sz="0" w:space="0" w:color="auto"/>
        <w:right w:val="none" w:sz="0" w:space="0" w:color="auto"/>
      </w:divBdr>
    </w:div>
    <w:div w:id="613753385">
      <w:bodyDiv w:val="1"/>
      <w:marLeft w:val="0"/>
      <w:marRight w:val="0"/>
      <w:marTop w:val="0"/>
      <w:marBottom w:val="0"/>
      <w:divBdr>
        <w:top w:val="none" w:sz="0" w:space="0" w:color="auto"/>
        <w:left w:val="none" w:sz="0" w:space="0" w:color="auto"/>
        <w:bottom w:val="none" w:sz="0" w:space="0" w:color="auto"/>
        <w:right w:val="none" w:sz="0" w:space="0" w:color="auto"/>
      </w:divBdr>
    </w:div>
    <w:div w:id="707216696">
      <w:bodyDiv w:val="1"/>
      <w:marLeft w:val="0"/>
      <w:marRight w:val="0"/>
      <w:marTop w:val="0"/>
      <w:marBottom w:val="0"/>
      <w:divBdr>
        <w:top w:val="none" w:sz="0" w:space="0" w:color="auto"/>
        <w:left w:val="none" w:sz="0" w:space="0" w:color="auto"/>
        <w:bottom w:val="none" w:sz="0" w:space="0" w:color="auto"/>
        <w:right w:val="none" w:sz="0" w:space="0" w:color="auto"/>
      </w:divBdr>
    </w:div>
    <w:div w:id="717050628">
      <w:bodyDiv w:val="1"/>
      <w:marLeft w:val="0"/>
      <w:marRight w:val="0"/>
      <w:marTop w:val="0"/>
      <w:marBottom w:val="0"/>
      <w:divBdr>
        <w:top w:val="none" w:sz="0" w:space="0" w:color="auto"/>
        <w:left w:val="none" w:sz="0" w:space="0" w:color="auto"/>
        <w:bottom w:val="none" w:sz="0" w:space="0" w:color="auto"/>
        <w:right w:val="none" w:sz="0" w:space="0" w:color="auto"/>
      </w:divBdr>
    </w:div>
    <w:div w:id="757865616">
      <w:bodyDiv w:val="1"/>
      <w:marLeft w:val="0"/>
      <w:marRight w:val="0"/>
      <w:marTop w:val="0"/>
      <w:marBottom w:val="0"/>
      <w:divBdr>
        <w:top w:val="none" w:sz="0" w:space="0" w:color="auto"/>
        <w:left w:val="none" w:sz="0" w:space="0" w:color="auto"/>
        <w:bottom w:val="none" w:sz="0" w:space="0" w:color="auto"/>
        <w:right w:val="none" w:sz="0" w:space="0" w:color="auto"/>
      </w:divBdr>
    </w:div>
    <w:div w:id="765342926">
      <w:bodyDiv w:val="1"/>
      <w:marLeft w:val="0"/>
      <w:marRight w:val="0"/>
      <w:marTop w:val="0"/>
      <w:marBottom w:val="0"/>
      <w:divBdr>
        <w:top w:val="none" w:sz="0" w:space="0" w:color="auto"/>
        <w:left w:val="none" w:sz="0" w:space="0" w:color="auto"/>
        <w:bottom w:val="none" w:sz="0" w:space="0" w:color="auto"/>
        <w:right w:val="none" w:sz="0" w:space="0" w:color="auto"/>
      </w:divBdr>
    </w:div>
    <w:div w:id="863517637">
      <w:bodyDiv w:val="1"/>
      <w:marLeft w:val="0"/>
      <w:marRight w:val="0"/>
      <w:marTop w:val="0"/>
      <w:marBottom w:val="0"/>
      <w:divBdr>
        <w:top w:val="none" w:sz="0" w:space="0" w:color="auto"/>
        <w:left w:val="none" w:sz="0" w:space="0" w:color="auto"/>
        <w:bottom w:val="none" w:sz="0" w:space="0" w:color="auto"/>
        <w:right w:val="none" w:sz="0" w:space="0" w:color="auto"/>
      </w:divBdr>
    </w:div>
    <w:div w:id="881206209">
      <w:bodyDiv w:val="1"/>
      <w:marLeft w:val="0"/>
      <w:marRight w:val="0"/>
      <w:marTop w:val="0"/>
      <w:marBottom w:val="0"/>
      <w:divBdr>
        <w:top w:val="none" w:sz="0" w:space="0" w:color="auto"/>
        <w:left w:val="none" w:sz="0" w:space="0" w:color="auto"/>
        <w:bottom w:val="none" w:sz="0" w:space="0" w:color="auto"/>
        <w:right w:val="none" w:sz="0" w:space="0" w:color="auto"/>
      </w:divBdr>
    </w:div>
    <w:div w:id="889729350">
      <w:bodyDiv w:val="1"/>
      <w:marLeft w:val="0"/>
      <w:marRight w:val="0"/>
      <w:marTop w:val="0"/>
      <w:marBottom w:val="0"/>
      <w:divBdr>
        <w:top w:val="none" w:sz="0" w:space="0" w:color="auto"/>
        <w:left w:val="none" w:sz="0" w:space="0" w:color="auto"/>
        <w:bottom w:val="none" w:sz="0" w:space="0" w:color="auto"/>
        <w:right w:val="none" w:sz="0" w:space="0" w:color="auto"/>
      </w:divBdr>
    </w:div>
    <w:div w:id="913121073">
      <w:bodyDiv w:val="1"/>
      <w:marLeft w:val="0"/>
      <w:marRight w:val="0"/>
      <w:marTop w:val="0"/>
      <w:marBottom w:val="0"/>
      <w:divBdr>
        <w:top w:val="none" w:sz="0" w:space="0" w:color="auto"/>
        <w:left w:val="none" w:sz="0" w:space="0" w:color="auto"/>
        <w:bottom w:val="none" w:sz="0" w:space="0" w:color="auto"/>
        <w:right w:val="none" w:sz="0" w:space="0" w:color="auto"/>
      </w:divBdr>
    </w:div>
    <w:div w:id="1024285937">
      <w:bodyDiv w:val="1"/>
      <w:marLeft w:val="0"/>
      <w:marRight w:val="0"/>
      <w:marTop w:val="0"/>
      <w:marBottom w:val="0"/>
      <w:divBdr>
        <w:top w:val="none" w:sz="0" w:space="0" w:color="auto"/>
        <w:left w:val="none" w:sz="0" w:space="0" w:color="auto"/>
        <w:bottom w:val="none" w:sz="0" w:space="0" w:color="auto"/>
        <w:right w:val="none" w:sz="0" w:space="0" w:color="auto"/>
      </w:divBdr>
    </w:div>
    <w:div w:id="1040010102">
      <w:bodyDiv w:val="1"/>
      <w:marLeft w:val="0"/>
      <w:marRight w:val="0"/>
      <w:marTop w:val="0"/>
      <w:marBottom w:val="0"/>
      <w:divBdr>
        <w:top w:val="none" w:sz="0" w:space="0" w:color="auto"/>
        <w:left w:val="none" w:sz="0" w:space="0" w:color="auto"/>
        <w:bottom w:val="none" w:sz="0" w:space="0" w:color="auto"/>
        <w:right w:val="none" w:sz="0" w:space="0" w:color="auto"/>
      </w:divBdr>
    </w:div>
    <w:div w:id="1040010892">
      <w:bodyDiv w:val="1"/>
      <w:marLeft w:val="0"/>
      <w:marRight w:val="0"/>
      <w:marTop w:val="0"/>
      <w:marBottom w:val="0"/>
      <w:divBdr>
        <w:top w:val="none" w:sz="0" w:space="0" w:color="auto"/>
        <w:left w:val="none" w:sz="0" w:space="0" w:color="auto"/>
        <w:bottom w:val="none" w:sz="0" w:space="0" w:color="auto"/>
        <w:right w:val="none" w:sz="0" w:space="0" w:color="auto"/>
      </w:divBdr>
    </w:div>
    <w:div w:id="1041441151">
      <w:bodyDiv w:val="1"/>
      <w:marLeft w:val="0"/>
      <w:marRight w:val="0"/>
      <w:marTop w:val="0"/>
      <w:marBottom w:val="0"/>
      <w:divBdr>
        <w:top w:val="none" w:sz="0" w:space="0" w:color="auto"/>
        <w:left w:val="none" w:sz="0" w:space="0" w:color="auto"/>
        <w:bottom w:val="none" w:sz="0" w:space="0" w:color="auto"/>
        <w:right w:val="none" w:sz="0" w:space="0" w:color="auto"/>
      </w:divBdr>
    </w:div>
    <w:div w:id="1045134794">
      <w:bodyDiv w:val="1"/>
      <w:marLeft w:val="0"/>
      <w:marRight w:val="0"/>
      <w:marTop w:val="0"/>
      <w:marBottom w:val="0"/>
      <w:divBdr>
        <w:top w:val="none" w:sz="0" w:space="0" w:color="auto"/>
        <w:left w:val="none" w:sz="0" w:space="0" w:color="auto"/>
        <w:bottom w:val="none" w:sz="0" w:space="0" w:color="auto"/>
        <w:right w:val="none" w:sz="0" w:space="0" w:color="auto"/>
      </w:divBdr>
    </w:div>
    <w:div w:id="1153108149">
      <w:bodyDiv w:val="1"/>
      <w:marLeft w:val="0"/>
      <w:marRight w:val="0"/>
      <w:marTop w:val="0"/>
      <w:marBottom w:val="0"/>
      <w:divBdr>
        <w:top w:val="none" w:sz="0" w:space="0" w:color="auto"/>
        <w:left w:val="none" w:sz="0" w:space="0" w:color="auto"/>
        <w:bottom w:val="none" w:sz="0" w:space="0" w:color="auto"/>
        <w:right w:val="none" w:sz="0" w:space="0" w:color="auto"/>
      </w:divBdr>
    </w:div>
    <w:div w:id="1212036281">
      <w:bodyDiv w:val="1"/>
      <w:marLeft w:val="0"/>
      <w:marRight w:val="0"/>
      <w:marTop w:val="0"/>
      <w:marBottom w:val="0"/>
      <w:divBdr>
        <w:top w:val="none" w:sz="0" w:space="0" w:color="auto"/>
        <w:left w:val="none" w:sz="0" w:space="0" w:color="auto"/>
        <w:bottom w:val="none" w:sz="0" w:space="0" w:color="auto"/>
        <w:right w:val="none" w:sz="0" w:space="0" w:color="auto"/>
      </w:divBdr>
    </w:div>
    <w:div w:id="1251234582">
      <w:bodyDiv w:val="1"/>
      <w:marLeft w:val="0"/>
      <w:marRight w:val="0"/>
      <w:marTop w:val="0"/>
      <w:marBottom w:val="0"/>
      <w:divBdr>
        <w:top w:val="none" w:sz="0" w:space="0" w:color="auto"/>
        <w:left w:val="none" w:sz="0" w:space="0" w:color="auto"/>
        <w:bottom w:val="none" w:sz="0" w:space="0" w:color="auto"/>
        <w:right w:val="none" w:sz="0" w:space="0" w:color="auto"/>
      </w:divBdr>
    </w:div>
    <w:div w:id="1267932300">
      <w:bodyDiv w:val="1"/>
      <w:marLeft w:val="0"/>
      <w:marRight w:val="0"/>
      <w:marTop w:val="0"/>
      <w:marBottom w:val="0"/>
      <w:divBdr>
        <w:top w:val="none" w:sz="0" w:space="0" w:color="auto"/>
        <w:left w:val="none" w:sz="0" w:space="0" w:color="auto"/>
        <w:bottom w:val="none" w:sz="0" w:space="0" w:color="auto"/>
        <w:right w:val="none" w:sz="0" w:space="0" w:color="auto"/>
      </w:divBdr>
    </w:div>
    <w:div w:id="1329794106">
      <w:bodyDiv w:val="1"/>
      <w:marLeft w:val="0"/>
      <w:marRight w:val="0"/>
      <w:marTop w:val="0"/>
      <w:marBottom w:val="0"/>
      <w:divBdr>
        <w:top w:val="none" w:sz="0" w:space="0" w:color="auto"/>
        <w:left w:val="none" w:sz="0" w:space="0" w:color="auto"/>
        <w:bottom w:val="none" w:sz="0" w:space="0" w:color="auto"/>
        <w:right w:val="none" w:sz="0" w:space="0" w:color="auto"/>
      </w:divBdr>
    </w:div>
    <w:div w:id="1454637749">
      <w:bodyDiv w:val="1"/>
      <w:marLeft w:val="0"/>
      <w:marRight w:val="0"/>
      <w:marTop w:val="0"/>
      <w:marBottom w:val="0"/>
      <w:divBdr>
        <w:top w:val="none" w:sz="0" w:space="0" w:color="auto"/>
        <w:left w:val="none" w:sz="0" w:space="0" w:color="auto"/>
        <w:bottom w:val="none" w:sz="0" w:space="0" w:color="auto"/>
        <w:right w:val="none" w:sz="0" w:space="0" w:color="auto"/>
      </w:divBdr>
    </w:div>
    <w:div w:id="1464690375">
      <w:bodyDiv w:val="1"/>
      <w:marLeft w:val="0"/>
      <w:marRight w:val="0"/>
      <w:marTop w:val="0"/>
      <w:marBottom w:val="0"/>
      <w:divBdr>
        <w:top w:val="none" w:sz="0" w:space="0" w:color="auto"/>
        <w:left w:val="none" w:sz="0" w:space="0" w:color="auto"/>
        <w:bottom w:val="none" w:sz="0" w:space="0" w:color="auto"/>
        <w:right w:val="none" w:sz="0" w:space="0" w:color="auto"/>
      </w:divBdr>
    </w:div>
    <w:div w:id="1524201091">
      <w:bodyDiv w:val="1"/>
      <w:marLeft w:val="0"/>
      <w:marRight w:val="0"/>
      <w:marTop w:val="0"/>
      <w:marBottom w:val="0"/>
      <w:divBdr>
        <w:top w:val="none" w:sz="0" w:space="0" w:color="auto"/>
        <w:left w:val="none" w:sz="0" w:space="0" w:color="auto"/>
        <w:bottom w:val="none" w:sz="0" w:space="0" w:color="auto"/>
        <w:right w:val="none" w:sz="0" w:space="0" w:color="auto"/>
      </w:divBdr>
    </w:div>
    <w:div w:id="1637181201">
      <w:bodyDiv w:val="1"/>
      <w:marLeft w:val="0"/>
      <w:marRight w:val="0"/>
      <w:marTop w:val="0"/>
      <w:marBottom w:val="0"/>
      <w:divBdr>
        <w:top w:val="none" w:sz="0" w:space="0" w:color="auto"/>
        <w:left w:val="none" w:sz="0" w:space="0" w:color="auto"/>
        <w:bottom w:val="none" w:sz="0" w:space="0" w:color="auto"/>
        <w:right w:val="none" w:sz="0" w:space="0" w:color="auto"/>
      </w:divBdr>
    </w:div>
    <w:div w:id="1647122681">
      <w:bodyDiv w:val="1"/>
      <w:marLeft w:val="0"/>
      <w:marRight w:val="0"/>
      <w:marTop w:val="0"/>
      <w:marBottom w:val="0"/>
      <w:divBdr>
        <w:top w:val="none" w:sz="0" w:space="0" w:color="auto"/>
        <w:left w:val="none" w:sz="0" w:space="0" w:color="auto"/>
        <w:bottom w:val="none" w:sz="0" w:space="0" w:color="auto"/>
        <w:right w:val="none" w:sz="0" w:space="0" w:color="auto"/>
      </w:divBdr>
    </w:div>
    <w:div w:id="1666857878">
      <w:bodyDiv w:val="1"/>
      <w:marLeft w:val="0"/>
      <w:marRight w:val="0"/>
      <w:marTop w:val="0"/>
      <w:marBottom w:val="0"/>
      <w:divBdr>
        <w:top w:val="none" w:sz="0" w:space="0" w:color="auto"/>
        <w:left w:val="none" w:sz="0" w:space="0" w:color="auto"/>
        <w:bottom w:val="none" w:sz="0" w:space="0" w:color="auto"/>
        <w:right w:val="none" w:sz="0" w:space="0" w:color="auto"/>
      </w:divBdr>
    </w:div>
    <w:div w:id="1725910172">
      <w:bodyDiv w:val="1"/>
      <w:marLeft w:val="0"/>
      <w:marRight w:val="0"/>
      <w:marTop w:val="0"/>
      <w:marBottom w:val="0"/>
      <w:divBdr>
        <w:top w:val="none" w:sz="0" w:space="0" w:color="auto"/>
        <w:left w:val="none" w:sz="0" w:space="0" w:color="auto"/>
        <w:bottom w:val="none" w:sz="0" w:space="0" w:color="auto"/>
        <w:right w:val="none" w:sz="0" w:space="0" w:color="auto"/>
      </w:divBdr>
    </w:div>
    <w:div w:id="1733309470">
      <w:bodyDiv w:val="1"/>
      <w:marLeft w:val="0"/>
      <w:marRight w:val="0"/>
      <w:marTop w:val="0"/>
      <w:marBottom w:val="0"/>
      <w:divBdr>
        <w:top w:val="none" w:sz="0" w:space="0" w:color="auto"/>
        <w:left w:val="none" w:sz="0" w:space="0" w:color="auto"/>
        <w:bottom w:val="none" w:sz="0" w:space="0" w:color="auto"/>
        <w:right w:val="none" w:sz="0" w:space="0" w:color="auto"/>
      </w:divBdr>
    </w:div>
    <w:div w:id="1741636914">
      <w:bodyDiv w:val="1"/>
      <w:marLeft w:val="0"/>
      <w:marRight w:val="0"/>
      <w:marTop w:val="0"/>
      <w:marBottom w:val="0"/>
      <w:divBdr>
        <w:top w:val="none" w:sz="0" w:space="0" w:color="auto"/>
        <w:left w:val="none" w:sz="0" w:space="0" w:color="auto"/>
        <w:bottom w:val="none" w:sz="0" w:space="0" w:color="auto"/>
        <w:right w:val="none" w:sz="0" w:space="0" w:color="auto"/>
      </w:divBdr>
    </w:div>
    <w:div w:id="1777866820">
      <w:bodyDiv w:val="1"/>
      <w:marLeft w:val="0"/>
      <w:marRight w:val="0"/>
      <w:marTop w:val="0"/>
      <w:marBottom w:val="0"/>
      <w:divBdr>
        <w:top w:val="none" w:sz="0" w:space="0" w:color="auto"/>
        <w:left w:val="none" w:sz="0" w:space="0" w:color="auto"/>
        <w:bottom w:val="none" w:sz="0" w:space="0" w:color="auto"/>
        <w:right w:val="none" w:sz="0" w:space="0" w:color="auto"/>
      </w:divBdr>
    </w:div>
    <w:div w:id="1797405000">
      <w:bodyDiv w:val="1"/>
      <w:marLeft w:val="0"/>
      <w:marRight w:val="0"/>
      <w:marTop w:val="0"/>
      <w:marBottom w:val="0"/>
      <w:divBdr>
        <w:top w:val="none" w:sz="0" w:space="0" w:color="auto"/>
        <w:left w:val="none" w:sz="0" w:space="0" w:color="auto"/>
        <w:bottom w:val="none" w:sz="0" w:space="0" w:color="auto"/>
        <w:right w:val="none" w:sz="0" w:space="0" w:color="auto"/>
      </w:divBdr>
    </w:div>
    <w:div w:id="1805536258">
      <w:bodyDiv w:val="1"/>
      <w:marLeft w:val="0"/>
      <w:marRight w:val="0"/>
      <w:marTop w:val="0"/>
      <w:marBottom w:val="0"/>
      <w:divBdr>
        <w:top w:val="none" w:sz="0" w:space="0" w:color="auto"/>
        <w:left w:val="none" w:sz="0" w:space="0" w:color="auto"/>
        <w:bottom w:val="none" w:sz="0" w:space="0" w:color="auto"/>
        <w:right w:val="none" w:sz="0" w:space="0" w:color="auto"/>
      </w:divBdr>
    </w:div>
    <w:div w:id="1830556659">
      <w:bodyDiv w:val="1"/>
      <w:marLeft w:val="0"/>
      <w:marRight w:val="0"/>
      <w:marTop w:val="0"/>
      <w:marBottom w:val="0"/>
      <w:divBdr>
        <w:top w:val="none" w:sz="0" w:space="0" w:color="auto"/>
        <w:left w:val="none" w:sz="0" w:space="0" w:color="auto"/>
        <w:bottom w:val="none" w:sz="0" w:space="0" w:color="auto"/>
        <w:right w:val="none" w:sz="0" w:space="0" w:color="auto"/>
      </w:divBdr>
    </w:div>
    <w:div w:id="1862551179">
      <w:bodyDiv w:val="1"/>
      <w:marLeft w:val="0"/>
      <w:marRight w:val="0"/>
      <w:marTop w:val="0"/>
      <w:marBottom w:val="0"/>
      <w:divBdr>
        <w:top w:val="none" w:sz="0" w:space="0" w:color="auto"/>
        <w:left w:val="none" w:sz="0" w:space="0" w:color="auto"/>
        <w:bottom w:val="none" w:sz="0" w:space="0" w:color="auto"/>
        <w:right w:val="none" w:sz="0" w:space="0" w:color="auto"/>
      </w:divBdr>
    </w:div>
    <w:div w:id="1883667406">
      <w:bodyDiv w:val="1"/>
      <w:marLeft w:val="0"/>
      <w:marRight w:val="0"/>
      <w:marTop w:val="0"/>
      <w:marBottom w:val="0"/>
      <w:divBdr>
        <w:top w:val="none" w:sz="0" w:space="0" w:color="auto"/>
        <w:left w:val="none" w:sz="0" w:space="0" w:color="auto"/>
        <w:bottom w:val="none" w:sz="0" w:space="0" w:color="auto"/>
        <w:right w:val="none" w:sz="0" w:space="0" w:color="auto"/>
      </w:divBdr>
    </w:div>
    <w:div w:id="1917783766">
      <w:bodyDiv w:val="1"/>
      <w:marLeft w:val="0"/>
      <w:marRight w:val="0"/>
      <w:marTop w:val="0"/>
      <w:marBottom w:val="0"/>
      <w:divBdr>
        <w:top w:val="none" w:sz="0" w:space="0" w:color="auto"/>
        <w:left w:val="none" w:sz="0" w:space="0" w:color="auto"/>
        <w:bottom w:val="none" w:sz="0" w:space="0" w:color="auto"/>
        <w:right w:val="none" w:sz="0" w:space="0" w:color="auto"/>
      </w:divBdr>
    </w:div>
    <w:div w:id="1971401265">
      <w:bodyDiv w:val="1"/>
      <w:marLeft w:val="0"/>
      <w:marRight w:val="0"/>
      <w:marTop w:val="0"/>
      <w:marBottom w:val="0"/>
      <w:divBdr>
        <w:top w:val="none" w:sz="0" w:space="0" w:color="auto"/>
        <w:left w:val="none" w:sz="0" w:space="0" w:color="auto"/>
        <w:bottom w:val="none" w:sz="0" w:space="0" w:color="auto"/>
        <w:right w:val="none" w:sz="0" w:space="0" w:color="auto"/>
      </w:divBdr>
    </w:div>
    <w:div w:id="2008287175">
      <w:bodyDiv w:val="1"/>
      <w:marLeft w:val="0"/>
      <w:marRight w:val="0"/>
      <w:marTop w:val="0"/>
      <w:marBottom w:val="0"/>
      <w:divBdr>
        <w:top w:val="none" w:sz="0" w:space="0" w:color="auto"/>
        <w:left w:val="none" w:sz="0" w:space="0" w:color="auto"/>
        <w:bottom w:val="none" w:sz="0" w:space="0" w:color="auto"/>
        <w:right w:val="none" w:sz="0" w:space="0" w:color="auto"/>
      </w:divBdr>
    </w:div>
    <w:div w:id="2050760686">
      <w:bodyDiv w:val="1"/>
      <w:marLeft w:val="0"/>
      <w:marRight w:val="0"/>
      <w:marTop w:val="0"/>
      <w:marBottom w:val="0"/>
      <w:divBdr>
        <w:top w:val="none" w:sz="0" w:space="0" w:color="auto"/>
        <w:left w:val="none" w:sz="0" w:space="0" w:color="auto"/>
        <w:bottom w:val="none" w:sz="0" w:space="0" w:color="auto"/>
        <w:right w:val="none" w:sz="0" w:space="0" w:color="auto"/>
      </w:divBdr>
    </w:div>
    <w:div w:id="213898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FCD5C-CC80-4700-9969-D9BA5060C174}">
  <ds:schemaRefs>
    <ds:schemaRef ds:uri="http://schemas.openxmlformats.org/officeDocument/2006/bibliography"/>
  </ds:schemaRefs>
</ds:datastoreItem>
</file>

<file path=customXml/itemProps2.xml><?xml version="1.0" encoding="utf-8"?>
<ds:datastoreItem xmlns:ds="http://schemas.openxmlformats.org/officeDocument/2006/customXml" ds:itemID="{53A0C09C-2351-4BDE-84B2-40B139F5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12403</Words>
  <Characters>70698</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US GAAP FS</vt:lpstr>
    </vt:vector>
  </TitlesOfParts>
  <Company>Ernst &amp; Young CIS</Company>
  <LinksUpToDate>false</LinksUpToDate>
  <CharactersWithSpaces>82936</CharactersWithSpaces>
  <SharedDoc>false</SharedDoc>
  <HLinks>
    <vt:vector size="210" baseType="variant">
      <vt:variant>
        <vt:i4>7798883</vt:i4>
      </vt:variant>
      <vt:variant>
        <vt:i4>207</vt:i4>
      </vt:variant>
      <vt:variant>
        <vt:i4>0</vt:i4>
      </vt:variant>
      <vt:variant>
        <vt:i4>5</vt:i4>
      </vt:variant>
      <vt:variant>
        <vt:lpwstr>http://gaait-aa.ey.net/Document.aspx?PersistentBookId=514&amp;GotoString=IAS%2024R&amp;ProductId=110</vt:lpwstr>
      </vt:variant>
      <vt:variant>
        <vt:lpwstr>IAS 24R</vt:lpwstr>
      </vt:variant>
      <vt:variant>
        <vt:i4>1638455</vt:i4>
      </vt:variant>
      <vt:variant>
        <vt:i4>200</vt:i4>
      </vt:variant>
      <vt:variant>
        <vt:i4>0</vt:i4>
      </vt:variant>
      <vt:variant>
        <vt:i4>5</vt:i4>
      </vt:variant>
      <vt:variant>
        <vt:lpwstr/>
      </vt:variant>
      <vt:variant>
        <vt:lpwstr>_Toc252871026</vt:lpwstr>
      </vt:variant>
      <vt:variant>
        <vt:i4>1638455</vt:i4>
      </vt:variant>
      <vt:variant>
        <vt:i4>194</vt:i4>
      </vt:variant>
      <vt:variant>
        <vt:i4>0</vt:i4>
      </vt:variant>
      <vt:variant>
        <vt:i4>5</vt:i4>
      </vt:variant>
      <vt:variant>
        <vt:lpwstr/>
      </vt:variant>
      <vt:variant>
        <vt:lpwstr>_Toc252871025</vt:lpwstr>
      </vt:variant>
      <vt:variant>
        <vt:i4>1638455</vt:i4>
      </vt:variant>
      <vt:variant>
        <vt:i4>188</vt:i4>
      </vt:variant>
      <vt:variant>
        <vt:i4>0</vt:i4>
      </vt:variant>
      <vt:variant>
        <vt:i4>5</vt:i4>
      </vt:variant>
      <vt:variant>
        <vt:lpwstr/>
      </vt:variant>
      <vt:variant>
        <vt:lpwstr>_Toc252871024</vt:lpwstr>
      </vt:variant>
      <vt:variant>
        <vt:i4>1638455</vt:i4>
      </vt:variant>
      <vt:variant>
        <vt:i4>182</vt:i4>
      </vt:variant>
      <vt:variant>
        <vt:i4>0</vt:i4>
      </vt:variant>
      <vt:variant>
        <vt:i4>5</vt:i4>
      </vt:variant>
      <vt:variant>
        <vt:lpwstr/>
      </vt:variant>
      <vt:variant>
        <vt:lpwstr>_Toc252871023</vt:lpwstr>
      </vt:variant>
      <vt:variant>
        <vt:i4>1638455</vt:i4>
      </vt:variant>
      <vt:variant>
        <vt:i4>176</vt:i4>
      </vt:variant>
      <vt:variant>
        <vt:i4>0</vt:i4>
      </vt:variant>
      <vt:variant>
        <vt:i4>5</vt:i4>
      </vt:variant>
      <vt:variant>
        <vt:lpwstr/>
      </vt:variant>
      <vt:variant>
        <vt:lpwstr>_Toc252871022</vt:lpwstr>
      </vt:variant>
      <vt:variant>
        <vt:i4>1638455</vt:i4>
      </vt:variant>
      <vt:variant>
        <vt:i4>170</vt:i4>
      </vt:variant>
      <vt:variant>
        <vt:i4>0</vt:i4>
      </vt:variant>
      <vt:variant>
        <vt:i4>5</vt:i4>
      </vt:variant>
      <vt:variant>
        <vt:lpwstr/>
      </vt:variant>
      <vt:variant>
        <vt:lpwstr>_Toc252871021</vt:lpwstr>
      </vt:variant>
      <vt:variant>
        <vt:i4>1638455</vt:i4>
      </vt:variant>
      <vt:variant>
        <vt:i4>164</vt:i4>
      </vt:variant>
      <vt:variant>
        <vt:i4>0</vt:i4>
      </vt:variant>
      <vt:variant>
        <vt:i4>5</vt:i4>
      </vt:variant>
      <vt:variant>
        <vt:lpwstr/>
      </vt:variant>
      <vt:variant>
        <vt:lpwstr>_Toc252871020</vt:lpwstr>
      </vt:variant>
      <vt:variant>
        <vt:i4>1703991</vt:i4>
      </vt:variant>
      <vt:variant>
        <vt:i4>158</vt:i4>
      </vt:variant>
      <vt:variant>
        <vt:i4>0</vt:i4>
      </vt:variant>
      <vt:variant>
        <vt:i4>5</vt:i4>
      </vt:variant>
      <vt:variant>
        <vt:lpwstr/>
      </vt:variant>
      <vt:variant>
        <vt:lpwstr>_Toc252871019</vt:lpwstr>
      </vt:variant>
      <vt:variant>
        <vt:i4>1703991</vt:i4>
      </vt:variant>
      <vt:variant>
        <vt:i4>152</vt:i4>
      </vt:variant>
      <vt:variant>
        <vt:i4>0</vt:i4>
      </vt:variant>
      <vt:variant>
        <vt:i4>5</vt:i4>
      </vt:variant>
      <vt:variant>
        <vt:lpwstr/>
      </vt:variant>
      <vt:variant>
        <vt:lpwstr>_Toc252871018</vt:lpwstr>
      </vt:variant>
      <vt:variant>
        <vt:i4>1703991</vt:i4>
      </vt:variant>
      <vt:variant>
        <vt:i4>146</vt:i4>
      </vt:variant>
      <vt:variant>
        <vt:i4>0</vt:i4>
      </vt:variant>
      <vt:variant>
        <vt:i4>5</vt:i4>
      </vt:variant>
      <vt:variant>
        <vt:lpwstr/>
      </vt:variant>
      <vt:variant>
        <vt:lpwstr>_Toc252871017</vt:lpwstr>
      </vt:variant>
      <vt:variant>
        <vt:i4>1703991</vt:i4>
      </vt:variant>
      <vt:variant>
        <vt:i4>140</vt:i4>
      </vt:variant>
      <vt:variant>
        <vt:i4>0</vt:i4>
      </vt:variant>
      <vt:variant>
        <vt:i4>5</vt:i4>
      </vt:variant>
      <vt:variant>
        <vt:lpwstr/>
      </vt:variant>
      <vt:variant>
        <vt:lpwstr>_Toc252871016</vt:lpwstr>
      </vt:variant>
      <vt:variant>
        <vt:i4>1703991</vt:i4>
      </vt:variant>
      <vt:variant>
        <vt:i4>134</vt:i4>
      </vt:variant>
      <vt:variant>
        <vt:i4>0</vt:i4>
      </vt:variant>
      <vt:variant>
        <vt:i4>5</vt:i4>
      </vt:variant>
      <vt:variant>
        <vt:lpwstr/>
      </vt:variant>
      <vt:variant>
        <vt:lpwstr>_Toc252871015</vt:lpwstr>
      </vt:variant>
      <vt:variant>
        <vt:i4>1703991</vt:i4>
      </vt:variant>
      <vt:variant>
        <vt:i4>128</vt:i4>
      </vt:variant>
      <vt:variant>
        <vt:i4>0</vt:i4>
      </vt:variant>
      <vt:variant>
        <vt:i4>5</vt:i4>
      </vt:variant>
      <vt:variant>
        <vt:lpwstr/>
      </vt:variant>
      <vt:variant>
        <vt:lpwstr>_Toc252871014</vt:lpwstr>
      </vt:variant>
      <vt:variant>
        <vt:i4>1703991</vt:i4>
      </vt:variant>
      <vt:variant>
        <vt:i4>122</vt:i4>
      </vt:variant>
      <vt:variant>
        <vt:i4>0</vt:i4>
      </vt:variant>
      <vt:variant>
        <vt:i4>5</vt:i4>
      </vt:variant>
      <vt:variant>
        <vt:lpwstr/>
      </vt:variant>
      <vt:variant>
        <vt:lpwstr>_Toc252871013</vt:lpwstr>
      </vt:variant>
      <vt:variant>
        <vt:i4>1703991</vt:i4>
      </vt:variant>
      <vt:variant>
        <vt:i4>116</vt:i4>
      </vt:variant>
      <vt:variant>
        <vt:i4>0</vt:i4>
      </vt:variant>
      <vt:variant>
        <vt:i4>5</vt:i4>
      </vt:variant>
      <vt:variant>
        <vt:lpwstr/>
      </vt:variant>
      <vt:variant>
        <vt:lpwstr>_Toc252871012</vt:lpwstr>
      </vt:variant>
      <vt:variant>
        <vt:i4>1703991</vt:i4>
      </vt:variant>
      <vt:variant>
        <vt:i4>110</vt:i4>
      </vt:variant>
      <vt:variant>
        <vt:i4>0</vt:i4>
      </vt:variant>
      <vt:variant>
        <vt:i4>5</vt:i4>
      </vt:variant>
      <vt:variant>
        <vt:lpwstr/>
      </vt:variant>
      <vt:variant>
        <vt:lpwstr>_Toc252871011</vt:lpwstr>
      </vt:variant>
      <vt:variant>
        <vt:i4>1703991</vt:i4>
      </vt:variant>
      <vt:variant>
        <vt:i4>104</vt:i4>
      </vt:variant>
      <vt:variant>
        <vt:i4>0</vt:i4>
      </vt:variant>
      <vt:variant>
        <vt:i4>5</vt:i4>
      </vt:variant>
      <vt:variant>
        <vt:lpwstr/>
      </vt:variant>
      <vt:variant>
        <vt:lpwstr>_Toc252871010</vt:lpwstr>
      </vt:variant>
      <vt:variant>
        <vt:i4>1769527</vt:i4>
      </vt:variant>
      <vt:variant>
        <vt:i4>98</vt:i4>
      </vt:variant>
      <vt:variant>
        <vt:i4>0</vt:i4>
      </vt:variant>
      <vt:variant>
        <vt:i4>5</vt:i4>
      </vt:variant>
      <vt:variant>
        <vt:lpwstr/>
      </vt:variant>
      <vt:variant>
        <vt:lpwstr>_Toc252871009</vt:lpwstr>
      </vt:variant>
      <vt:variant>
        <vt:i4>1769527</vt:i4>
      </vt:variant>
      <vt:variant>
        <vt:i4>92</vt:i4>
      </vt:variant>
      <vt:variant>
        <vt:i4>0</vt:i4>
      </vt:variant>
      <vt:variant>
        <vt:i4>5</vt:i4>
      </vt:variant>
      <vt:variant>
        <vt:lpwstr/>
      </vt:variant>
      <vt:variant>
        <vt:lpwstr>_Toc252871008</vt:lpwstr>
      </vt:variant>
      <vt:variant>
        <vt:i4>1769527</vt:i4>
      </vt:variant>
      <vt:variant>
        <vt:i4>86</vt:i4>
      </vt:variant>
      <vt:variant>
        <vt:i4>0</vt:i4>
      </vt:variant>
      <vt:variant>
        <vt:i4>5</vt:i4>
      </vt:variant>
      <vt:variant>
        <vt:lpwstr/>
      </vt:variant>
      <vt:variant>
        <vt:lpwstr>_Toc252871007</vt:lpwstr>
      </vt:variant>
      <vt:variant>
        <vt:i4>1769527</vt:i4>
      </vt:variant>
      <vt:variant>
        <vt:i4>80</vt:i4>
      </vt:variant>
      <vt:variant>
        <vt:i4>0</vt:i4>
      </vt:variant>
      <vt:variant>
        <vt:i4>5</vt:i4>
      </vt:variant>
      <vt:variant>
        <vt:lpwstr/>
      </vt:variant>
      <vt:variant>
        <vt:lpwstr>_Toc252871006</vt:lpwstr>
      </vt:variant>
      <vt:variant>
        <vt:i4>1769527</vt:i4>
      </vt:variant>
      <vt:variant>
        <vt:i4>74</vt:i4>
      </vt:variant>
      <vt:variant>
        <vt:i4>0</vt:i4>
      </vt:variant>
      <vt:variant>
        <vt:i4>5</vt:i4>
      </vt:variant>
      <vt:variant>
        <vt:lpwstr/>
      </vt:variant>
      <vt:variant>
        <vt:lpwstr>_Toc252871005</vt:lpwstr>
      </vt:variant>
      <vt:variant>
        <vt:i4>1769527</vt:i4>
      </vt:variant>
      <vt:variant>
        <vt:i4>68</vt:i4>
      </vt:variant>
      <vt:variant>
        <vt:i4>0</vt:i4>
      </vt:variant>
      <vt:variant>
        <vt:i4>5</vt:i4>
      </vt:variant>
      <vt:variant>
        <vt:lpwstr/>
      </vt:variant>
      <vt:variant>
        <vt:lpwstr>_Toc252871004</vt:lpwstr>
      </vt:variant>
      <vt:variant>
        <vt:i4>1769527</vt:i4>
      </vt:variant>
      <vt:variant>
        <vt:i4>62</vt:i4>
      </vt:variant>
      <vt:variant>
        <vt:i4>0</vt:i4>
      </vt:variant>
      <vt:variant>
        <vt:i4>5</vt:i4>
      </vt:variant>
      <vt:variant>
        <vt:lpwstr/>
      </vt:variant>
      <vt:variant>
        <vt:lpwstr>_Toc252871003</vt:lpwstr>
      </vt:variant>
      <vt:variant>
        <vt:i4>1769527</vt:i4>
      </vt:variant>
      <vt:variant>
        <vt:i4>56</vt:i4>
      </vt:variant>
      <vt:variant>
        <vt:i4>0</vt:i4>
      </vt:variant>
      <vt:variant>
        <vt:i4>5</vt:i4>
      </vt:variant>
      <vt:variant>
        <vt:lpwstr/>
      </vt:variant>
      <vt:variant>
        <vt:lpwstr>_Toc252871002</vt:lpwstr>
      </vt:variant>
      <vt:variant>
        <vt:i4>1769527</vt:i4>
      </vt:variant>
      <vt:variant>
        <vt:i4>50</vt:i4>
      </vt:variant>
      <vt:variant>
        <vt:i4>0</vt:i4>
      </vt:variant>
      <vt:variant>
        <vt:i4>5</vt:i4>
      </vt:variant>
      <vt:variant>
        <vt:lpwstr/>
      </vt:variant>
      <vt:variant>
        <vt:lpwstr>_Toc252871001</vt:lpwstr>
      </vt:variant>
      <vt:variant>
        <vt:i4>1769527</vt:i4>
      </vt:variant>
      <vt:variant>
        <vt:i4>44</vt:i4>
      </vt:variant>
      <vt:variant>
        <vt:i4>0</vt:i4>
      </vt:variant>
      <vt:variant>
        <vt:i4>5</vt:i4>
      </vt:variant>
      <vt:variant>
        <vt:lpwstr/>
      </vt:variant>
      <vt:variant>
        <vt:lpwstr>_Toc252871000</vt:lpwstr>
      </vt:variant>
      <vt:variant>
        <vt:i4>1245246</vt:i4>
      </vt:variant>
      <vt:variant>
        <vt:i4>38</vt:i4>
      </vt:variant>
      <vt:variant>
        <vt:i4>0</vt:i4>
      </vt:variant>
      <vt:variant>
        <vt:i4>5</vt:i4>
      </vt:variant>
      <vt:variant>
        <vt:lpwstr/>
      </vt:variant>
      <vt:variant>
        <vt:lpwstr>_Toc252870999</vt:lpwstr>
      </vt:variant>
      <vt:variant>
        <vt:i4>1245246</vt:i4>
      </vt:variant>
      <vt:variant>
        <vt:i4>32</vt:i4>
      </vt:variant>
      <vt:variant>
        <vt:i4>0</vt:i4>
      </vt:variant>
      <vt:variant>
        <vt:i4>5</vt:i4>
      </vt:variant>
      <vt:variant>
        <vt:lpwstr/>
      </vt:variant>
      <vt:variant>
        <vt:lpwstr>_Toc252870998</vt:lpwstr>
      </vt:variant>
      <vt:variant>
        <vt:i4>1245246</vt:i4>
      </vt:variant>
      <vt:variant>
        <vt:i4>26</vt:i4>
      </vt:variant>
      <vt:variant>
        <vt:i4>0</vt:i4>
      </vt:variant>
      <vt:variant>
        <vt:i4>5</vt:i4>
      </vt:variant>
      <vt:variant>
        <vt:lpwstr/>
      </vt:variant>
      <vt:variant>
        <vt:lpwstr>_Toc252870997</vt:lpwstr>
      </vt:variant>
      <vt:variant>
        <vt:i4>1245246</vt:i4>
      </vt:variant>
      <vt:variant>
        <vt:i4>20</vt:i4>
      </vt:variant>
      <vt:variant>
        <vt:i4>0</vt:i4>
      </vt:variant>
      <vt:variant>
        <vt:i4>5</vt:i4>
      </vt:variant>
      <vt:variant>
        <vt:lpwstr/>
      </vt:variant>
      <vt:variant>
        <vt:lpwstr>_Toc252870996</vt:lpwstr>
      </vt:variant>
      <vt:variant>
        <vt:i4>1245246</vt:i4>
      </vt:variant>
      <vt:variant>
        <vt:i4>14</vt:i4>
      </vt:variant>
      <vt:variant>
        <vt:i4>0</vt:i4>
      </vt:variant>
      <vt:variant>
        <vt:i4>5</vt:i4>
      </vt:variant>
      <vt:variant>
        <vt:lpwstr/>
      </vt:variant>
      <vt:variant>
        <vt:lpwstr>_Toc252870995</vt:lpwstr>
      </vt:variant>
      <vt:variant>
        <vt:i4>1245246</vt:i4>
      </vt:variant>
      <vt:variant>
        <vt:i4>8</vt:i4>
      </vt:variant>
      <vt:variant>
        <vt:i4>0</vt:i4>
      </vt:variant>
      <vt:variant>
        <vt:i4>5</vt:i4>
      </vt:variant>
      <vt:variant>
        <vt:lpwstr/>
      </vt:variant>
      <vt:variant>
        <vt:lpwstr>_Toc252870994</vt:lpwstr>
      </vt:variant>
      <vt:variant>
        <vt:i4>1245246</vt:i4>
      </vt:variant>
      <vt:variant>
        <vt:i4>2</vt:i4>
      </vt:variant>
      <vt:variant>
        <vt:i4>0</vt:i4>
      </vt:variant>
      <vt:variant>
        <vt:i4>5</vt:i4>
      </vt:variant>
      <vt:variant>
        <vt:lpwstr/>
      </vt:variant>
      <vt:variant>
        <vt:lpwstr>_Toc252870993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GAAP FS</dc:title>
  <dc:creator>Dmitriy Kobyshev</dc:creator>
  <cp:lastModifiedBy>msh</cp:lastModifiedBy>
  <cp:revision>2</cp:revision>
  <cp:lastPrinted>2016-07-26T07:33:00Z</cp:lastPrinted>
  <dcterms:created xsi:type="dcterms:W3CDTF">2017-08-30T10:41:00Z</dcterms:created>
  <dcterms:modified xsi:type="dcterms:W3CDTF">2017-08-30T10:41:00Z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